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bidi w:val="1"/>
      </w:pPr>
      <w:r>
        <w:rPr>
          <w:rFonts w:ascii="Arial" w:hAnsi="Arial"/>
          <w:b/>
          <w:color w:val="0284C7"/>
          <w:sz w:val="24"/>
        </w:rPr>
        <w:t>TEJARATYAR</w:t>
      </w:r>
    </w:p>
    <w:p>
      <w:pPr>
        <w:jc w:val="center"/>
        <w:bidi w:val="1"/>
      </w:pPr>
      <w:r>
        <w:rPr>
          <w:rFonts w:ascii="Arial" w:hAnsi="Arial"/>
          <w:b/>
          <w:color w:val="0B1C33"/>
          <w:sz w:val="60"/>
        </w:rPr>
        <w:t>تجارت‌یار</w:t>
      </w:r>
    </w:p>
    <w:p>
      <w:pPr>
        <w:jc w:val="center"/>
        <w:bidi w:val="1"/>
      </w:pPr>
      <w:r>
        <w:rPr>
          <w:rFonts w:ascii="Arial" w:hAnsi="Arial"/>
          <w:b w:val="0"/>
          <w:color w:val="475569"/>
          <w:sz w:val="28"/>
        </w:rPr>
        <w:t>سامانه هوشمند و شواهدمحور تصمیم‌گیری تجارت بین‌الملل</w:t>
      </w:r>
    </w:p>
    <w:p/>
    <w:p>
      <w:pPr>
        <w:jc w:val="center"/>
        <w:bidi w:val="1"/>
      </w:pPr>
      <w:r>
        <w:rPr>
          <w:rFonts w:ascii="Arial" w:hAnsi="Arial"/>
          <w:b/>
          <w:color w:val="059669"/>
          <w:sz w:val="24"/>
        </w:rPr>
        <w:t>نسخه حرفه‌ای ۳.۰</w:t>
      </w:r>
    </w:p>
    <w:p>
      <w:pPr>
        <w:jc w:val="center"/>
        <w:bidi w:val="1"/>
      </w:pPr>
      <w:r>
        <w:rPr>
          <w:rFonts w:ascii="Arial" w:hAnsi="Arial"/>
          <w:b/>
          <w:color w:val="0B1C33"/>
          <w:sz w:val="22"/>
        </w:rPr>
        <w:t>طراحی و توسعه: ستایش جعفری — Setayesh Jafari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0B1C33"/>
          </w:tcPr>
          <w:p>
            <w:pPr>
              <w:jc w:val="center"/>
              <w:bidi w:val="1"/>
            </w:pPr>
            <w:r>
              <w:rPr>
                <w:rFonts w:ascii="Arial" w:hAnsi="Arial"/>
                <w:b/>
                <w:color w:val="FFFFFF"/>
              </w:rPr>
              <w:t>دامنه فعلی</w:t>
            </w:r>
          </w:p>
        </w:tc>
        <w:tc>
          <w:tcPr>
            <w:tcW w:type="dxa" w:w="3437"/>
            <w:shd w:fill="0B1C33"/>
          </w:tcPr>
          <w:p>
            <w:pPr>
              <w:jc w:val="center"/>
              <w:bidi w:val="1"/>
            </w:pPr>
            <w:r>
              <w:rPr>
                <w:rFonts w:ascii="Arial" w:hAnsi="Arial"/>
                <w:b/>
                <w:color w:val="FFFFFF"/>
              </w:rPr>
              <w:t>تمرکز</w:t>
            </w:r>
          </w:p>
        </w:tc>
        <w:tc>
          <w:tcPr>
            <w:tcW w:type="dxa" w:w="3437"/>
            <w:shd w:fill="0B1C33"/>
          </w:tcPr>
          <w:p>
            <w:pPr>
              <w:jc w:val="center"/>
              <w:bidi w:val="1"/>
            </w:pPr>
            <w:r>
              <w:rPr>
                <w:rFonts w:ascii="Arial" w:hAnsi="Arial"/>
                <w:b/>
                <w:color w:val="FFFFFF"/>
              </w:rPr>
              <w:t>خروجی</w:t>
            </w:r>
          </w:p>
        </w:tc>
      </w:tr>
      <w:tr>
        <w:tc>
          <w:tcPr>
            <w:tcW w:type="dxa" w:w="3437"/>
          </w:tcPr>
          <w:p>
            <w:pPr>
              <w:jc w:val="right"/>
              <w:bidi w:val="1"/>
            </w:pPr>
            <w:r>
              <w:t>تصمیم‌گیری واردات</w:t>
            </w:r>
          </w:p>
        </w:tc>
        <w:tc>
          <w:tcPr>
            <w:tcW w:type="dxa" w:w="3437"/>
          </w:tcPr>
          <w:p>
            <w:pPr>
              <w:jc w:val="right"/>
              <w:bidi w:val="1"/>
            </w:pPr>
            <w:r>
              <w:t>تحقیق بازار، تأمین‌کننده‌یابی، Due Diligence و RFQ</w:t>
            </w:r>
          </w:p>
        </w:tc>
        <w:tc>
          <w:tcPr>
            <w:tcW w:type="dxa" w:w="3437"/>
          </w:tcPr>
          <w:p>
            <w:pPr>
              <w:jc w:val="right"/>
              <w:bidi w:val="1"/>
            </w:pPr>
            <w:r>
              <w:t>گزارش Word، Workbook، RFQ و Methodology Log</w:t>
            </w:r>
          </w:p>
        </w:tc>
      </w:tr>
      <w:tr>
        <w:tc>
          <w:tcPr>
            <w:tcW w:type="dxa" w:w="3437"/>
            <w:shd w:fill="F4F7FA"/>
          </w:tcPr>
          <w:p>
            <w:pPr>
              <w:jc w:val="right"/>
              <w:bidi w:val="1"/>
            </w:pPr>
            <w:r>
              <w:t>مسیر توسعه</w:t>
            </w:r>
          </w:p>
        </w:tc>
        <w:tc>
          <w:tcPr>
            <w:tcW w:type="dxa" w:w="3437"/>
            <w:shd w:fill="F4F7FA"/>
          </w:tcPr>
          <w:p>
            <w:pPr>
              <w:jc w:val="right"/>
              <w:bidi w:val="1"/>
            </w:pPr>
            <w:r>
              <w:t>اتوماسیون صادرات و شناسایی خریدار</w:t>
            </w:r>
          </w:p>
        </w:tc>
        <w:tc>
          <w:tcPr>
            <w:tcW w:type="dxa" w:w="3437"/>
            <w:shd w:fill="F4F7FA"/>
          </w:tcPr>
          <w:p>
            <w:pPr>
              <w:jc w:val="right"/>
              <w:bidi w:val="1"/>
            </w:pPr>
            <w:r>
              <w:t>Export Readiness، Market Selection و Buyer Pipeline</w:t>
            </w:r>
          </w:p>
        </w:tc>
      </w:tr>
    </w:tbl>
    <w:p/>
    <w:p>
      <w:pPr>
        <w:jc w:val="center"/>
        <w:bidi w:val="1"/>
      </w:pPr>
      <w:r>
        <w:rPr>
          <w:rFonts w:ascii="Arial" w:hAnsi="Arial"/>
          <w:b w:val="0"/>
          <w:color w:val="475569"/>
          <w:sz w:val="20"/>
        </w:rPr>
        <w:t>این سند برای معرفی قابلیت‌ها، معماری، کنترل‌های کیفیت و نقشه توسعه تجارت‌یار تهیه شده است.</w:t>
      </w:r>
    </w:p>
    <w:p>
      <w:r>
        <w:br w:type="page"/>
      </w:r>
    </w:p>
    <w:p>
      <w:pPr>
        <w:pStyle w:val="Heading1"/>
        <w:jc w:val="right"/>
        <w:bidi w:val="1"/>
      </w:pPr>
      <w:r>
        <w:rPr>
          <w:rFonts w:ascii="Arial" w:hAnsi="Arial"/>
          <w:color w:val="0B1C33"/>
        </w:rPr>
        <w:t>۱. خلاصه مدیریتی</w:t>
      </w:r>
    </w:p>
    <w:p>
      <w:pPr>
        <w:jc w:val="right"/>
        <w:bidi w:val="1"/>
      </w:pPr>
      <w:r>
        <w:rPr>
          <w:rFonts w:ascii="Arial" w:hAnsi="Arial"/>
          <w:b w:val="0"/>
          <w:sz w:val="21"/>
        </w:rPr>
        <w:t>تجارت‌یار یک موتور تحقیق و تصمیم‌سازی است که داده خام وب را مستقیماً نتیجه تجاری تلقی نمی‌کند. سامانه میان سرنخ جست‌وجو، شرکت قابل شناسایی، گزینه واجد امتیازدهی و گزینه قابل شروع مذاکره تفکیک ایجاد می‌کند.</w:t>
      </w:r>
    </w:p>
    <w:p>
      <w:pPr>
        <w:pStyle w:val="Heading1"/>
        <w:jc w:val="right"/>
        <w:bidi w:val="1"/>
      </w:pPr>
      <w:r>
        <w:rPr>
          <w:rFonts w:ascii="Arial" w:hAnsi="Arial"/>
          <w:color w:val="0B1C33"/>
        </w:rPr>
        <w:t>مسئله اصلی</w:t>
      </w:r>
    </w:p>
    <w:p>
      <w:pPr>
        <w:pStyle w:val="ListBullet"/>
        <w:jc w:val="right"/>
        <w:bidi w:val="1"/>
      </w:pPr>
      <w:r>
        <w:t>نتایج جست‌وجو، صفحات دسته‌بندی، Buyer Lead، تبلیغات و شرکت واقعی معمولاً با هم مخلوط می‌شوند.</w:t>
      </w:r>
    </w:p>
    <w:p>
      <w:pPr>
        <w:pStyle w:val="ListBullet"/>
        <w:jc w:val="right"/>
        <w:bidi w:val="1"/>
      </w:pPr>
      <w:r>
        <w:t>ادعاهای گواهی، ظرفیت و صادرات بدون مدرک می‌توانند امتیاز غیرواقعی ایجاد کنند.</w:t>
      </w:r>
    </w:p>
    <w:p>
      <w:pPr>
        <w:pStyle w:val="ListBullet"/>
        <w:jc w:val="right"/>
        <w:bidi w:val="1"/>
      </w:pPr>
      <w:r>
        <w:t>انتخاب اجباری Top 5 یا Supplier اول، ریسک تصمیم‌گیری و اعتبار گزارش را بالا می‌برد.</w:t>
      </w:r>
    </w:p>
    <w:p>
      <w:pPr>
        <w:pStyle w:val="ListBullet"/>
        <w:jc w:val="right"/>
        <w:bidi w:val="1"/>
      </w:pPr>
      <w:r>
        <w:t>منابع رسمی، شواهد تجاری و ادعای فروشنده باید از یکدیگر تفکیک شوند.</w:t>
      </w:r>
    </w:p>
    <w:p>
      <w:pPr>
        <w:pStyle w:val="Heading1"/>
        <w:jc w:val="right"/>
        <w:bidi w:val="1"/>
      </w:pPr>
      <w:r>
        <w:rPr>
          <w:rFonts w:ascii="Arial" w:hAnsi="Arial"/>
          <w:color w:val="0B1C33"/>
        </w:rPr>
        <w:t>پاسخ تجارت‌یار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0B1C33"/>
          </w:tcPr>
          <w:p>
            <w:pPr>
              <w:jc w:val="center"/>
              <w:bidi w:val="1"/>
            </w:pPr>
            <w:r>
              <w:rPr>
                <w:rFonts w:ascii="Arial" w:hAnsi="Arial"/>
                <w:b/>
                <w:color w:val="FFFFFF"/>
              </w:rPr>
              <w:t>کنترل</w:t>
            </w:r>
          </w:p>
        </w:tc>
        <w:tc>
          <w:tcPr>
            <w:tcW w:type="dxa" w:w="5156"/>
            <w:shd w:fill="0B1C33"/>
          </w:tcPr>
          <w:p>
            <w:pPr>
              <w:jc w:val="center"/>
              <w:bidi w:val="1"/>
            </w:pPr>
            <w:r>
              <w:rPr>
                <w:rFonts w:ascii="Arial" w:hAnsi="Arial"/>
                <w:b/>
                <w:color w:val="FFFFFF"/>
              </w:rPr>
              <w:t>کارکرد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Evidence Gate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نتیجه خام تا عبور از فیلتر ارتباط و اعتبار وارد Source Log پذیرفته نمی‌شود.</w:t>
            </w:r>
          </w:p>
        </w:tc>
      </w:tr>
      <w:tr>
        <w:tc>
          <w:tcPr>
            <w:tcW w:type="dxa" w:w="5156"/>
            <w:shd w:fill="F4F7FA"/>
          </w:tcPr>
          <w:p>
            <w:pPr>
              <w:jc w:val="right"/>
              <w:bidi w:val="1"/>
            </w:pPr>
            <w:r>
              <w:t>Entity Resolution</w:t>
            </w:r>
          </w:p>
        </w:tc>
        <w:tc>
          <w:tcPr>
            <w:tcW w:type="dxa" w:w="5156"/>
            <w:shd w:fill="F4F7FA"/>
          </w:tcPr>
          <w:p>
            <w:pPr>
              <w:jc w:val="right"/>
              <w:bidi w:val="1"/>
            </w:pPr>
            <w:r>
              <w:t>نام، دامنه، کشور، ایمیل و محصول برای هر شرکت جدا تطبیق داده می‌شود.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Evidence Cap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ادعای تأییدنشده سقف امتیاز دارد؛ Response پیش از پاسخ واقعی صفر/N/A است.</w:t>
            </w:r>
          </w:p>
        </w:tc>
      </w:tr>
      <w:tr>
        <w:tc>
          <w:tcPr>
            <w:tcW w:type="dxa" w:w="5156"/>
            <w:shd w:fill="F4F7FA"/>
          </w:tcPr>
          <w:p>
            <w:pPr>
              <w:jc w:val="right"/>
              <w:bidi w:val="1"/>
            </w:pPr>
            <w:r>
              <w:t>Decision Gate</w:t>
            </w:r>
          </w:p>
        </w:tc>
        <w:tc>
          <w:tcPr>
            <w:tcW w:type="dxa" w:w="5156"/>
            <w:shd w:fill="F4F7FA"/>
          </w:tcPr>
          <w:p>
            <w:pPr>
              <w:jc w:val="right"/>
              <w:bidi w:val="1"/>
            </w:pPr>
            <w:r>
              <w:t>اگر شواهد کافی نباشد، Not Ready گزارش می‌شود و نتیجه ساختگی تولید نمی‌شود.</w:t>
            </w:r>
          </w:p>
        </w:tc>
      </w:tr>
    </w:tbl>
    <w:p/>
    <w:p>
      <w:r>
        <w:br w:type="page"/>
      </w:r>
    </w:p>
    <w:p>
      <w:pPr>
        <w:pStyle w:val="Heading1"/>
        <w:jc w:val="right"/>
        <w:bidi w:val="1"/>
      </w:pPr>
      <w:r>
        <w:rPr>
          <w:rFonts w:ascii="Arial" w:hAnsi="Arial"/>
          <w:color w:val="0B1C33"/>
        </w:rPr>
        <w:t>۲. جریان پردازش حرفه‌ای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701"/>
            <w:shd w:fill="0B1C33"/>
          </w:tcPr>
          <w:p>
            <w:pPr>
              <w:jc w:val="center"/>
              <w:bidi w:val="1"/>
            </w:pPr>
            <w:r>
              <w:rPr>
                <w:rFonts w:ascii="Arial" w:hAnsi="Arial"/>
                <w:b/>
                <w:color w:val="FFFFFF"/>
              </w:rPr>
              <w:t>گام</w:t>
            </w:r>
          </w:p>
        </w:tc>
        <w:tc>
          <w:tcPr>
            <w:tcW w:type="dxa" w:w="3969"/>
            <w:shd w:fill="0B1C33"/>
          </w:tcPr>
          <w:p>
            <w:pPr>
              <w:jc w:val="center"/>
              <w:bidi w:val="1"/>
            </w:pPr>
            <w:r>
              <w:rPr>
                <w:rFonts w:ascii="Arial" w:hAnsi="Arial"/>
                <w:b/>
                <w:color w:val="FFFFFF"/>
              </w:rPr>
              <w:t>خروجی</w:t>
            </w:r>
          </w:p>
        </w:tc>
        <w:tc>
          <w:tcPr>
            <w:tcW w:type="dxa" w:w="3969"/>
            <w:shd w:fill="0B1C33"/>
          </w:tcPr>
          <w:p>
            <w:pPr>
              <w:jc w:val="center"/>
              <w:bidi w:val="1"/>
            </w:pPr>
            <w:r>
              <w:rPr>
                <w:rFonts w:ascii="Arial" w:hAnsi="Arial"/>
                <w:b/>
                <w:color w:val="FFFFFF"/>
              </w:rPr>
              <w:t>کنترل کیفیت</w:t>
            </w:r>
          </w:p>
        </w:tc>
      </w:tr>
      <w:tr>
        <w:tc>
          <w:tcPr>
            <w:tcW w:type="dxa" w:w="1701"/>
          </w:tcPr>
          <w:p>
            <w:pPr>
              <w:jc w:val="right"/>
              <w:bidi w:val="1"/>
            </w:pPr>
            <w:r>
              <w:t>۱. Intake</w:t>
            </w:r>
          </w:p>
        </w:tc>
        <w:tc>
          <w:tcPr>
            <w:tcW w:type="dxa" w:w="3969"/>
          </w:tcPr>
          <w:p>
            <w:pPr>
              <w:jc w:val="right"/>
              <w:bidi w:val="1"/>
            </w:pPr>
            <w:r>
              <w:t>دامنه فنی و تجاری کالا</w:t>
            </w:r>
          </w:p>
        </w:tc>
        <w:tc>
          <w:tcPr>
            <w:tcW w:type="dxa" w:w="3969"/>
          </w:tcPr>
          <w:p>
            <w:pPr>
              <w:jc w:val="right"/>
              <w:bidi w:val="1"/>
            </w:pPr>
            <w:r>
              <w:t>کنترل کامل‌بودن نام، مشخصات، مقدار و مبدأ</w:t>
            </w:r>
          </w:p>
        </w:tc>
      </w:tr>
      <w:tr>
        <w:tc>
          <w:tcPr>
            <w:tcW w:type="dxa" w:w="1701"/>
            <w:shd w:fill="F4F7FA"/>
          </w:tcPr>
          <w:p>
            <w:pPr>
              <w:jc w:val="right"/>
              <w:bidi w:val="1"/>
            </w:pPr>
            <w:r>
              <w:t>۲. Product &amp; HS Research</w:t>
            </w:r>
          </w:p>
        </w:tc>
        <w:tc>
          <w:tcPr>
            <w:tcW w:type="dxa" w:w="3969"/>
            <w:shd w:fill="F4F7FA"/>
          </w:tcPr>
          <w:p>
            <w:pPr>
              <w:jc w:val="right"/>
              <w:bidi w:val="1"/>
            </w:pPr>
            <w:r>
              <w:t>Product Brief و HS candidate</w:t>
            </w:r>
          </w:p>
        </w:tc>
        <w:tc>
          <w:tcPr>
            <w:tcW w:type="dxa" w:w="3969"/>
            <w:shd w:fill="F4F7FA"/>
          </w:tcPr>
          <w:p>
            <w:pPr>
              <w:jc w:val="right"/>
              <w:bidi w:val="1"/>
            </w:pPr>
            <w:r>
              <w:t>تفکیک HS شش‌رقمی و کد ملی؛ الزام کنترل رسمی</w:t>
            </w:r>
          </w:p>
        </w:tc>
      </w:tr>
      <w:tr>
        <w:tc>
          <w:tcPr>
            <w:tcW w:type="dxa" w:w="1701"/>
          </w:tcPr>
          <w:p>
            <w:pPr>
              <w:jc w:val="right"/>
              <w:bidi w:val="1"/>
            </w:pPr>
            <w:r>
              <w:t>۳. Iran Market &amp; Regulation</w:t>
            </w:r>
          </w:p>
        </w:tc>
        <w:tc>
          <w:tcPr>
            <w:tcW w:type="dxa" w:w="3969"/>
          </w:tcPr>
          <w:p>
            <w:pPr>
              <w:jc w:val="right"/>
              <w:bidi w:val="1"/>
            </w:pPr>
            <w:r>
              <w:t>Snapshot و Regulatory Checklist</w:t>
            </w:r>
          </w:p>
        </w:tc>
        <w:tc>
          <w:tcPr>
            <w:tcW w:type="dxa" w:w="3969"/>
          </w:tcPr>
          <w:p>
            <w:pPr>
              <w:jc w:val="right"/>
              <w:bidi w:val="1"/>
            </w:pPr>
            <w:r>
              <w:t>تفکیک هشدار وب از تأیید رسمی</w:t>
            </w:r>
          </w:p>
        </w:tc>
      </w:tr>
      <w:tr>
        <w:tc>
          <w:tcPr>
            <w:tcW w:type="dxa" w:w="1701"/>
            <w:shd w:fill="F4F7FA"/>
          </w:tcPr>
          <w:p>
            <w:pPr>
              <w:jc w:val="right"/>
              <w:bidi w:val="1"/>
            </w:pPr>
            <w:r>
              <w:t>۴. Supplier Discovery</w:t>
            </w:r>
          </w:p>
        </w:tc>
        <w:tc>
          <w:tcPr>
            <w:tcW w:type="dxa" w:w="3969"/>
            <w:shd w:fill="F4F7FA"/>
          </w:tcPr>
          <w:p>
            <w:pPr>
              <w:jc w:val="right"/>
              <w:bidi w:val="1"/>
            </w:pPr>
            <w:r>
              <w:t>Raw leads</w:t>
            </w:r>
          </w:p>
        </w:tc>
        <w:tc>
          <w:tcPr>
            <w:tcW w:type="dxa" w:w="3969"/>
            <w:shd w:fill="F4F7FA"/>
          </w:tcPr>
          <w:p>
            <w:pPr>
              <w:jc w:val="right"/>
              <w:bidi w:val="1"/>
            </w:pPr>
            <w:r>
              <w:t>جست‌وجوی نقش‌محور، مبدأمحور و B2B</w:t>
            </w:r>
          </w:p>
        </w:tc>
      </w:tr>
      <w:tr>
        <w:tc>
          <w:tcPr>
            <w:tcW w:type="dxa" w:w="1701"/>
          </w:tcPr>
          <w:p>
            <w:pPr>
              <w:jc w:val="right"/>
              <w:bidi w:val="1"/>
            </w:pPr>
            <w:r>
              <w:t>۵. Entity Extraction</w:t>
            </w:r>
          </w:p>
        </w:tc>
        <w:tc>
          <w:tcPr>
            <w:tcW w:type="dxa" w:w="3969"/>
          </w:tcPr>
          <w:p>
            <w:pPr>
              <w:jc w:val="right"/>
              <w:bidi w:val="1"/>
            </w:pPr>
            <w:r>
              <w:t>نام و هویت کاندید</w:t>
            </w:r>
          </w:p>
        </w:tc>
        <w:tc>
          <w:tcPr>
            <w:tcW w:type="dxa" w:w="3969"/>
          </w:tcPr>
          <w:p>
            <w:pPr>
              <w:jc w:val="right"/>
              <w:bidi w:val="1"/>
            </w:pPr>
            <w:r>
              <w:t>حذف category، article، social، directory و buyer lead</w:t>
            </w:r>
          </w:p>
        </w:tc>
      </w:tr>
      <w:tr>
        <w:tc>
          <w:tcPr>
            <w:tcW w:type="dxa" w:w="1701"/>
            <w:shd w:fill="F4F7FA"/>
          </w:tcPr>
          <w:p>
            <w:pPr>
              <w:jc w:val="right"/>
              <w:bidi w:val="1"/>
            </w:pPr>
            <w:r>
              <w:t>۶. Scoring</w:t>
            </w:r>
          </w:p>
        </w:tc>
        <w:tc>
          <w:tcPr>
            <w:tcW w:type="dxa" w:w="3969"/>
            <w:shd w:fill="F4F7FA"/>
          </w:tcPr>
          <w:p>
            <w:pPr>
              <w:jc w:val="right"/>
              <w:bidi w:val="1"/>
            </w:pPr>
            <w:r>
              <w:t>ماتریس ۱۰۰ امتیازی</w:t>
            </w:r>
          </w:p>
        </w:tc>
        <w:tc>
          <w:tcPr>
            <w:tcW w:type="dxa" w:w="3969"/>
            <w:shd w:fill="F4F7FA"/>
          </w:tcPr>
          <w:p>
            <w:pPr>
              <w:jc w:val="right"/>
              <w:bidi w:val="1"/>
            </w:pPr>
            <w:r>
              <w:t>Evidence Cap و Hard Gate</w:t>
            </w:r>
          </w:p>
        </w:tc>
      </w:tr>
      <w:tr>
        <w:tc>
          <w:tcPr>
            <w:tcW w:type="dxa" w:w="1701"/>
          </w:tcPr>
          <w:p>
            <w:pPr>
              <w:jc w:val="right"/>
              <w:bidi w:val="1"/>
            </w:pPr>
            <w:r>
              <w:t>۷. Due Diligence</w:t>
            </w:r>
          </w:p>
        </w:tc>
        <w:tc>
          <w:tcPr>
            <w:tcW w:type="dxa" w:w="3969"/>
          </w:tcPr>
          <w:p>
            <w:pPr>
              <w:jc w:val="right"/>
              <w:bidi w:val="1"/>
            </w:pPr>
            <w:r>
              <w:t>کارت‌های Top 5</w:t>
            </w:r>
          </w:p>
        </w:tc>
        <w:tc>
          <w:tcPr>
            <w:tcW w:type="dxa" w:w="3969"/>
          </w:tcPr>
          <w:p>
            <w:pPr>
              <w:jc w:val="right"/>
              <w:bidi w:val="1"/>
            </w:pPr>
            <w:r>
              <w:t>عدم اشتراک داده مبهم میان شرکت‌ها</w:t>
            </w:r>
          </w:p>
        </w:tc>
      </w:tr>
      <w:tr>
        <w:tc>
          <w:tcPr>
            <w:tcW w:type="dxa" w:w="1701"/>
            <w:shd w:fill="F4F7FA"/>
          </w:tcPr>
          <w:p>
            <w:pPr>
              <w:jc w:val="right"/>
              <w:bidi w:val="1"/>
            </w:pPr>
            <w:r>
              <w:t>۸. RFQ</w:t>
            </w:r>
          </w:p>
        </w:tc>
        <w:tc>
          <w:tcPr>
            <w:tcW w:type="dxa" w:w="3969"/>
            <w:shd w:fill="F4F7FA"/>
          </w:tcPr>
          <w:p>
            <w:pPr>
              <w:jc w:val="right"/>
              <w:bidi w:val="1"/>
            </w:pPr>
            <w:r>
              <w:t>پیش‌نویس‌های محصول‌محور</w:t>
            </w:r>
          </w:p>
        </w:tc>
        <w:tc>
          <w:tcPr>
            <w:tcW w:type="dxa" w:w="3969"/>
            <w:shd w:fill="F4F7FA"/>
          </w:tcPr>
          <w:p>
            <w:pPr>
              <w:jc w:val="right"/>
              <w:bidi w:val="1"/>
            </w:pPr>
            <w:r>
              <w:t>DRAFT برای هویت تأییدنشده</w:t>
            </w:r>
          </w:p>
        </w:tc>
      </w:tr>
      <w:tr>
        <w:tc>
          <w:tcPr>
            <w:tcW w:type="dxa" w:w="1701"/>
          </w:tcPr>
          <w:p>
            <w:pPr>
              <w:jc w:val="right"/>
              <w:bidi w:val="1"/>
            </w:pPr>
            <w:r>
              <w:t>۹. Decision</w:t>
            </w:r>
          </w:p>
        </w:tc>
        <w:tc>
          <w:tcPr>
            <w:tcW w:type="dxa" w:w="3969"/>
          </w:tcPr>
          <w:p>
            <w:pPr>
              <w:jc w:val="right"/>
              <w:bidi w:val="1"/>
            </w:pPr>
            <w:r>
              <w:t>First/Second یا Not Ready</w:t>
            </w:r>
          </w:p>
        </w:tc>
        <w:tc>
          <w:tcPr>
            <w:tcW w:type="dxa" w:w="3969"/>
          </w:tcPr>
          <w:p>
            <w:pPr>
              <w:jc w:val="right"/>
              <w:bidi w:val="1"/>
            </w:pPr>
            <w:r>
              <w:t>انتخاب فقط بین گزینه‌های واجد شرایط</w:t>
            </w:r>
          </w:p>
        </w:tc>
      </w:tr>
      <w:tr>
        <w:tc>
          <w:tcPr>
            <w:tcW w:type="dxa" w:w="1701"/>
            <w:shd w:fill="F4F7FA"/>
          </w:tcPr>
          <w:p>
            <w:pPr>
              <w:jc w:val="right"/>
              <w:bidi w:val="1"/>
            </w:pPr>
            <w:r>
              <w:t>۱۰. Deliverables</w:t>
            </w:r>
          </w:p>
        </w:tc>
        <w:tc>
          <w:tcPr>
            <w:tcW w:type="dxa" w:w="3969"/>
            <w:shd w:fill="F4F7FA"/>
          </w:tcPr>
          <w:p>
            <w:pPr>
              <w:jc w:val="right"/>
              <w:bidi w:val="1"/>
            </w:pPr>
            <w:r>
              <w:t>Word، Excel، RFQ و Methodology</w:t>
            </w:r>
          </w:p>
        </w:tc>
        <w:tc>
          <w:tcPr>
            <w:tcW w:type="dxa" w:w="3969"/>
            <w:shd w:fill="F4F7FA"/>
          </w:tcPr>
          <w:p>
            <w:pPr>
              <w:jc w:val="right"/>
              <w:bidi w:val="1"/>
            </w:pPr>
            <w:r>
              <w:t>QA Dashboard و Source Log</w:t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Arial" w:hAnsi="Arial"/>
          <w:color w:val="0B1C33"/>
        </w:rPr>
        <w:t>معیارهای اصلی امتیازدهی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0B1C33"/>
          </w:tcPr>
          <w:p>
            <w:pPr>
              <w:jc w:val="center"/>
              <w:bidi w:val="1"/>
            </w:pPr>
            <w:r>
              <w:rPr>
                <w:rFonts w:ascii="Arial" w:hAnsi="Arial"/>
                <w:b/>
                <w:color w:val="FFFFFF"/>
              </w:rPr>
              <w:t>معیار</w:t>
            </w:r>
          </w:p>
        </w:tc>
        <w:tc>
          <w:tcPr>
            <w:tcW w:type="dxa" w:w="3437"/>
            <w:shd w:fill="0B1C33"/>
          </w:tcPr>
          <w:p>
            <w:pPr>
              <w:jc w:val="center"/>
              <w:bidi w:val="1"/>
            </w:pPr>
            <w:r>
              <w:rPr>
                <w:rFonts w:ascii="Arial" w:hAnsi="Arial"/>
                <w:b/>
                <w:color w:val="FFFFFF"/>
              </w:rPr>
              <w:t>سقف</w:t>
            </w:r>
          </w:p>
        </w:tc>
        <w:tc>
          <w:tcPr>
            <w:tcW w:type="dxa" w:w="3437"/>
            <w:shd w:fill="0B1C33"/>
          </w:tcPr>
          <w:p>
            <w:pPr>
              <w:jc w:val="center"/>
              <w:bidi w:val="1"/>
            </w:pPr>
            <w:r>
              <w:rPr>
                <w:rFonts w:ascii="Arial" w:hAnsi="Arial"/>
                <w:b/>
                <w:color w:val="FFFFFF"/>
              </w:rPr>
              <w:t>قاعده</w:t>
            </w:r>
          </w:p>
        </w:tc>
      </w:tr>
      <w:tr>
        <w:tc>
          <w:tcPr>
            <w:tcW w:type="dxa" w:w="3437"/>
          </w:tcPr>
          <w:p>
            <w:pPr>
              <w:jc w:val="right"/>
              <w:bidi w:val="1"/>
            </w:pPr>
            <w:r>
              <w:t>تطابق محصول</w:t>
            </w:r>
          </w:p>
        </w:tc>
        <w:tc>
          <w:tcPr>
            <w:tcW w:type="dxa" w:w="3437"/>
          </w:tcPr>
          <w:p>
            <w:pPr>
              <w:jc w:val="right"/>
              <w:bidi w:val="1"/>
            </w:pPr>
            <w:r>
              <w:t>۲۰</w:t>
            </w:r>
          </w:p>
        </w:tc>
        <w:tc>
          <w:tcPr>
            <w:tcW w:type="dxa" w:w="3437"/>
          </w:tcPr>
          <w:p>
            <w:pPr>
              <w:jc w:val="right"/>
              <w:bidi w:val="1"/>
            </w:pPr>
            <w:r>
              <w:t>بر اساس صفحه/شاهد همان شرکت</w:t>
            </w:r>
          </w:p>
        </w:tc>
      </w:tr>
      <w:tr>
        <w:tc>
          <w:tcPr>
            <w:tcW w:type="dxa" w:w="3437"/>
            <w:shd w:fill="F4F7FA"/>
          </w:tcPr>
          <w:p>
            <w:pPr>
              <w:jc w:val="right"/>
              <w:bidi w:val="1"/>
            </w:pPr>
            <w:r>
              <w:t>حضور دیجیتال</w:t>
            </w:r>
          </w:p>
        </w:tc>
        <w:tc>
          <w:tcPr>
            <w:tcW w:type="dxa" w:w="3437"/>
            <w:shd w:fill="F4F7FA"/>
          </w:tcPr>
          <w:p>
            <w:pPr>
              <w:jc w:val="right"/>
              <w:bidi w:val="1"/>
            </w:pPr>
            <w:r>
              <w:t>۱۵</w:t>
            </w:r>
          </w:p>
        </w:tc>
        <w:tc>
          <w:tcPr>
            <w:tcW w:type="dxa" w:w="3437"/>
            <w:shd w:fill="F4F7FA"/>
          </w:tcPr>
          <w:p>
            <w:pPr>
              <w:jc w:val="right"/>
              <w:bidi w:val="1"/>
            </w:pPr>
            <w:r>
              <w:t>وب‌سایت، نام حقوقی، تماس و سابقه</w:t>
            </w:r>
          </w:p>
        </w:tc>
      </w:tr>
      <w:tr>
        <w:tc>
          <w:tcPr>
            <w:tcW w:type="dxa" w:w="3437"/>
          </w:tcPr>
          <w:p>
            <w:pPr>
              <w:jc w:val="right"/>
              <w:bidi w:val="1"/>
            </w:pPr>
            <w:r>
              <w:t>شواهد صادرات</w:t>
            </w:r>
          </w:p>
        </w:tc>
        <w:tc>
          <w:tcPr>
            <w:tcW w:type="dxa" w:w="3437"/>
          </w:tcPr>
          <w:p>
            <w:pPr>
              <w:jc w:val="right"/>
              <w:bidi w:val="1"/>
            </w:pPr>
            <w:r>
              <w:t>۱۵</w:t>
            </w:r>
          </w:p>
        </w:tc>
        <w:tc>
          <w:tcPr>
            <w:tcW w:type="dxa" w:w="3437"/>
          </w:tcPr>
          <w:p>
            <w:pPr>
              <w:jc w:val="right"/>
              <w:bidi w:val="1"/>
            </w:pPr>
            <w:r>
              <w:t>ادعای عمومی بدون سند سقف دارد</w:t>
            </w:r>
          </w:p>
        </w:tc>
      </w:tr>
      <w:tr>
        <w:tc>
          <w:tcPr>
            <w:tcW w:type="dxa" w:w="3437"/>
            <w:shd w:fill="F4F7FA"/>
          </w:tcPr>
          <w:p>
            <w:pPr>
              <w:jc w:val="right"/>
              <w:bidi w:val="1"/>
            </w:pPr>
            <w:r>
              <w:t>گواهی‌ها</w:t>
            </w:r>
          </w:p>
        </w:tc>
        <w:tc>
          <w:tcPr>
            <w:tcW w:type="dxa" w:w="3437"/>
            <w:shd w:fill="F4F7FA"/>
          </w:tcPr>
          <w:p>
            <w:pPr>
              <w:jc w:val="right"/>
              <w:bidi w:val="1"/>
            </w:pPr>
            <w:r>
              <w:t>۱۰</w:t>
            </w:r>
          </w:p>
        </w:tc>
        <w:tc>
          <w:tcPr>
            <w:tcW w:type="dxa" w:w="3437"/>
            <w:shd w:fill="F4F7FA"/>
          </w:tcPr>
          <w:p>
            <w:pPr>
              <w:jc w:val="right"/>
              <w:bidi w:val="1"/>
            </w:pPr>
            <w:r>
              <w:t>ادعای بدون شماره/مرجع حداکثر ۲</w:t>
            </w:r>
          </w:p>
        </w:tc>
      </w:tr>
      <w:tr>
        <w:tc>
          <w:tcPr>
            <w:tcW w:type="dxa" w:w="3437"/>
          </w:tcPr>
          <w:p>
            <w:pPr>
              <w:jc w:val="right"/>
              <w:bidi w:val="1"/>
            </w:pPr>
            <w:r>
              <w:t>شفافیت هویتی</w:t>
            </w:r>
          </w:p>
        </w:tc>
        <w:tc>
          <w:tcPr>
            <w:tcW w:type="dxa" w:w="3437"/>
          </w:tcPr>
          <w:p>
            <w:pPr>
              <w:jc w:val="right"/>
              <w:bidi w:val="1"/>
            </w:pPr>
            <w:r>
              <w:t>۱۰</w:t>
            </w:r>
          </w:p>
        </w:tc>
        <w:tc>
          <w:tcPr>
            <w:tcW w:type="dxa" w:w="3437"/>
          </w:tcPr>
          <w:p>
            <w:pPr>
              <w:jc w:val="right"/>
              <w:bidi w:val="1"/>
            </w:pPr>
            <w:r>
              <w:t>نام، کشور، دامنه و ایمیل</w:t>
            </w:r>
          </w:p>
        </w:tc>
      </w:tr>
      <w:tr>
        <w:tc>
          <w:tcPr>
            <w:tcW w:type="dxa" w:w="3437"/>
            <w:shd w:fill="F4F7FA"/>
          </w:tcPr>
          <w:p>
            <w:pPr>
              <w:jc w:val="right"/>
              <w:bidi w:val="1"/>
            </w:pPr>
            <w:r>
              <w:t>توان تولید</w:t>
            </w:r>
          </w:p>
        </w:tc>
        <w:tc>
          <w:tcPr>
            <w:tcW w:type="dxa" w:w="3437"/>
            <w:shd w:fill="F4F7FA"/>
          </w:tcPr>
          <w:p>
            <w:pPr>
              <w:jc w:val="right"/>
              <w:bidi w:val="1"/>
            </w:pPr>
            <w:r>
              <w:t>۱۰</w:t>
            </w:r>
          </w:p>
        </w:tc>
        <w:tc>
          <w:tcPr>
            <w:tcW w:type="dxa" w:w="3437"/>
            <w:shd w:fill="F4F7FA"/>
          </w:tcPr>
          <w:p>
            <w:pPr>
              <w:jc w:val="right"/>
              <w:bidi w:val="1"/>
            </w:pPr>
            <w:r>
              <w:t>شاهد فرآیند و ظرفیت عددی</w:t>
            </w:r>
          </w:p>
        </w:tc>
      </w:tr>
      <w:tr>
        <w:tc>
          <w:tcPr>
            <w:tcW w:type="dxa" w:w="3437"/>
          </w:tcPr>
          <w:p>
            <w:pPr>
              <w:jc w:val="right"/>
              <w:bidi w:val="1"/>
            </w:pPr>
            <w:r>
              <w:t>شرایط تجاری</w:t>
            </w:r>
          </w:p>
        </w:tc>
        <w:tc>
          <w:tcPr>
            <w:tcW w:type="dxa" w:w="3437"/>
          </w:tcPr>
          <w:p>
            <w:pPr>
              <w:jc w:val="right"/>
              <w:bidi w:val="1"/>
            </w:pPr>
            <w:r>
              <w:t>۱۰</w:t>
            </w:r>
          </w:p>
        </w:tc>
        <w:tc>
          <w:tcPr>
            <w:tcW w:type="dxa" w:w="3437"/>
          </w:tcPr>
          <w:p>
            <w:pPr>
              <w:jc w:val="right"/>
              <w:bidi w:val="1"/>
            </w:pPr>
            <w:r>
              <w:t>تا دریافت Quote سقف دارد</w:t>
            </w:r>
          </w:p>
        </w:tc>
      </w:tr>
      <w:tr>
        <w:tc>
          <w:tcPr>
            <w:tcW w:type="dxa" w:w="3437"/>
            <w:shd w:fill="F4F7FA"/>
          </w:tcPr>
          <w:p>
            <w:pPr>
              <w:jc w:val="right"/>
              <w:bidi w:val="1"/>
            </w:pPr>
            <w:r>
              <w:t>پاسخ‌گویی</w:t>
            </w:r>
          </w:p>
        </w:tc>
        <w:tc>
          <w:tcPr>
            <w:tcW w:type="dxa" w:w="3437"/>
            <w:shd w:fill="F4F7FA"/>
          </w:tcPr>
          <w:p>
            <w:pPr>
              <w:jc w:val="right"/>
              <w:bidi w:val="1"/>
            </w:pPr>
            <w:r>
              <w:t>۱۰</w:t>
            </w:r>
          </w:p>
        </w:tc>
        <w:tc>
          <w:tcPr>
            <w:tcW w:type="dxa" w:w="3437"/>
            <w:shd w:fill="F4F7FA"/>
          </w:tcPr>
          <w:p>
            <w:pPr>
              <w:jc w:val="right"/>
              <w:bidi w:val="1"/>
            </w:pPr>
            <w:r>
              <w:t>پیش از پاسخ واقعی صفر/N/A</w:t>
            </w:r>
          </w:p>
        </w:tc>
      </w:tr>
    </w:tbl>
    <w:p/>
    <w:p>
      <w:r>
        <w:br w:type="page"/>
      </w:r>
    </w:p>
    <w:p>
      <w:pPr>
        <w:pStyle w:val="Heading1"/>
        <w:jc w:val="right"/>
        <w:bidi w:val="1"/>
      </w:pPr>
      <w:r>
        <w:rPr>
          <w:rFonts w:ascii="Arial" w:hAnsi="Arial"/>
          <w:color w:val="0B1C33"/>
        </w:rPr>
        <w:t>۳. خروجی‌های مدیریتی</w:t>
      </w:r>
    </w:p>
    <w:p>
      <w:pPr>
        <w:pStyle w:val="ListBullet"/>
        <w:jc w:val="right"/>
        <w:bidi w:val="1"/>
      </w:pPr>
      <w:r>
        <w:t>Executive Dashboard شامل KPIهای Longlist، Shortlist، Evidence Log و QA</w:t>
      </w:r>
    </w:p>
    <w:p>
      <w:pPr>
        <w:pStyle w:val="ListBullet"/>
        <w:jc w:val="right"/>
        <w:bidi w:val="1"/>
      </w:pPr>
      <w:r>
        <w:t>Product Brief و کاندید HS با دلیل و سطح اطمینان</w:t>
      </w:r>
    </w:p>
    <w:p>
      <w:pPr>
        <w:pStyle w:val="ListBullet"/>
        <w:jc w:val="right"/>
        <w:bidi w:val="1"/>
      </w:pPr>
      <w:r>
        <w:t>Import Opportunity Snapshot و ماتریس مقررات</w:t>
      </w:r>
    </w:p>
    <w:p>
      <w:pPr>
        <w:pStyle w:val="ListBullet"/>
        <w:jc w:val="right"/>
        <w:bidi w:val="1"/>
      </w:pPr>
      <w:r>
        <w:t>Longlist با Identity Status، Candidate Grade و Product Match</w:t>
      </w:r>
    </w:p>
    <w:p>
      <w:pPr>
        <w:pStyle w:val="ListBullet"/>
        <w:jc w:val="right"/>
        <w:bidi w:val="1"/>
      </w:pPr>
      <w:r>
        <w:t>Supplier Scoring Matrix و دلایل هر معیار</w:t>
      </w:r>
    </w:p>
    <w:p>
      <w:pPr>
        <w:pStyle w:val="ListBullet"/>
        <w:jc w:val="right"/>
        <w:bidi w:val="1"/>
      </w:pPr>
      <w:r>
        <w:t>Due Diligence Card شامل Green/Red Flag و Citation Grade</w:t>
      </w:r>
    </w:p>
    <w:p>
      <w:pPr>
        <w:pStyle w:val="ListBullet"/>
        <w:jc w:val="right"/>
        <w:bidi w:val="1"/>
      </w:pPr>
      <w:r>
        <w:t>RFQ Package با سؤالات فنی و اعتبارسنجی متناسب با گروه کالا</w:t>
      </w:r>
    </w:p>
    <w:p>
      <w:pPr>
        <w:pStyle w:val="ListBullet"/>
        <w:jc w:val="right"/>
        <w:bidi w:val="1"/>
      </w:pPr>
      <w:r>
        <w:t>Source Log شامل Evidence ID، Claim، Authority Grade، Relevance و تاریخ</w:t>
      </w:r>
    </w:p>
    <w:p>
      <w:pPr>
        <w:pStyle w:val="ListBullet"/>
        <w:jc w:val="right"/>
        <w:bidi w:val="1"/>
      </w:pPr>
      <w:r>
        <w:t>RFQ Response Tracker و قالب فرمول‌دار Landed Cost بدون عدد فرضی</w:t>
      </w:r>
    </w:p>
    <w:p>
      <w:pPr>
        <w:pStyle w:val="Heading1"/>
        <w:jc w:val="right"/>
        <w:bidi w:val="1"/>
      </w:pPr>
      <w:r>
        <w:rPr>
          <w:rFonts w:ascii="Arial" w:hAnsi="Arial"/>
          <w:color w:val="0B1C33"/>
        </w:rPr>
        <w:t>معماری فنی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0B1C33"/>
          </w:tcPr>
          <w:p>
            <w:pPr>
              <w:jc w:val="center"/>
              <w:bidi w:val="1"/>
            </w:pPr>
            <w:r>
              <w:rPr>
                <w:rFonts w:ascii="Arial" w:hAnsi="Arial"/>
                <w:b/>
                <w:color w:val="FFFFFF"/>
              </w:rPr>
              <w:t>لایه</w:t>
            </w:r>
          </w:p>
        </w:tc>
        <w:tc>
          <w:tcPr>
            <w:tcW w:type="dxa" w:w="5156"/>
            <w:shd w:fill="0B1C33"/>
          </w:tcPr>
          <w:p>
            <w:pPr>
              <w:jc w:val="center"/>
              <w:bidi w:val="1"/>
            </w:pPr>
            <w:r>
              <w:rPr>
                <w:rFonts w:ascii="Arial" w:hAnsi="Arial"/>
                <w:b/>
                <w:color w:val="FFFFFF"/>
              </w:rPr>
              <w:t>فناوری / نقش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Application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Python، Flask، Gunicorn</w:t>
            </w:r>
          </w:p>
        </w:tc>
      </w:tr>
      <w:tr>
        <w:tc>
          <w:tcPr>
            <w:tcW w:type="dxa" w:w="5156"/>
            <w:shd w:fill="F4F7FA"/>
          </w:tcPr>
          <w:p>
            <w:pPr>
              <w:jc w:val="right"/>
              <w:bidi w:val="1"/>
            </w:pPr>
            <w:r>
              <w:t>Research</w:t>
            </w:r>
          </w:p>
        </w:tc>
        <w:tc>
          <w:tcPr>
            <w:tcW w:type="dxa" w:w="5156"/>
            <w:shd w:fill="F4F7FA"/>
          </w:tcPr>
          <w:p>
            <w:pPr>
              <w:jc w:val="right"/>
              <w:bidi w:val="1"/>
            </w:pPr>
            <w:r>
              <w:t>ddgs public web search و targeted site search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Extraction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BeautifulSoup، Trafilatura و JSON-LD Organization</w:t>
            </w:r>
          </w:p>
        </w:tc>
      </w:tr>
      <w:tr>
        <w:tc>
          <w:tcPr>
            <w:tcW w:type="dxa" w:w="5156"/>
            <w:shd w:fill="F4F7FA"/>
          </w:tcPr>
          <w:p>
            <w:pPr>
              <w:jc w:val="right"/>
              <w:bidi w:val="1"/>
            </w:pPr>
            <w:r>
              <w:t>Decision</w:t>
            </w:r>
          </w:p>
        </w:tc>
        <w:tc>
          <w:tcPr>
            <w:tcW w:type="dxa" w:w="5156"/>
            <w:shd w:fill="F4F7FA"/>
          </w:tcPr>
          <w:p>
            <w:pPr>
              <w:jc w:val="right"/>
              <w:bidi w:val="1"/>
            </w:pPr>
            <w:r>
              <w:t>Deterministic Entity Resolution، Evidence Scoring و Hard Gate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Deliverables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python-docx و openpyxl</w:t>
            </w:r>
          </w:p>
        </w:tc>
      </w:tr>
      <w:tr>
        <w:tc>
          <w:tcPr>
            <w:tcW w:type="dxa" w:w="5156"/>
            <w:shd w:fill="F4F7FA"/>
          </w:tcPr>
          <w:p>
            <w:pPr>
              <w:jc w:val="right"/>
              <w:bidi w:val="1"/>
            </w:pPr>
            <w:r>
              <w:t>Deployment</w:t>
            </w:r>
          </w:p>
        </w:tc>
        <w:tc>
          <w:tcPr>
            <w:tcW w:type="dxa" w:w="5156"/>
            <w:shd w:fill="F4F7FA"/>
          </w:tcPr>
          <w:p>
            <w:pPr>
              <w:jc w:val="right"/>
              <w:bidi w:val="1"/>
            </w:pPr>
            <w:r>
              <w:t>Docker، Colab و Cloudflare Tunnel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Security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Job Token، TTL، input limit و same-origin access</w:t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Arial" w:hAnsi="Arial"/>
          <w:color w:val="0B1C33"/>
        </w:rPr>
        <w:t>حاکمیت داده</w:t>
      </w:r>
    </w:p>
    <w:p>
      <w:pPr>
        <w:jc w:val="right"/>
        <w:bidi w:val="1"/>
      </w:pPr>
      <w:r>
        <w:rPr>
          <w:rFonts w:ascii="Arial" w:hAnsi="Arial"/>
          <w:b w:val="0"/>
          <w:sz w:val="21"/>
        </w:rPr>
        <w:t>تجارت‌یار استفاده از API یا پایگاه‌هایی را که واقعاً اجرا نشده‌اند ادعا نمی‌کند. سامانه نتیجه رسمی کنترل‌نشده، ثبت شرکت، گواهی یا وضعیت مجوز را Verified اعلام نمی‌کند.</w:t>
      </w:r>
    </w:p>
    <w:p>
      <w:r>
        <w:br w:type="page"/>
      </w:r>
    </w:p>
    <w:p>
      <w:pPr>
        <w:pStyle w:val="Heading1"/>
        <w:jc w:val="right"/>
        <w:bidi w:val="1"/>
      </w:pPr>
      <w:r>
        <w:rPr>
          <w:rFonts w:ascii="Arial" w:hAnsi="Arial"/>
          <w:color w:val="0B1C33"/>
        </w:rPr>
        <w:t>۴. نقشه توسعه اتوماسیون صادرات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0B1C33"/>
          </w:tcPr>
          <w:p>
            <w:pPr>
              <w:jc w:val="center"/>
              <w:bidi w:val="1"/>
            </w:pPr>
            <w:r>
              <w:rPr>
                <w:rFonts w:ascii="Arial" w:hAnsi="Arial"/>
                <w:b/>
                <w:color w:val="FFFFFF"/>
              </w:rPr>
              <w:t>ماژول</w:t>
            </w:r>
          </w:p>
        </w:tc>
        <w:tc>
          <w:tcPr>
            <w:tcW w:type="dxa" w:w="3437"/>
            <w:shd w:fill="0B1C33"/>
          </w:tcPr>
          <w:p>
            <w:pPr>
              <w:jc w:val="center"/>
              <w:bidi w:val="1"/>
            </w:pPr>
            <w:r>
              <w:rPr>
                <w:rFonts w:ascii="Arial" w:hAnsi="Arial"/>
                <w:b/>
                <w:color w:val="FFFFFF"/>
              </w:rPr>
              <w:t>هدف</w:t>
            </w:r>
          </w:p>
        </w:tc>
        <w:tc>
          <w:tcPr>
            <w:tcW w:type="dxa" w:w="3437"/>
            <w:shd w:fill="0B1C33"/>
          </w:tcPr>
          <w:p>
            <w:pPr>
              <w:jc w:val="center"/>
              <w:bidi w:val="1"/>
            </w:pPr>
            <w:r>
              <w:rPr>
                <w:rFonts w:ascii="Arial" w:hAnsi="Arial"/>
                <w:b/>
                <w:color w:val="FFFFFF"/>
              </w:rPr>
              <w:t>خروجی پیشنهادی</w:t>
            </w:r>
          </w:p>
        </w:tc>
      </w:tr>
      <w:tr>
        <w:tc>
          <w:tcPr>
            <w:tcW w:type="dxa" w:w="3437"/>
          </w:tcPr>
          <w:p>
            <w:pPr>
              <w:jc w:val="right"/>
              <w:bidi w:val="1"/>
            </w:pPr>
            <w:r>
              <w:t>Export Readiness</w:t>
            </w:r>
          </w:p>
        </w:tc>
        <w:tc>
          <w:tcPr>
            <w:tcW w:type="dxa" w:w="3437"/>
          </w:tcPr>
          <w:p>
            <w:pPr>
              <w:jc w:val="right"/>
              <w:bidi w:val="1"/>
            </w:pPr>
            <w:r>
              <w:t>سنجش آمادگی شرکت و محصول برای صادرات</w:t>
            </w:r>
          </w:p>
        </w:tc>
        <w:tc>
          <w:tcPr>
            <w:tcW w:type="dxa" w:w="3437"/>
          </w:tcPr>
          <w:p>
            <w:pPr>
              <w:jc w:val="right"/>
              <w:bidi w:val="1"/>
            </w:pPr>
            <w:r>
              <w:t>Readiness Score و Gap Analysis</w:t>
            </w:r>
          </w:p>
        </w:tc>
      </w:tr>
      <w:tr>
        <w:tc>
          <w:tcPr>
            <w:tcW w:type="dxa" w:w="3437"/>
            <w:shd w:fill="F4F7FA"/>
          </w:tcPr>
          <w:p>
            <w:pPr>
              <w:jc w:val="right"/>
              <w:bidi w:val="1"/>
            </w:pPr>
            <w:r>
              <w:t>Market Selection</w:t>
            </w:r>
          </w:p>
        </w:tc>
        <w:tc>
          <w:tcPr>
            <w:tcW w:type="dxa" w:w="3437"/>
            <w:shd w:fill="F4F7FA"/>
          </w:tcPr>
          <w:p>
            <w:pPr>
              <w:jc w:val="right"/>
              <w:bidi w:val="1"/>
            </w:pPr>
            <w:r>
              <w:t>رتبه‌بندی کشورهای هدف</w:t>
            </w:r>
          </w:p>
        </w:tc>
        <w:tc>
          <w:tcPr>
            <w:tcW w:type="dxa" w:w="3437"/>
            <w:shd w:fill="F4F7FA"/>
          </w:tcPr>
          <w:p>
            <w:pPr>
              <w:jc w:val="right"/>
              <w:bidi w:val="1"/>
            </w:pPr>
            <w:r>
              <w:t>Country Attractiveness Matrix</w:t>
            </w:r>
          </w:p>
        </w:tc>
      </w:tr>
      <w:tr>
        <w:tc>
          <w:tcPr>
            <w:tcW w:type="dxa" w:w="3437"/>
          </w:tcPr>
          <w:p>
            <w:pPr>
              <w:jc w:val="right"/>
              <w:bidi w:val="1"/>
            </w:pPr>
            <w:r>
              <w:t>Buyer Discovery</w:t>
            </w:r>
          </w:p>
        </w:tc>
        <w:tc>
          <w:tcPr>
            <w:tcW w:type="dxa" w:w="3437"/>
          </w:tcPr>
          <w:p>
            <w:pPr>
              <w:jc w:val="right"/>
              <w:bidi w:val="1"/>
            </w:pPr>
            <w:r>
              <w:t>شناسایی واردکننده، توزیع‌کننده و خریدار</w:t>
            </w:r>
          </w:p>
        </w:tc>
        <w:tc>
          <w:tcPr>
            <w:tcW w:type="dxa" w:w="3437"/>
          </w:tcPr>
          <w:p>
            <w:pPr>
              <w:jc w:val="right"/>
              <w:bidi w:val="1"/>
            </w:pPr>
            <w:r>
              <w:t>Qualified Buyer List</w:t>
            </w:r>
          </w:p>
        </w:tc>
      </w:tr>
      <w:tr>
        <w:tc>
          <w:tcPr>
            <w:tcW w:type="dxa" w:w="3437"/>
            <w:shd w:fill="F4F7FA"/>
          </w:tcPr>
          <w:p>
            <w:pPr>
              <w:jc w:val="right"/>
              <w:bidi w:val="1"/>
            </w:pPr>
            <w:r>
              <w:t>Buyer Due Diligence</w:t>
            </w:r>
          </w:p>
        </w:tc>
        <w:tc>
          <w:tcPr>
            <w:tcW w:type="dxa" w:w="3437"/>
            <w:shd w:fill="F4F7FA"/>
          </w:tcPr>
          <w:p>
            <w:pPr>
              <w:jc w:val="right"/>
              <w:bidi w:val="1"/>
            </w:pPr>
            <w:r>
              <w:t>اعتبارسنجی هویت و توان خرید</w:t>
            </w:r>
          </w:p>
        </w:tc>
        <w:tc>
          <w:tcPr>
            <w:tcW w:type="dxa" w:w="3437"/>
            <w:shd w:fill="F4F7FA"/>
          </w:tcPr>
          <w:p>
            <w:pPr>
              <w:jc w:val="right"/>
              <w:bidi w:val="1"/>
            </w:pPr>
            <w:r>
              <w:t>Buyer Risk Card</w:t>
            </w:r>
          </w:p>
        </w:tc>
      </w:tr>
      <w:tr>
        <w:tc>
          <w:tcPr>
            <w:tcW w:type="dxa" w:w="3437"/>
          </w:tcPr>
          <w:p>
            <w:pPr>
              <w:jc w:val="right"/>
              <w:bidi w:val="1"/>
            </w:pPr>
            <w:r>
              <w:t>Market Access</w:t>
            </w:r>
          </w:p>
        </w:tc>
        <w:tc>
          <w:tcPr>
            <w:tcW w:type="dxa" w:w="3437"/>
          </w:tcPr>
          <w:p>
            <w:pPr>
              <w:jc w:val="right"/>
              <w:bidi w:val="1"/>
            </w:pPr>
            <w:r>
              <w:t>تعرفه و موانع غیرتعرفه‌ای مقصد</w:t>
            </w:r>
          </w:p>
        </w:tc>
        <w:tc>
          <w:tcPr>
            <w:tcW w:type="dxa" w:w="3437"/>
          </w:tcPr>
          <w:p>
            <w:pPr>
              <w:jc w:val="right"/>
              <w:bidi w:val="1"/>
            </w:pPr>
            <w:r>
              <w:t>Market Access Checklist</w:t>
            </w:r>
          </w:p>
        </w:tc>
      </w:tr>
      <w:tr>
        <w:tc>
          <w:tcPr>
            <w:tcW w:type="dxa" w:w="3437"/>
            <w:shd w:fill="F4F7FA"/>
          </w:tcPr>
          <w:p>
            <w:pPr>
              <w:jc w:val="right"/>
              <w:bidi w:val="1"/>
            </w:pPr>
            <w:r>
              <w:t>Export Offer</w:t>
            </w:r>
          </w:p>
        </w:tc>
        <w:tc>
          <w:tcPr>
            <w:tcW w:type="dxa" w:w="3437"/>
            <w:shd w:fill="F4F7FA"/>
          </w:tcPr>
          <w:p>
            <w:pPr>
              <w:jc w:val="right"/>
              <w:bidi w:val="1"/>
            </w:pPr>
            <w:r>
              <w:t>ساخت معرفی، Offer و شروط تجاری</w:t>
            </w:r>
          </w:p>
        </w:tc>
        <w:tc>
          <w:tcPr>
            <w:tcW w:type="dxa" w:w="3437"/>
            <w:shd w:fill="F4F7FA"/>
          </w:tcPr>
          <w:p>
            <w:pPr>
              <w:jc w:val="right"/>
              <w:bidi w:val="1"/>
            </w:pPr>
            <w:r>
              <w:t>Offer Pack و Outreach Sequence</w:t>
            </w:r>
          </w:p>
        </w:tc>
      </w:tr>
      <w:tr>
        <w:tc>
          <w:tcPr>
            <w:tcW w:type="dxa" w:w="3437"/>
          </w:tcPr>
          <w:p>
            <w:pPr>
              <w:jc w:val="right"/>
              <w:bidi w:val="1"/>
            </w:pPr>
            <w:r>
              <w:t>Export CRM</w:t>
            </w:r>
          </w:p>
        </w:tc>
        <w:tc>
          <w:tcPr>
            <w:tcW w:type="dxa" w:w="3437"/>
          </w:tcPr>
          <w:p>
            <w:pPr>
              <w:jc w:val="right"/>
              <w:bidi w:val="1"/>
            </w:pPr>
            <w:r>
              <w:t>پیگیری ارتباط، پاسخ و مذاکره</w:t>
            </w:r>
          </w:p>
        </w:tc>
        <w:tc>
          <w:tcPr>
            <w:tcW w:type="dxa" w:w="3437"/>
          </w:tcPr>
          <w:p>
            <w:pPr>
              <w:jc w:val="right"/>
              <w:bidi w:val="1"/>
            </w:pPr>
            <w:r>
              <w:t>Buyer Pipeline Dashboard</w:t>
            </w:r>
          </w:p>
        </w:tc>
      </w:tr>
      <w:tr>
        <w:tc>
          <w:tcPr>
            <w:tcW w:type="dxa" w:w="3437"/>
            <w:shd w:fill="F4F7FA"/>
          </w:tcPr>
          <w:p>
            <w:pPr>
              <w:jc w:val="right"/>
              <w:bidi w:val="1"/>
            </w:pPr>
            <w:r>
              <w:t>Logistics &amp; Payment</w:t>
            </w:r>
          </w:p>
        </w:tc>
        <w:tc>
          <w:tcPr>
            <w:tcW w:type="dxa" w:w="3437"/>
            <w:shd w:fill="F4F7FA"/>
          </w:tcPr>
          <w:p>
            <w:pPr>
              <w:jc w:val="right"/>
              <w:bidi w:val="1"/>
            </w:pPr>
            <w:r>
              <w:t>مقایسه مسیر حمل، Incoterm و وصول</w:t>
            </w:r>
          </w:p>
        </w:tc>
        <w:tc>
          <w:tcPr>
            <w:tcW w:type="dxa" w:w="3437"/>
            <w:shd w:fill="F4F7FA"/>
          </w:tcPr>
          <w:p>
            <w:pPr>
              <w:jc w:val="right"/>
              <w:bidi w:val="1"/>
            </w:pPr>
            <w:r>
              <w:t>Scenario Matrix</w:t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Arial" w:hAnsi="Arial"/>
          <w:color w:val="0B1C33"/>
        </w:rPr>
        <w:t>پیشنهاد مدل همکاری</w:t>
      </w:r>
    </w:p>
    <w:p>
      <w:pPr>
        <w:pStyle w:val="ListBullet"/>
        <w:jc w:val="right"/>
        <w:bidi w:val="1"/>
      </w:pPr>
      <w:r>
        <w:t>فاز ۱: تعریف Scope، گروه محصول و بازارهای مقصد آزمایشی</w:t>
      </w:r>
    </w:p>
    <w:p>
      <w:pPr>
        <w:pStyle w:val="ListBullet"/>
        <w:jc w:val="right"/>
        <w:bidi w:val="1"/>
      </w:pPr>
      <w:r>
        <w:t>فاز ۲: طراحی Data Schema و معیارهای Export Readiness/Buyer Qualification</w:t>
      </w:r>
    </w:p>
    <w:p>
      <w:pPr>
        <w:pStyle w:val="ListBullet"/>
        <w:jc w:val="right"/>
        <w:bidi w:val="1"/>
      </w:pPr>
      <w:r>
        <w:t>فاز ۳: ساخت MVP و تست با چند سناریوی واقعی</w:t>
      </w:r>
    </w:p>
    <w:p>
      <w:pPr>
        <w:pStyle w:val="ListBullet"/>
        <w:jc w:val="right"/>
        <w:bidi w:val="1"/>
      </w:pPr>
      <w:r>
        <w:t>فاز ۴: اتصال منابع تخصصی، بازخورد کارشناس و کنترل‌های رسمی</w:t>
      </w:r>
    </w:p>
    <w:p>
      <w:pPr>
        <w:pStyle w:val="ListBullet"/>
        <w:jc w:val="right"/>
        <w:bidi w:val="1"/>
      </w:pPr>
      <w:r>
        <w:t>فاز ۵: داشبورد عملیاتی، CRM و مدیریت چرخه مذاکره صادراتی</w:t>
      </w:r>
    </w:p>
    <w:p>
      <w:pPr>
        <w:pStyle w:val="Heading1"/>
        <w:jc w:val="right"/>
        <w:bidi w:val="1"/>
      </w:pPr>
      <w:r>
        <w:rPr>
          <w:rFonts w:ascii="Arial" w:hAnsi="Arial"/>
          <w:color w:val="0B1C33"/>
        </w:rPr>
        <w:t>۵. حدود مسئولیت</w:t>
      </w:r>
    </w:p>
    <w:p>
      <w:pPr>
        <w:jc w:val="right"/>
        <w:bidi w:val="1"/>
      </w:pPr>
      <w:r>
        <w:rPr>
          <w:rFonts w:ascii="Arial" w:hAnsi="Arial"/>
          <w:b w:val="0"/>
          <w:sz w:val="21"/>
        </w:rPr>
        <w:t>تجارت‌یار یک سامانه پشتیبان تصمیم است. خروجی آن جایگزین استعلام رسمی، مشاوره حقوقی/گمرکی/بانکی، کنترل استاندارد، بازرسی، ثبت شرکت، اعتبارسنجی گواهی یا تصمیم نهایی خرید و فروش نیست.</w:t>
      </w:r>
    </w:p>
    <w:p>
      <w:pPr>
        <w:jc w:val="center"/>
        <w:bidi w:val="1"/>
      </w:pPr>
      <w:r>
        <w:rPr>
          <w:rFonts w:ascii="Arial" w:hAnsi="Arial"/>
          <w:b/>
          <w:color w:val="0284C7"/>
          <w:sz w:val="20"/>
        </w:rPr>
        <w:t>TEJARATYAR 3.0 — Designed and developed by Setayesh Jafari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 w:val="1"/>
    </w:pPr>
    <w:r>
      <w:rPr>
        <w:color w:val="475569"/>
        <w:sz w:val="16"/>
      </w:rPr>
      <w:t>طراحی و توسعه: ستایش جعفری  |  Setayesh Jafari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bidi w:val="1"/>
    </w:pPr>
    <w:r>
      <w:rPr>
        <w:color w:val="475569"/>
        <w:sz w:val="16"/>
      </w:rPr>
      <w:t>TEJARATYAR  |  PROFESSIONAL PRODUCT OVERVIEW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TejaratYar Professional Product Overview</dc:title>
  <dc:subject>Evidence-first import decision system and export automation roadmap</dc:subject>
  <dc:creator>Setayesh Jafari</dc:creator>
  <cp:keywords/>
  <dc:description>Professional presentation document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