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B168" w14:textId="77777777" w:rsidR="00A86940" w:rsidRDefault="006724C4" w:rsidP="00562FEC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Rescale the county level flows. Currently the tool seems to be maintaining the state-level scale even when counties are selected.</w:t>
      </w:r>
      <w:r w:rsidR="00A86940">
        <w:rPr>
          <w:rFonts w:eastAsia="Times New Roman"/>
        </w:rPr>
        <w:t xml:space="preserve"> </w:t>
      </w:r>
    </w:p>
    <w:p w14:paraId="6A1A84EB" w14:textId="1A46D4A3" w:rsidR="0069478E" w:rsidRDefault="00A86940" w:rsidP="0069478E">
      <w:pPr>
        <w:ind w:left="720"/>
        <w:rPr>
          <w:rFonts w:eastAsia="Times New Roman"/>
          <w:color w:val="148BCC" w:themeColor="accent1"/>
        </w:rPr>
      </w:pPr>
      <w:r>
        <w:rPr>
          <w:rFonts w:eastAsia="Times New Roman"/>
          <w:color w:val="148BCC" w:themeColor="accent1"/>
        </w:rPr>
        <w:t>Talking point for June 3</w:t>
      </w:r>
      <w:r w:rsidRPr="00A86940">
        <w:rPr>
          <w:rFonts w:eastAsia="Times New Roman"/>
          <w:color w:val="148BCC" w:themeColor="accent1"/>
          <w:vertAlign w:val="superscript"/>
        </w:rPr>
        <w:t>rd</w:t>
      </w:r>
      <w:r>
        <w:rPr>
          <w:rFonts w:eastAsia="Times New Roman"/>
          <w:color w:val="148BCC" w:themeColor="accent1"/>
        </w:rPr>
        <w:t xml:space="preserve"> – mention that other tabs exist </w:t>
      </w:r>
      <w:r w:rsidR="0069478E">
        <w:rPr>
          <w:rFonts w:eastAsia="Times New Roman"/>
          <w:color w:val="148BCC" w:themeColor="accent1"/>
        </w:rPr>
        <w:t>to show this information</w:t>
      </w:r>
    </w:p>
    <w:p w14:paraId="0075AAD5" w14:textId="77777777" w:rsidR="0069478E" w:rsidRDefault="0069478E" w:rsidP="0069478E">
      <w:pPr>
        <w:ind w:left="720"/>
        <w:rPr>
          <w:rFonts w:eastAsia="Times New Roman"/>
          <w:color w:val="148BCC" w:themeColor="accent1"/>
        </w:rPr>
      </w:pPr>
    </w:p>
    <w:p w14:paraId="5D308B70" w14:textId="166A20B6" w:rsidR="006724C4" w:rsidRPr="0050192F" w:rsidRDefault="006724C4" w:rsidP="0069478E">
      <w:pPr>
        <w:ind w:left="720"/>
        <w:rPr>
          <w:rFonts w:eastAsia="Times New Roman"/>
        </w:rPr>
      </w:pPr>
      <w:r w:rsidRPr="0050192F">
        <w:rPr>
          <w:rFonts w:eastAsia="Times New Roman"/>
        </w:rPr>
        <w:t>Count</w:t>
      </w:r>
      <w:r w:rsidR="00966B14">
        <w:rPr>
          <w:rFonts w:eastAsia="Times New Roman"/>
        </w:rPr>
        <w:t>y</w:t>
      </w:r>
      <w:r w:rsidRPr="0050192F">
        <w:rPr>
          <w:rFonts w:eastAsia="Times New Roman"/>
        </w:rPr>
        <w:t xml:space="preserve"> level flows are available in the other tabs/ drop down options</w:t>
      </w:r>
    </w:p>
    <w:p w14:paraId="3D6F68AC" w14:textId="750F888E" w:rsidR="00562FEC" w:rsidRPr="0050192F" w:rsidRDefault="00562FEC" w:rsidP="00562FEC">
      <w:pPr>
        <w:numPr>
          <w:ilvl w:val="2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In the ITTS county to county tab one can see county flows</w:t>
      </w:r>
    </w:p>
    <w:p w14:paraId="6C7DE87C" w14:textId="0503EABB" w:rsidR="00562FEC" w:rsidRPr="0050192F" w:rsidRDefault="00562FEC" w:rsidP="00562FEC">
      <w:pPr>
        <w:numPr>
          <w:ilvl w:val="2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In the ITTS County to state one can see how a county trades with other states</w:t>
      </w:r>
    </w:p>
    <w:p w14:paraId="7FEEA7C3" w14:textId="550A2002" w:rsidR="006724C4" w:rsidRPr="0050192F" w:rsidRDefault="00562FEC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Proposed c</w:t>
      </w:r>
      <w:r w:rsidR="006724C4" w:rsidRPr="0050192F">
        <w:rPr>
          <w:rFonts w:eastAsia="Times New Roman"/>
        </w:rPr>
        <w:t xml:space="preserve">hange: </w:t>
      </w:r>
      <w:r w:rsidRPr="0050192F">
        <w:rPr>
          <w:rFonts w:eastAsia="Times New Roman"/>
        </w:rPr>
        <w:t>Change tab text</w:t>
      </w:r>
      <w:r w:rsidR="006724C4" w:rsidRPr="0050192F">
        <w:rPr>
          <w:rFonts w:eastAsia="Times New Roman"/>
        </w:rPr>
        <w:t xml:space="preserve"> to better orient users to the</w:t>
      </w:r>
      <w:r w:rsidR="00DA51F3" w:rsidRPr="0050192F">
        <w:rPr>
          <w:rFonts w:eastAsia="Times New Roman"/>
        </w:rPr>
        <w:t xml:space="preserve"> page content</w:t>
      </w:r>
    </w:p>
    <w:p w14:paraId="19B05503" w14:textId="559551C8" w:rsidR="00DA51F3" w:rsidRPr="0050192F" w:rsidRDefault="00562FEC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Proposed change</w:t>
      </w:r>
      <w:r w:rsidR="00DA51F3" w:rsidRPr="0050192F">
        <w:rPr>
          <w:rFonts w:eastAsia="Times New Roman"/>
        </w:rPr>
        <w:t xml:space="preserve">: </w:t>
      </w:r>
      <w:r w:rsidRPr="0050192F">
        <w:rPr>
          <w:rFonts w:eastAsia="Times New Roman"/>
        </w:rPr>
        <w:t>Change</w:t>
      </w:r>
      <w:r w:rsidR="00DA51F3" w:rsidRPr="0050192F">
        <w:rPr>
          <w:rFonts w:eastAsia="Times New Roman"/>
        </w:rPr>
        <w:t xml:space="preserve"> welcome</w:t>
      </w:r>
      <w:r w:rsidRPr="0050192F">
        <w:rPr>
          <w:rFonts w:eastAsia="Times New Roman"/>
        </w:rPr>
        <w:t xml:space="preserve"> tab/start user in welcome</w:t>
      </w:r>
      <w:r w:rsidR="00DA51F3" w:rsidRPr="0050192F">
        <w:rPr>
          <w:rFonts w:eastAsia="Times New Roman"/>
        </w:rPr>
        <w:t xml:space="preserve"> to better explain </w:t>
      </w:r>
      <w:r w:rsidRPr="0050192F">
        <w:rPr>
          <w:rFonts w:eastAsia="Times New Roman"/>
        </w:rPr>
        <w:t xml:space="preserve">aspects of the tool </w:t>
      </w:r>
    </w:p>
    <w:p w14:paraId="58693734" w14:textId="77777777" w:rsidR="006724C4" w:rsidRPr="0050192F" w:rsidRDefault="006724C4" w:rsidP="006724C4">
      <w:pPr>
        <w:ind w:left="720"/>
        <w:rPr>
          <w:rFonts w:eastAsia="Times New Roman"/>
        </w:rPr>
      </w:pPr>
    </w:p>
    <w:p w14:paraId="4FBE01C4" w14:textId="37058D38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Show all counties in the drop-down menu and place them in alphabetical order by state. Currently, users aren't able to scroll through the full list of counties though they can select them on the map. </w:t>
      </w:r>
      <w:r w:rsidR="00562FEC" w:rsidRPr="0050192F">
        <w:rPr>
          <w:rFonts w:eastAsia="Times New Roman"/>
        </w:rPr>
        <w:t xml:space="preserve"> </w:t>
      </w:r>
    </w:p>
    <w:p w14:paraId="2AFF815C" w14:textId="6EA1344C" w:rsidR="00E9202D" w:rsidRDefault="00E9202D" w:rsidP="00E9202D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Add more explanation</w:t>
      </w:r>
    </w:p>
    <w:p w14:paraId="701449AD" w14:textId="4A90CA2B" w:rsidR="00A6168C" w:rsidRPr="0050192F" w:rsidRDefault="00A6168C" w:rsidP="00E9202D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Add</w:t>
      </w:r>
      <w:r w:rsidR="00A86940">
        <w:rPr>
          <w:rFonts w:eastAsia="Times New Roman"/>
        </w:rPr>
        <w:t xml:space="preserve"> some tip for search </w:t>
      </w:r>
    </w:p>
    <w:p w14:paraId="613BC365" w14:textId="75090D3E" w:rsidR="0005166D" w:rsidRPr="0050192F" w:rsidRDefault="00562FEC" w:rsidP="0005166D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  <w:b/>
          <w:bCs/>
        </w:rPr>
        <w:t>Seth - fixed</w:t>
      </w:r>
      <w:r w:rsidR="0005166D" w:rsidRPr="0050192F">
        <w:rPr>
          <w:rFonts w:eastAsia="Times New Roman"/>
          <w:b/>
          <w:bCs/>
        </w:rPr>
        <w:t xml:space="preserve"> by expanding maximum allowable inputs</w:t>
      </w:r>
      <w:r w:rsidR="0069478E">
        <w:rPr>
          <w:rFonts w:eastAsia="Times New Roman"/>
          <w:b/>
          <w:bCs/>
        </w:rPr>
        <w:t xml:space="preserve"> – update this has been fixed</w:t>
      </w:r>
    </w:p>
    <w:p w14:paraId="5C6F4CE2" w14:textId="77777777" w:rsidR="0005166D" w:rsidRPr="0050192F" w:rsidRDefault="0005166D" w:rsidP="0005166D">
      <w:pPr>
        <w:rPr>
          <w:rFonts w:eastAsia="Times New Roman"/>
        </w:rPr>
      </w:pPr>
    </w:p>
    <w:p w14:paraId="278EAF3D" w14:textId="77777777" w:rsidR="00562FEC" w:rsidRPr="0050192F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Add unit labels to all of the plots (e.g., Million $, Thousand Tons, etc.).</w:t>
      </w:r>
      <w:r w:rsidRPr="0050192F">
        <w:rPr>
          <w:rFonts w:eastAsia="Times New Roman"/>
          <w:b/>
          <w:bCs/>
        </w:rPr>
        <w:t> </w:t>
      </w:r>
    </w:p>
    <w:p w14:paraId="475696B8" w14:textId="78D2A223" w:rsidR="006724C4" w:rsidRPr="0050192F" w:rsidRDefault="00562FEC" w:rsidP="00562FEC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  <w:b/>
          <w:bCs/>
        </w:rPr>
        <w:t>Seth -fixed by adding units to all graphs in the map</w:t>
      </w:r>
      <w:r w:rsidRPr="0050192F">
        <w:rPr>
          <w:rFonts w:eastAsia="Times New Roman"/>
        </w:rPr>
        <w:t xml:space="preserve"> </w:t>
      </w:r>
      <w:r w:rsidR="0069478E">
        <w:rPr>
          <w:rFonts w:eastAsia="Times New Roman"/>
        </w:rPr>
        <w:t xml:space="preserve"> -fixed</w:t>
      </w:r>
    </w:p>
    <w:p w14:paraId="0B645677" w14:textId="77777777" w:rsidR="0005166D" w:rsidRPr="0050192F" w:rsidRDefault="0005166D" w:rsidP="0005166D">
      <w:pPr>
        <w:ind w:left="720"/>
        <w:rPr>
          <w:rFonts w:eastAsia="Times New Roman"/>
        </w:rPr>
      </w:pPr>
    </w:p>
    <w:p w14:paraId="5FE0DFF7" w14:textId="77777777" w:rsidR="006724C4" w:rsidRPr="0050192F" w:rsidRDefault="006724C4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Add the option to select the ITTS region to the scenario analyzer. (I know we intentionally omitted this for performance.) </w:t>
      </w:r>
      <w:r w:rsidRPr="0050192F">
        <w:rPr>
          <w:rFonts w:eastAsia="Times New Roman"/>
          <w:b/>
          <w:bCs/>
        </w:rPr>
        <w:t xml:space="preserve">– </w:t>
      </w:r>
      <w:hyperlink r:id="rId11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714EF768" w14:textId="4B150958" w:rsidR="00000682" w:rsidRPr="00750978" w:rsidRDefault="00000682" w:rsidP="00000682">
      <w:pPr>
        <w:numPr>
          <w:ilvl w:val="1"/>
          <w:numId w:val="9"/>
        </w:numPr>
        <w:rPr>
          <w:rFonts w:eastAsia="Times New Roman"/>
          <w:b/>
          <w:bCs/>
        </w:rPr>
      </w:pPr>
      <w:r w:rsidRPr="0050192F">
        <w:t xml:space="preserve">Seth – fixed by adding </w:t>
      </w:r>
      <w:r w:rsidR="00EF06AB" w:rsidRPr="0050192F">
        <w:t xml:space="preserve">it back </w:t>
      </w:r>
      <w:proofErr w:type="spellStart"/>
      <w:r w:rsidR="00EF06AB" w:rsidRPr="0050192F">
        <w:t>haha</w:t>
      </w:r>
      <w:proofErr w:type="spellEnd"/>
    </w:p>
    <w:p w14:paraId="338F56B7" w14:textId="3B350BE9" w:rsidR="00750978" w:rsidRPr="0050192F" w:rsidRDefault="00750978" w:rsidP="00000682">
      <w:pPr>
        <w:numPr>
          <w:ilvl w:val="1"/>
          <w:numId w:val="9"/>
        </w:numPr>
        <w:rPr>
          <w:rFonts w:eastAsia="Times New Roman"/>
          <w:b/>
          <w:bCs/>
        </w:rPr>
      </w:pPr>
      <w:r>
        <w:t>Pre-aggregate dat</w:t>
      </w:r>
      <w:r w:rsidR="005A2182">
        <w:t>a</w:t>
      </w:r>
    </w:p>
    <w:p w14:paraId="0F377BBE" w14:textId="77777777" w:rsidR="00233A18" w:rsidRPr="0050192F" w:rsidRDefault="00233A18" w:rsidP="00233A18">
      <w:pPr>
        <w:rPr>
          <w:rFonts w:eastAsia="Times New Roman"/>
        </w:rPr>
      </w:pPr>
    </w:p>
    <w:p w14:paraId="50FCFFBD" w14:textId="77777777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Add back in the international tab. (Again, I know we intentionally removed this temporarily.) </w:t>
      </w:r>
    </w:p>
    <w:p w14:paraId="5C9D1157" w14:textId="5019B313" w:rsidR="00966B14" w:rsidRDefault="00966B14" w:rsidP="00966B14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Data has been updated (thanks Chris) </w:t>
      </w:r>
    </w:p>
    <w:p w14:paraId="3143E12D" w14:textId="6EF1E89E" w:rsidR="00966B14" w:rsidRPr="0050192F" w:rsidRDefault="00966B14" w:rsidP="00966B14">
      <w:pPr>
        <w:numPr>
          <w:ilvl w:val="2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Need to fix table/charts and implement scenarios? </w:t>
      </w:r>
    </w:p>
    <w:p w14:paraId="46E802CD" w14:textId="77777777" w:rsidR="006724C4" w:rsidRPr="0050192F" w:rsidRDefault="006724C4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Drop "scenario" from the name of the first tab so user's aren't confused about which one has the scenario planning component. </w:t>
      </w:r>
      <w:r w:rsidRPr="0050192F">
        <w:rPr>
          <w:rFonts w:eastAsia="Times New Roman"/>
          <w:b/>
          <w:bCs/>
        </w:rPr>
        <w:t xml:space="preserve">– </w:t>
      </w:r>
      <w:hyperlink r:id="rId12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4DC05D65" w14:textId="6C9260A2" w:rsidR="006724C4" w:rsidRPr="0050192F" w:rsidRDefault="00C9263D" w:rsidP="00102B47">
      <w:pPr>
        <w:numPr>
          <w:ilvl w:val="1"/>
          <w:numId w:val="9"/>
        </w:numPr>
      </w:pPr>
      <w:r w:rsidRPr="0050192F">
        <w:t xml:space="preserve">Seth – changed this to “Trade Explorer” ? </w:t>
      </w:r>
    </w:p>
    <w:p w14:paraId="7E24062A" w14:textId="77777777" w:rsidR="00102B47" w:rsidRPr="0050192F" w:rsidRDefault="00102B47" w:rsidP="006724C4">
      <w:pPr>
        <w:rPr>
          <w:rFonts w:eastAsia="Times New Roman"/>
          <w:b/>
          <w:bCs/>
        </w:rPr>
      </w:pPr>
    </w:p>
    <w:p w14:paraId="67CBCD3F" w14:textId="470D65E7" w:rsidR="006724C4" w:rsidRPr="0050192F" w:rsidRDefault="006724C4" w:rsidP="006724C4">
      <w:pPr>
        <w:rPr>
          <w:rFonts w:eastAsia="Times New Roman"/>
        </w:rPr>
      </w:pPr>
      <w:r w:rsidRPr="0050192F">
        <w:rPr>
          <w:rFonts w:eastAsia="Times New Roman"/>
          <w:b/>
          <w:bCs/>
        </w:rPr>
        <w:t>Plan for draft user guide</w:t>
      </w:r>
    </w:p>
    <w:p w14:paraId="108DD6C3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Define Template/Format + page budget </w:t>
      </w:r>
      <w:hyperlink r:id="rId13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@Christopher Lindsey</w:t>
        </w:r>
      </w:hyperlink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</w:p>
    <w:p w14:paraId="2C74A765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>Draft Annotated Outline</w:t>
      </w:r>
      <w:r w:rsidRPr="0050192F">
        <w:rPr>
          <w:rFonts w:eastAsia="Times New Roman"/>
          <w:b/>
          <w:bCs/>
        </w:rPr>
        <w:t xml:space="preserve"> </w:t>
      </w:r>
      <w:hyperlink r:id="rId14" w:history="1">
        <w:r w:rsidRPr="0050192F">
          <w:rPr>
            <w:rStyle w:val="Hyperlink"/>
            <w:rFonts w:eastAsia="Times New Roman"/>
            <w:b/>
            <w:bCs/>
            <w:color w:val="auto"/>
          </w:rPr>
          <w:t>@Qi Si</w:t>
        </w:r>
      </w:hyperlink>
    </w:p>
    <w:p w14:paraId="12469C25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>Populate sections with content</w:t>
      </w:r>
    </w:p>
    <w:p w14:paraId="39E0F1BC" w14:textId="77777777" w:rsidR="006724C4" w:rsidRPr="0050192F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Maps sections Tab </w:t>
      </w:r>
      <w:r w:rsidRPr="0050192F">
        <w:rPr>
          <w:rFonts w:eastAsia="Times New Roman"/>
          <w:b/>
          <w:bCs/>
        </w:rPr>
        <w:t> </w:t>
      </w:r>
      <w:hyperlink r:id="rId15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@Qi Si</w:t>
        </w:r>
      </w:hyperlink>
    </w:p>
    <w:p w14:paraId="05A69F47" w14:textId="77777777" w:rsidR="006724C4" w:rsidRPr="0050192F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Scenario Comparison Tab </w:t>
      </w:r>
      <w:r w:rsidRPr="0050192F">
        <w:rPr>
          <w:rFonts w:eastAsia="Times New Roman"/>
          <w:b/>
          <w:bCs/>
        </w:rPr>
        <w:t xml:space="preserve"> – </w:t>
      </w:r>
      <w:hyperlink r:id="rId16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6439226F" w14:textId="77777777" w:rsidR="006724C4" w:rsidRPr="00966B14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Other Tab + General sections –</w:t>
      </w:r>
      <w:r w:rsidRPr="0050192F">
        <w:rPr>
          <w:rFonts w:eastAsia="Times New Roman"/>
          <w:b/>
          <w:bCs/>
        </w:rPr>
        <w:t xml:space="preserve"> </w:t>
      </w:r>
      <w:hyperlink r:id="rId17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@Seth LaRue</w:t>
        </w:r>
      </w:hyperlink>
    </w:p>
    <w:p w14:paraId="0B81FA07" w14:textId="48D5A0A4" w:rsidR="00966B14" w:rsidRPr="0050192F" w:rsidRDefault="00966B14" w:rsidP="00966B14">
      <w:pPr>
        <w:spacing w:before="100" w:beforeAutospacing="1" w:after="100" w:afterAutospacing="1"/>
        <w:rPr>
          <w:rFonts w:eastAsia="Times New Roman"/>
        </w:rPr>
      </w:pPr>
      <w:r>
        <w:rPr>
          <w:rStyle w:val="Hyperlink"/>
          <w:rFonts w:eastAsia="Times New Roman"/>
          <w:b/>
          <w:bCs/>
          <w:color w:val="auto"/>
          <w:shd w:val="clear" w:color="auto" w:fill="E1DFDD"/>
        </w:rPr>
        <w:t>Running List of Other Issues</w:t>
      </w:r>
    </w:p>
    <w:p w14:paraId="41A7577D" w14:textId="489601D0" w:rsidR="00966B14" w:rsidRDefault="00AA0DC7" w:rsidP="00966B14">
      <w:pPr>
        <w:pStyle w:val="BodyText"/>
        <w:numPr>
          <w:ilvl w:val="0"/>
          <w:numId w:val="11"/>
        </w:numPr>
      </w:pPr>
      <w:r w:rsidRPr="0050192F">
        <w:t>Initial Legend is Broken</w:t>
      </w:r>
      <w:r w:rsidR="00FA1191" w:rsidRPr="0050192F">
        <w:t xml:space="preserve"> on the map</w:t>
      </w:r>
      <w:r w:rsidR="00966B14">
        <w:t xml:space="preserve"> shows tons when it should show value missing space as well</w:t>
      </w:r>
    </w:p>
    <w:p w14:paraId="1B574060" w14:textId="680F211B" w:rsidR="00966B14" w:rsidRPr="0050192F" w:rsidRDefault="00966B14" w:rsidP="0033309B">
      <w:pPr>
        <w:pStyle w:val="BodyText"/>
        <w:numPr>
          <w:ilvl w:val="0"/>
          <w:numId w:val="11"/>
        </w:numPr>
      </w:pPr>
      <w:r>
        <w:t>C</w:t>
      </w:r>
      <w:r w:rsidR="0033309B">
        <w:t>heck SNKEY</w:t>
      </w:r>
    </w:p>
    <w:sectPr w:rsidR="00966B14" w:rsidRPr="0050192F" w:rsidSect="008633E7">
      <w:footerReference w:type="default" r:id="rId18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9EEF" w14:textId="77777777" w:rsidR="00AA7FE5" w:rsidRDefault="00AA7FE5" w:rsidP="00D33D7E">
      <w:r>
        <w:separator/>
      </w:r>
    </w:p>
  </w:endnote>
  <w:endnote w:type="continuationSeparator" w:id="0">
    <w:p w14:paraId="47A98427" w14:textId="77777777" w:rsidR="00AA7FE5" w:rsidRDefault="00AA7FE5" w:rsidP="00D3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011D" w14:textId="77777777"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r w:rsidR="00295DD8">
      <w:fldChar w:fldCharType="begin"/>
    </w:r>
    <w:r w:rsidR="002E310C">
      <w:instrText xml:space="preserve"> PAGE   \* MERGEFORMAT </w:instrText>
    </w:r>
    <w:r w:rsidR="00295DD8">
      <w:fldChar w:fldCharType="separate"/>
    </w:r>
    <w:r>
      <w:rPr>
        <w:noProof/>
      </w:rPr>
      <w:t>4</w:t>
    </w:r>
    <w:r w:rsidR="00295DD8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34DD" w14:textId="77777777" w:rsidR="00AA7FE5" w:rsidRDefault="00AA7FE5" w:rsidP="00D33D7E">
      <w:r>
        <w:separator/>
      </w:r>
    </w:p>
  </w:footnote>
  <w:footnote w:type="continuationSeparator" w:id="0">
    <w:p w14:paraId="09187AD1" w14:textId="77777777" w:rsidR="00AA7FE5" w:rsidRDefault="00AA7FE5" w:rsidP="00D3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52DCE"/>
    <w:multiLevelType w:val="singleLevel"/>
    <w:tmpl w:val="C52CE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BF6360"/>
    <w:multiLevelType w:val="hybridMultilevel"/>
    <w:tmpl w:val="4994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683B"/>
    <w:multiLevelType w:val="multilevel"/>
    <w:tmpl w:val="F22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6EA44B70"/>
    <w:multiLevelType w:val="multilevel"/>
    <w:tmpl w:val="8EF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20120">
    <w:abstractNumId w:val="1"/>
  </w:num>
  <w:num w:numId="2" w16cid:durableId="1545797884">
    <w:abstractNumId w:val="0"/>
  </w:num>
  <w:num w:numId="3" w16cid:durableId="1222211657">
    <w:abstractNumId w:val="4"/>
  </w:num>
  <w:num w:numId="4" w16cid:durableId="1476751790">
    <w:abstractNumId w:val="5"/>
  </w:num>
  <w:num w:numId="5" w16cid:durableId="302269940">
    <w:abstractNumId w:val="4"/>
  </w:num>
  <w:num w:numId="6" w16cid:durableId="933244593">
    <w:abstractNumId w:val="1"/>
  </w:num>
  <w:num w:numId="7" w16cid:durableId="1514874233">
    <w:abstractNumId w:val="5"/>
  </w:num>
  <w:num w:numId="8" w16cid:durableId="805853875">
    <w:abstractNumId w:val="5"/>
  </w:num>
  <w:num w:numId="9" w16cid:durableId="1583415603">
    <w:abstractNumId w:val="6"/>
  </w:num>
  <w:num w:numId="10" w16cid:durableId="92288528">
    <w:abstractNumId w:val="3"/>
  </w:num>
  <w:num w:numId="11" w16cid:durableId="61363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C4"/>
    <w:rsid w:val="00000682"/>
    <w:rsid w:val="00004565"/>
    <w:rsid w:val="00010B5C"/>
    <w:rsid w:val="000270CF"/>
    <w:rsid w:val="0005166D"/>
    <w:rsid w:val="00057114"/>
    <w:rsid w:val="00084118"/>
    <w:rsid w:val="000919F0"/>
    <w:rsid w:val="00092834"/>
    <w:rsid w:val="000B009A"/>
    <w:rsid w:val="000D1669"/>
    <w:rsid w:val="000D711E"/>
    <w:rsid w:val="000E3DDF"/>
    <w:rsid w:val="000E6835"/>
    <w:rsid w:val="000F7DFB"/>
    <w:rsid w:val="00102B47"/>
    <w:rsid w:val="001160F1"/>
    <w:rsid w:val="00122586"/>
    <w:rsid w:val="00124850"/>
    <w:rsid w:val="00147C03"/>
    <w:rsid w:val="00151B5A"/>
    <w:rsid w:val="0016086D"/>
    <w:rsid w:val="001828B0"/>
    <w:rsid w:val="001830FF"/>
    <w:rsid w:val="001D1915"/>
    <w:rsid w:val="001E39ED"/>
    <w:rsid w:val="001E770B"/>
    <w:rsid w:val="001E7CD4"/>
    <w:rsid w:val="002177CE"/>
    <w:rsid w:val="0022025A"/>
    <w:rsid w:val="00222872"/>
    <w:rsid w:val="002229D9"/>
    <w:rsid w:val="00227963"/>
    <w:rsid w:val="00233A18"/>
    <w:rsid w:val="002446D6"/>
    <w:rsid w:val="0025799B"/>
    <w:rsid w:val="00261432"/>
    <w:rsid w:val="00295DD8"/>
    <w:rsid w:val="002B37C5"/>
    <w:rsid w:val="002E310C"/>
    <w:rsid w:val="002E42ED"/>
    <w:rsid w:val="002F2F9F"/>
    <w:rsid w:val="00331C01"/>
    <w:rsid w:val="0033309B"/>
    <w:rsid w:val="0033664A"/>
    <w:rsid w:val="0035298F"/>
    <w:rsid w:val="00391C26"/>
    <w:rsid w:val="003C6525"/>
    <w:rsid w:val="003F651C"/>
    <w:rsid w:val="003F6AF5"/>
    <w:rsid w:val="004064BD"/>
    <w:rsid w:val="00421882"/>
    <w:rsid w:val="00422ABE"/>
    <w:rsid w:val="00427431"/>
    <w:rsid w:val="00441636"/>
    <w:rsid w:val="004445CB"/>
    <w:rsid w:val="00457BE5"/>
    <w:rsid w:val="00473806"/>
    <w:rsid w:val="00475C5D"/>
    <w:rsid w:val="004A3656"/>
    <w:rsid w:val="004A37CF"/>
    <w:rsid w:val="004B502E"/>
    <w:rsid w:val="004C3418"/>
    <w:rsid w:val="004D37AE"/>
    <w:rsid w:val="004F1171"/>
    <w:rsid w:val="004F36E3"/>
    <w:rsid w:val="0050192F"/>
    <w:rsid w:val="00507F2A"/>
    <w:rsid w:val="00510232"/>
    <w:rsid w:val="00540224"/>
    <w:rsid w:val="00543E69"/>
    <w:rsid w:val="00553B65"/>
    <w:rsid w:val="00557585"/>
    <w:rsid w:val="00557A8B"/>
    <w:rsid w:val="00562FEC"/>
    <w:rsid w:val="00565346"/>
    <w:rsid w:val="00572830"/>
    <w:rsid w:val="00584042"/>
    <w:rsid w:val="005852E7"/>
    <w:rsid w:val="005A2182"/>
    <w:rsid w:val="005B21B8"/>
    <w:rsid w:val="005B5B8C"/>
    <w:rsid w:val="005C1E07"/>
    <w:rsid w:val="005D0983"/>
    <w:rsid w:val="005D4CB9"/>
    <w:rsid w:val="005F1037"/>
    <w:rsid w:val="006201A6"/>
    <w:rsid w:val="006724C4"/>
    <w:rsid w:val="006865C9"/>
    <w:rsid w:val="0069478E"/>
    <w:rsid w:val="006952B2"/>
    <w:rsid w:val="006A65A0"/>
    <w:rsid w:val="006A695C"/>
    <w:rsid w:val="006B5960"/>
    <w:rsid w:val="006C17DD"/>
    <w:rsid w:val="006C6EBF"/>
    <w:rsid w:val="006C7CE6"/>
    <w:rsid w:val="006D155D"/>
    <w:rsid w:val="006D2C8E"/>
    <w:rsid w:val="006D7EAC"/>
    <w:rsid w:val="006E5CA9"/>
    <w:rsid w:val="006E66C4"/>
    <w:rsid w:val="00731A0B"/>
    <w:rsid w:val="00741E07"/>
    <w:rsid w:val="00747891"/>
    <w:rsid w:val="00750978"/>
    <w:rsid w:val="00754352"/>
    <w:rsid w:val="00762A0D"/>
    <w:rsid w:val="00793E57"/>
    <w:rsid w:val="007A3173"/>
    <w:rsid w:val="007C0514"/>
    <w:rsid w:val="007C5FBB"/>
    <w:rsid w:val="007E03D8"/>
    <w:rsid w:val="007F68CB"/>
    <w:rsid w:val="00807843"/>
    <w:rsid w:val="00845B95"/>
    <w:rsid w:val="00851AE6"/>
    <w:rsid w:val="00853D1C"/>
    <w:rsid w:val="008633E7"/>
    <w:rsid w:val="008670F7"/>
    <w:rsid w:val="008A3C29"/>
    <w:rsid w:val="008C3052"/>
    <w:rsid w:val="008D2925"/>
    <w:rsid w:val="008D7ABC"/>
    <w:rsid w:val="008E0FC7"/>
    <w:rsid w:val="008F2D69"/>
    <w:rsid w:val="0094496E"/>
    <w:rsid w:val="00954705"/>
    <w:rsid w:val="00966B14"/>
    <w:rsid w:val="00980D51"/>
    <w:rsid w:val="009A0AA1"/>
    <w:rsid w:val="009A3E4F"/>
    <w:rsid w:val="009A5DA4"/>
    <w:rsid w:val="009B3F72"/>
    <w:rsid w:val="009E2320"/>
    <w:rsid w:val="009F20D3"/>
    <w:rsid w:val="009F77AF"/>
    <w:rsid w:val="00A0655B"/>
    <w:rsid w:val="00A0678D"/>
    <w:rsid w:val="00A14835"/>
    <w:rsid w:val="00A1604F"/>
    <w:rsid w:val="00A6168C"/>
    <w:rsid w:val="00A617B6"/>
    <w:rsid w:val="00A620E1"/>
    <w:rsid w:val="00A764CD"/>
    <w:rsid w:val="00A86940"/>
    <w:rsid w:val="00AA0DC7"/>
    <w:rsid w:val="00AA3EC6"/>
    <w:rsid w:val="00AA7FE5"/>
    <w:rsid w:val="00AC06C3"/>
    <w:rsid w:val="00AC120B"/>
    <w:rsid w:val="00AC7B07"/>
    <w:rsid w:val="00AF671F"/>
    <w:rsid w:val="00B15079"/>
    <w:rsid w:val="00B16CA6"/>
    <w:rsid w:val="00B30BDE"/>
    <w:rsid w:val="00B34CAE"/>
    <w:rsid w:val="00B36DE5"/>
    <w:rsid w:val="00B41ABF"/>
    <w:rsid w:val="00B4226E"/>
    <w:rsid w:val="00B56BB6"/>
    <w:rsid w:val="00B81137"/>
    <w:rsid w:val="00BE352D"/>
    <w:rsid w:val="00C129D4"/>
    <w:rsid w:val="00C22C47"/>
    <w:rsid w:val="00C448F5"/>
    <w:rsid w:val="00C82FF7"/>
    <w:rsid w:val="00C9263D"/>
    <w:rsid w:val="00C95BE8"/>
    <w:rsid w:val="00C9693A"/>
    <w:rsid w:val="00CA5B95"/>
    <w:rsid w:val="00D20CA0"/>
    <w:rsid w:val="00D27991"/>
    <w:rsid w:val="00D333C3"/>
    <w:rsid w:val="00D33943"/>
    <w:rsid w:val="00D33D7E"/>
    <w:rsid w:val="00D35704"/>
    <w:rsid w:val="00D71E4B"/>
    <w:rsid w:val="00DA51F3"/>
    <w:rsid w:val="00DB241E"/>
    <w:rsid w:val="00DC1543"/>
    <w:rsid w:val="00DC3BB0"/>
    <w:rsid w:val="00DC3EEE"/>
    <w:rsid w:val="00DE2095"/>
    <w:rsid w:val="00DF6455"/>
    <w:rsid w:val="00E0307D"/>
    <w:rsid w:val="00E04F00"/>
    <w:rsid w:val="00E077A1"/>
    <w:rsid w:val="00E1466A"/>
    <w:rsid w:val="00E26B6A"/>
    <w:rsid w:val="00E464F0"/>
    <w:rsid w:val="00E53977"/>
    <w:rsid w:val="00E62661"/>
    <w:rsid w:val="00E744E5"/>
    <w:rsid w:val="00E9202D"/>
    <w:rsid w:val="00EA5BFF"/>
    <w:rsid w:val="00EB17E0"/>
    <w:rsid w:val="00EC3AA1"/>
    <w:rsid w:val="00EC7C29"/>
    <w:rsid w:val="00EE4DB3"/>
    <w:rsid w:val="00EF06AB"/>
    <w:rsid w:val="00EF0C96"/>
    <w:rsid w:val="00EF3E11"/>
    <w:rsid w:val="00F27228"/>
    <w:rsid w:val="00F30BE6"/>
    <w:rsid w:val="00F44863"/>
    <w:rsid w:val="00F721B5"/>
    <w:rsid w:val="00F8511A"/>
    <w:rsid w:val="00F92A14"/>
    <w:rsid w:val="00FA1191"/>
    <w:rsid w:val="00FB5AF1"/>
    <w:rsid w:val="00FC1132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4EE219"/>
  <w15:chartTrackingRefBased/>
  <w15:docId w15:val="{4C0B90BB-8768-418B-89D8-B923C6F1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C4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BodyText"/>
    <w:link w:val="Heading1Char"/>
    <w:qFormat/>
    <w:rsid w:val="00E077A1"/>
    <w:pPr>
      <w:keepNext/>
      <w:spacing w:after="360"/>
      <w:jc w:val="center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540224"/>
    <w:pPr>
      <w:keepNext/>
      <w:spacing w:before="240" w:after="240"/>
      <w:outlineLvl w:val="1"/>
    </w:pPr>
    <w:rPr>
      <w:b/>
      <w:sz w:val="26"/>
    </w:rPr>
  </w:style>
  <w:style w:type="paragraph" w:styleId="Heading3">
    <w:name w:val="heading 3"/>
    <w:basedOn w:val="Normal"/>
    <w:next w:val="BodyText"/>
    <w:link w:val="Heading3Char"/>
    <w:qFormat/>
    <w:rsid w:val="00540224"/>
    <w:pPr>
      <w:keepNext/>
      <w:spacing w:before="120" w:after="240"/>
      <w:outlineLvl w:val="2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7A1"/>
    <w:rPr>
      <w:rFonts w:ascii="Book Antiqua" w:hAnsi="Book Antiqua"/>
      <w:b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semiHidden/>
    <w:qFormat/>
    <w:rsid w:val="006A695C"/>
  </w:style>
  <w:style w:type="character" w:customStyle="1" w:styleId="Heading2Char">
    <w:name w:val="Heading 2 Char"/>
    <w:basedOn w:val="DefaultParagraphFont"/>
    <w:link w:val="Heading2"/>
    <w:rsid w:val="00540224"/>
    <w:rPr>
      <w:rFonts w:ascii="Book Antiqua" w:hAnsi="Book Antiqua"/>
      <w:b/>
      <w:sz w:val="26"/>
    </w:rPr>
  </w:style>
  <w:style w:type="paragraph" w:customStyle="1" w:styleId="Heading2to3">
    <w:name w:val="Heading 2 to 3"/>
    <w:basedOn w:val="Heading2"/>
    <w:next w:val="Heading3"/>
    <w:semiHidden/>
    <w:qFormat/>
    <w:rsid w:val="006A695C"/>
  </w:style>
  <w:style w:type="character" w:customStyle="1" w:styleId="Heading3Char">
    <w:name w:val="Heading 3 Char"/>
    <w:basedOn w:val="DefaultParagraphFont"/>
    <w:link w:val="Heading3"/>
    <w:rsid w:val="00540224"/>
    <w:rPr>
      <w:rFonts w:ascii="Book Antiqua" w:hAnsi="Book Antiqua"/>
      <w:b/>
      <w:i/>
      <w:sz w:val="24"/>
    </w:rPr>
  </w:style>
  <w:style w:type="paragraph" w:styleId="ListBullet">
    <w:name w:val="List Bullet"/>
    <w:basedOn w:val="Normal"/>
    <w:qFormat/>
    <w:rsid w:val="006A695C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Text">
    <w:name w:val="TableBodyText"/>
    <w:basedOn w:val="Normal"/>
    <w:qFormat/>
    <w:rsid w:val="004B502E"/>
    <w:pPr>
      <w:spacing w:after="240"/>
    </w:pPr>
    <w:rPr>
      <w:sz w:val="20"/>
    </w:rPr>
  </w:style>
  <w:style w:type="paragraph" w:customStyle="1" w:styleId="TableNormal0">
    <w:name w:val="TableNormal"/>
    <w:basedOn w:val="Normal"/>
    <w:qFormat/>
    <w:rsid w:val="004B502E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  <w:style w:type="character" w:styleId="Hyperlink">
    <w:name w:val="Hyperlink"/>
    <w:basedOn w:val="DefaultParagraphFont"/>
    <w:uiPriority w:val="99"/>
    <w:unhideWhenUsed/>
    <w:rsid w:val="006724C4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6724C4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72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3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Lindsey@camsys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larue@camsys.com" TargetMode="External"/><Relationship Id="rId17" Type="http://schemas.openxmlformats.org/officeDocument/2006/relationships/hyperlink" Target="mailto:slarue@camsy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larue@camsy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larue@camsy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QSi@Camsys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Si@Camsys.com" TargetMode="External"/></Relationships>
</file>

<file path=word/theme/theme1.xml><?xml version="1.0" encoding="utf-8"?>
<a:theme xmlns:a="http://schemas.openxmlformats.org/drawingml/2006/main" name="Office Theme">
  <a:themeElements>
    <a:clrScheme name="CS">
      <a:dk1>
        <a:sysClr val="windowText" lastClr="000000"/>
      </a:dk1>
      <a:lt1>
        <a:sysClr val="window" lastClr="FFFFFF"/>
      </a:lt1>
      <a:dk2>
        <a:srgbClr val="3F4D55"/>
      </a:dk2>
      <a:lt2>
        <a:srgbClr val="E7E6E6"/>
      </a:lt2>
      <a:accent1>
        <a:srgbClr val="148BCC"/>
      </a:accent1>
      <a:accent2>
        <a:srgbClr val="19BEF0"/>
      </a:accent2>
      <a:accent3>
        <a:srgbClr val="28B67C"/>
      </a:accent3>
      <a:accent4>
        <a:srgbClr val="8DC63F"/>
      </a:accent4>
      <a:accent5>
        <a:srgbClr val="6478BA"/>
      </a:accent5>
      <a:accent6>
        <a:srgbClr val="F88113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9918499297F478E853E1AC1BD2436" ma:contentTypeVersion="11" ma:contentTypeDescription="Create a new document." ma:contentTypeScope="" ma:versionID="7085dc54fca32fe95bd041abd6c63514">
  <xsd:schema xmlns:xsd="http://www.w3.org/2001/XMLSchema" xmlns:xs="http://www.w3.org/2001/XMLSchema" xmlns:p="http://schemas.microsoft.com/office/2006/metadata/properties" xmlns:ns2="fd8adc95-af38-4e24-adb0-c6cdfec87d24" xmlns:ns3="26de6cc7-c4eb-496f-a87b-e0b9ee3496e4" targetNamespace="http://schemas.microsoft.com/office/2006/metadata/properties" ma:root="true" ma:fieldsID="b0d279bbba74afc490e749af5c441aa5" ns2:_="" ns3:_="">
    <xsd:import namespace="fd8adc95-af38-4e24-adb0-c6cdfec87d24"/>
    <xsd:import namespace="26de6cc7-c4eb-496f-a87b-e0b9ee34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adc95-af38-4e24-adb0-c6cdfec87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5869760-63e5-4ad7-8e1d-ce12b2e8d0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e6cc7-c4eb-496f-a87b-e0b9ee3496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93e7b1e-50fe-4298-a4fe-008473939acc}" ma:internalName="TaxCatchAll" ma:showField="CatchAllData" ma:web="26de6cc7-c4eb-496f-a87b-e0b9ee34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de6cc7-c4eb-496f-a87b-e0b9ee3496e4" xsi:nil="true"/>
    <lcf76f155ced4ddcb4097134ff3c332f xmlns="fd8adc95-af38-4e24-adb0-c6cdfec87d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851F22-3AD6-408E-9A37-1D56FA0099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E9983-401F-43A5-AE28-247228310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adc95-af38-4e24-adb0-c6cdfec87d24"/>
    <ds:schemaRef ds:uri="26de6cc7-c4eb-496f-a87b-e0b9ee34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57DE8-ED05-4EDC-9711-0FCDEB510A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0E376D-5E8B-4288-8ABF-92E4E052FC73}">
  <ds:schemaRefs>
    <ds:schemaRef ds:uri="http://schemas.microsoft.com/office/2006/metadata/properties"/>
    <ds:schemaRef ds:uri="http://schemas.microsoft.com/office/infopath/2007/PartnerControls"/>
    <ds:schemaRef ds:uri="26de6cc7-c4eb-496f-a87b-e0b9ee3496e4"/>
    <ds:schemaRef ds:uri="fd8adc95-af38-4e24-adb0-c6cdfec87d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LaRue</dc:creator>
  <cp:keywords/>
  <dc:description/>
  <cp:lastModifiedBy>Seth LaRue</cp:lastModifiedBy>
  <cp:revision>16</cp:revision>
  <dcterms:created xsi:type="dcterms:W3CDTF">2024-05-15T21:41:00Z</dcterms:created>
  <dcterms:modified xsi:type="dcterms:W3CDTF">2024-05-23T19:47:00Z</dcterms:modified>
</cp:coreProperties>
</file>