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Accessible summary – Progress of debt treatments under the Common Framework</w:t>
      </w:r>
    </w:p>
    <w:p>
      <w:r>
        <w:t>This document provides an accessible text alternative to the table comparing debt treatment progress for Chad, Zambia, Ghana and Ethiopia.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Chad</w:t>
            </w:r>
          </w:p>
        </w:tc>
        <w:tc>
          <w:tcPr>
            <w:tcW w:type="dxa" w:w="1728"/>
          </w:tcPr>
          <w:p>
            <w:r>
              <w:t>Zambia</w:t>
            </w:r>
          </w:p>
        </w:tc>
        <w:tc>
          <w:tcPr>
            <w:tcW w:type="dxa" w:w="1728"/>
          </w:tcPr>
          <w:p>
            <w:r>
              <w:t>Ghana</w:t>
            </w:r>
          </w:p>
        </w:tc>
        <w:tc>
          <w:tcPr>
            <w:tcW w:type="dxa" w:w="1728"/>
          </w:tcPr>
          <w:p>
            <w:r>
              <w:t>Ethiopia</w:t>
            </w:r>
          </w:p>
        </w:tc>
      </w:tr>
      <w:tr>
        <w:tc>
          <w:tcPr>
            <w:tcW w:type="dxa" w:w="1728"/>
          </w:tcPr>
          <w:p>
            <w:r>
              <w:t>Debt treatment request</w:t>
            </w:r>
          </w:p>
        </w:tc>
        <w:tc>
          <w:tcPr>
            <w:tcW w:type="dxa" w:w="1728"/>
          </w:tcPr>
          <w:p>
            <w:r>
              <w:t>14 décembre 2020</w:t>
            </w:r>
          </w:p>
        </w:tc>
        <w:tc>
          <w:tcPr>
            <w:tcW w:type="dxa" w:w="1728"/>
          </w:tcPr>
          <w:p>
            <w:r>
              <w:t>1 février 2021</w:t>
            </w:r>
          </w:p>
        </w:tc>
        <w:tc>
          <w:tcPr>
            <w:tcW w:type="dxa" w:w="1728"/>
          </w:tcPr>
          <w:p>
            <w:r>
              <w:t>13-20 décembre 2022</w:t>
            </w:r>
          </w:p>
        </w:tc>
        <w:tc>
          <w:tcPr>
            <w:tcW w:type="dxa" w:w="1728"/>
          </w:tcPr>
          <w:p>
            <w:r>
              <w:t>3 février 2021</w:t>
            </w:r>
          </w:p>
        </w:tc>
      </w:tr>
      <w:tr>
        <w:tc>
          <w:tcPr>
            <w:tcW w:type="dxa" w:w="1728"/>
          </w:tcPr>
          <w:p>
            <w:r>
              <w:t>Staff Level Agreement (SLA)</w:t>
            </w:r>
          </w:p>
        </w:tc>
        <w:tc>
          <w:tcPr>
            <w:tcW w:type="dxa" w:w="1728"/>
          </w:tcPr>
          <w:p>
            <w:r>
              <w:t>27 janvier 2021</w:t>
            </w:r>
          </w:p>
        </w:tc>
        <w:tc>
          <w:tcPr>
            <w:tcW w:type="dxa" w:w="1728"/>
          </w:tcPr>
          <w:p>
            <w:r>
              <w:t>3 décembre 2021</w:t>
            </w:r>
          </w:p>
        </w:tc>
        <w:tc>
          <w:tcPr>
            <w:tcW w:type="dxa" w:w="1728"/>
          </w:tcPr>
          <w:p>
            <w:r>
              <w:t>12 décembre 2022</w:t>
            </w:r>
          </w:p>
        </w:tc>
        <w:tc>
          <w:tcPr>
            <w:tcW w:type="dxa" w:w="1728"/>
          </w:tcPr>
          <w:p>
            <w:r>
              <w:t>7 mai 2024</w:t>
            </w:r>
          </w:p>
        </w:tc>
      </w:tr>
      <w:tr>
        <w:tc>
          <w:tcPr>
            <w:tcW w:type="dxa" w:w="1728"/>
          </w:tcPr>
          <w:p>
            <w:r>
              <w:t>Creation of the creditor committee</w:t>
            </w:r>
          </w:p>
        </w:tc>
        <w:tc>
          <w:tcPr>
            <w:tcW w:type="dxa" w:w="1728"/>
          </w:tcPr>
          <w:p>
            <w:r>
              <w:t>15 avril 2021</w:t>
            </w:r>
          </w:p>
        </w:tc>
        <w:tc>
          <w:tcPr>
            <w:tcW w:type="dxa" w:w="1728"/>
          </w:tcPr>
          <w:p>
            <w:r>
              <w:t>16 juin 2022</w:t>
            </w:r>
          </w:p>
        </w:tc>
        <w:tc>
          <w:tcPr>
            <w:tcW w:type="dxa" w:w="1728"/>
          </w:tcPr>
          <w:p>
            <w:r>
              <w:t>12 mai 2023</w:t>
            </w:r>
          </w:p>
        </w:tc>
        <w:tc>
          <w:tcPr>
            <w:tcW w:type="dxa" w:w="1728"/>
          </w:tcPr>
          <w:p>
            <w:r>
              <w:t>16 septembre 2021</w:t>
            </w:r>
          </w:p>
        </w:tc>
      </w:tr>
      <w:tr>
        <w:tc>
          <w:tcPr>
            <w:tcW w:type="dxa" w:w="1728"/>
          </w:tcPr>
          <w:p>
            <w:r>
              <w:t>Provision of financing assurances</w:t>
            </w:r>
          </w:p>
        </w:tc>
        <w:tc>
          <w:tcPr>
            <w:tcW w:type="dxa" w:w="1728"/>
          </w:tcPr>
          <w:p>
            <w:r>
              <w:t>10 juin 2021</w:t>
            </w:r>
          </w:p>
        </w:tc>
        <w:tc>
          <w:tcPr>
            <w:tcW w:type="dxa" w:w="1728"/>
          </w:tcPr>
          <w:p>
            <w:r>
              <w:t>18 juillet 2022</w:t>
            </w:r>
          </w:p>
        </w:tc>
        <w:tc>
          <w:tcPr>
            <w:tcW w:type="dxa" w:w="1728"/>
          </w:tcPr>
          <w:p>
            <w:r>
              <w:t>12 mai 2023</w:t>
            </w:r>
          </w:p>
        </w:tc>
        <w:tc>
          <w:tcPr>
            <w:tcW w:type="dxa" w:w="1728"/>
          </w:tcPr>
          <w:p>
            <w:r>
              <w:t>11 juillet 2024</w:t>
            </w:r>
          </w:p>
        </w:tc>
      </w:tr>
      <w:tr>
        <w:tc>
          <w:tcPr>
            <w:tcW w:type="dxa" w:w="1728"/>
          </w:tcPr>
          <w:p>
            <w:r>
              <w:t>IMF programme approval</w:t>
            </w:r>
          </w:p>
        </w:tc>
        <w:tc>
          <w:tcPr>
            <w:tcW w:type="dxa" w:w="1728"/>
          </w:tcPr>
          <w:p>
            <w:r>
              <w:t>10 décembre 2021</w:t>
            </w:r>
          </w:p>
        </w:tc>
        <w:tc>
          <w:tcPr>
            <w:tcW w:type="dxa" w:w="1728"/>
          </w:tcPr>
          <w:p>
            <w:r>
              <w:t>31 août 2022</w:t>
            </w:r>
          </w:p>
        </w:tc>
        <w:tc>
          <w:tcPr>
            <w:tcW w:type="dxa" w:w="1728"/>
          </w:tcPr>
          <w:p>
            <w:r>
              <w:t>17 mai 2023</w:t>
            </w:r>
          </w:p>
        </w:tc>
        <w:tc>
          <w:tcPr>
            <w:tcW w:type="dxa" w:w="1728"/>
          </w:tcPr>
          <w:p>
            <w:r>
              <w:t>29 juillet 2024</w:t>
            </w:r>
          </w:p>
        </w:tc>
      </w:tr>
      <w:tr>
        <w:tc>
          <w:tcPr>
            <w:tcW w:type="dxa" w:w="1728"/>
          </w:tcPr>
          <w:p>
            <w:r>
              <w:t>Agreement on main parameters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22 juin 2023</w:t>
            </w:r>
          </w:p>
        </w:tc>
        <w:tc>
          <w:tcPr>
            <w:tcW w:type="dxa" w:w="1728"/>
          </w:tcPr>
          <w:p>
            <w:r>
              <w:t>12 janvier 2024</w:t>
            </w:r>
          </w:p>
        </w:tc>
        <w:tc>
          <w:tcPr>
            <w:tcW w:type="dxa" w:w="1728"/>
          </w:tcPr>
          <w:p>
            <w:r>
              <w:t>21 mars 2025</w:t>
            </w:r>
          </w:p>
        </w:tc>
      </w:tr>
      <w:tr>
        <w:tc>
          <w:tcPr>
            <w:tcW w:type="dxa" w:w="1728"/>
          </w:tcPr>
          <w:p>
            <w:r>
              <w:t>First programme review</w:t>
            </w:r>
          </w:p>
        </w:tc>
        <w:tc>
          <w:tcPr>
            <w:tcW w:type="dxa" w:w="1728"/>
          </w:tcPr>
          <w:p>
            <w:r>
              <w:t>22 décembre 2022</w:t>
            </w:r>
          </w:p>
        </w:tc>
        <w:tc>
          <w:tcPr>
            <w:tcW w:type="dxa" w:w="1728"/>
          </w:tcPr>
          <w:p>
            <w:r>
              <w:t>13 juillet 2023</w:t>
            </w:r>
          </w:p>
        </w:tc>
        <w:tc>
          <w:tcPr>
            <w:tcW w:type="dxa" w:w="1728"/>
          </w:tcPr>
          <w:p>
            <w:r>
              <w:t>19 janvier 2024</w:t>
            </w:r>
          </w:p>
        </w:tc>
        <w:tc>
          <w:tcPr>
            <w:tcW w:type="dxa" w:w="1728"/>
          </w:tcPr>
          <w:p>
            <w:r>
              <w:t>4 novembre 2024 et 29 janvier 2025</w:t>
            </w:r>
          </w:p>
        </w:tc>
      </w:tr>
      <w:tr>
        <w:tc>
          <w:tcPr>
            <w:tcW w:type="dxa" w:w="1728"/>
          </w:tcPr>
          <w:p>
            <w:r>
              <w:t>MoU agreement</w:t>
            </w:r>
          </w:p>
        </w:tc>
        <w:tc>
          <w:tcPr>
            <w:tcW w:type="dxa" w:w="1728"/>
          </w:tcPr>
          <w:p>
            <w:r>
              <w:t>30 novembre 2022</w:t>
            </w:r>
          </w:p>
        </w:tc>
        <w:tc>
          <w:tcPr>
            <w:tcW w:type="dxa" w:w="1728"/>
          </w:tcPr>
          <w:p>
            <w:r>
              <w:t>13 octobre 2023</w:t>
            </w:r>
          </w:p>
        </w:tc>
        <w:tc>
          <w:tcPr>
            <w:tcW w:type="dxa" w:w="1728"/>
          </w:tcPr>
          <w:p>
            <w:r>
              <w:t>11 juin 2024</w:t>
            </w:r>
          </w:p>
        </w:tc>
        <w:tc>
          <w:tcPr>
            <w:tcW w:type="dxa" w:w="1728"/>
          </w:tcPr>
          <w:p>
            <w:r>
              <w:t>2 juillet 2025</w:t>
            </w:r>
          </w:p>
        </w:tc>
      </w:tr>
      <w:tr>
        <w:tc>
          <w:tcPr>
            <w:tcW w:type="dxa" w:w="1728"/>
          </w:tcPr>
          <w:p>
            <w:r>
              <w:t>Second programme review</w:t>
            </w:r>
          </w:p>
        </w:tc>
        <w:tc>
          <w:tcPr>
            <w:tcW w:type="dxa" w:w="1728"/>
          </w:tcPr>
          <w:p>
            <w:r>
              <w:t>22 décembre 2022</w:t>
            </w:r>
          </w:p>
        </w:tc>
        <w:tc>
          <w:tcPr>
            <w:tcW w:type="dxa" w:w="1728"/>
          </w:tcPr>
          <w:p>
            <w:r>
              <w:t>20 décembre 2023</w:t>
            </w:r>
          </w:p>
        </w:tc>
        <w:tc>
          <w:tcPr>
            <w:tcW w:type="dxa" w:w="1728"/>
          </w:tcPr>
          <w:p>
            <w:r>
              <w:t>28 juin 2024</w:t>
            </w:r>
          </w:p>
        </w:tc>
        <w:tc>
          <w:tcPr>
            <w:tcW w:type="dxa" w:w="1728"/>
          </w:tcPr>
          <w:p>
            <w:r>
              <w:t>2 juillet 2025</w:t>
            </w:r>
          </w:p>
        </w:tc>
      </w:tr>
      <w:tr>
        <w:tc>
          <w:tcPr>
            <w:tcW w:type="dxa" w:w="1728"/>
          </w:tcPr>
          <w:p>
            <w:r>
              <w:t>Receipt of all MoU signatures</w:t>
            </w:r>
          </w:p>
        </w:tc>
        <w:tc>
          <w:tcPr>
            <w:tcW w:type="dxa" w:w="1728"/>
          </w:tcPr>
          <w:p>
            <w:r>
              <w:t>1 janvier 2023</w:t>
            </w:r>
          </w:p>
        </w:tc>
        <w:tc>
          <w:tcPr>
            <w:tcW w:type="dxa" w:w="1728"/>
          </w:tcPr>
          <w:p>
            <w:r>
              <w:t>2 avril 2024</w:t>
            </w:r>
          </w:p>
        </w:tc>
        <w:tc>
          <w:tcPr>
            <w:tcW w:type="dxa" w:w="1728"/>
          </w:tcPr>
          <w:p>
            <w:r>
              <w:t>28 janvier 2025</w:t>
            </w:r>
          </w:p>
        </w:tc>
        <w:tc>
          <w:tcPr>
            <w:tcW w:type="dxa" w:w="1728"/>
          </w:tcPr>
          <w:p>
            <w:r>
              <w:t>31 décembre 2025</w:t>
            </w:r>
          </w:p>
        </w:tc>
      </w:tr>
    </w:tbl>
    <w:p>
      <w:r>
        <w:t>The dates show the chronological progress of each country through the Common Framework process and the IMF programme.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