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frammenti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Il singolo stakeholder non poteva proporre o porre veto a modifiche a protocollo, a meno che non si conoscessero le persone giuste.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diverso. È governato da chiunque possieda i DOT, la valuta nativa di Polkadot, in modo equo e trasparente.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Tutti i possessori di DOT possono proporre una modifica del protocollo o votare le proposte esistenti. Possono anche aiutare nell'elezione dei membri del consiglio che rappresentano gli stakeholders passivi nel sistema di governance di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erano come giardini cinti da mura che tengono fuori le altre reti. Tuttavia, man mano che il numero di chain per specializzate continua a crescere, diventa necessaria la comunicazione e l'interoperabilità tra chain.</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composabilità cross-chain di Polkadot e il passaggio dei messaggi permettono ai frammenti di comunicare, scambiare e condividere funzionalità, aprendo la porta a una nuova ondata di innovazione.</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alla capacità di Polkadot di collegare blockchain, I frammenti di Polkadot potranno anche interagire con i più diffusi protocolli di finanza decentralizzat e criptovalute su reti esterne come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Architettura di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