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shard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Il singolo stakeholder non poteva proporre o porre veto a modifiche a protocollo, a meno che non si conoscessero le persone giuste.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diverso. È governato da chiunque possieda i DOT, la valuta nativa di Polkadot, in modo equo e trasparente.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Tutti i possessori di DOT possono proporre una modifica del protocollo o votare le proposte esistenti. Possono anche aiutare nell'elezione dei membri del consiglio che rappresentano gli stakeholders passivi nel sistema di governance di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erano come giardini cinti da mura che tengono fuori le altre reti. Tuttavia, man mano che il numero di chain per specializzate continua a crescere, diventa necessaria la comunicazione e l'interoperabilità tra chain.</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composabilità cross-chain di Polkadot e il passaggio dei messaggi permettono ai frammenti di comunicare, scambiare e condividere funzionalità, aprendo la porta a una nuova ondata di innovazione.</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alla capacità di Polkadot di collegare blockchain, I frammenti di Polkadot potranno anche interagire con i più diffusi protocolli di finanza decentralizzat e criptovalute su reti esterne come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Architettura di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Connettendo</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punti [i dot]</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unisce una rete di</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frammenti blockchain eterogenei</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chiamate parachain. Queste chain</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sono connesse e sono protette dalla</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 Esse</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possono anche connettersi con</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reti esterne attraverso bridge.</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cuore di Polkadot, responsabile della sicurezza, del consenso e dell’interoperabilità cross-chain.</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sovrane che possono avere i propri token e ottimizzare le loro funzionalità per casi d'uso specifici. Per connettersi alla Relay chain, le parachain possono pagare al passaggio o affittare uno slot per una connettività continua.</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speciali che consentono agli shard Polkadot di connettersi e comunicare con reti esterne come Ethereum e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I ruoli del consenso in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Validatori</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Protegge la Relay Chain mettendo in stake DOT, convalidando le prove dei collator e partecipando al consenso con altri validatori.</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Mantiene gli shard raccogliendo le transazioni degli shard dagli utenti e producendo prove per validatori.</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Nominatori</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Proteggi la Relay Chain selezionando validatori affidabili e facendo staking di DOT.</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Controlla la rete e segnalare comportamenti errati ai validatori. I collator e qualsiasi nodo (full node) parachain può svolgere il ruolo di fisherman.</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Membri Del Consiglio</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Eletti per rappresentare le parti "passive" interessate in due strumenti primari di governance: proponendo referendum e ponendo veto su referendum pericolosi o dannosi.</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Comitato Tecnico</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Composto da team che costruiscono attivamente</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Può proporre referendum</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d'emergenza, insieme al Consiglio,</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per un voto e un'attuazione tempestivi.</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 persegue tre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finalità distinte: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funzionamento e</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Segui Polkadot su:</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versione: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