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1F3864"/>
          <w:sz w:val="40"/>
          <w:szCs w:val="40"/>
        </w:rPr>
        <w:t xml:space="preserve">Research Papers: What I Use, Why, and the Logic Behind It</w:t>
      </w:r>
    </w:p>
    <w:p>
      <w:pPr>
        <w:spacing w:after="80"/>
        <w:jc w:val="center"/>
      </w:pPr>
      <w:r>
        <w:rPr>
          <w:rFonts w:ascii="Calibri" w:cs="Calibri" w:eastAsia="Calibri" w:hAnsi="Calibri"/>
          <w:i/>
          <w:iCs/>
          <w:color w:val="555555"/>
          <w:sz w:val="26"/>
          <w:szCs w:val="26"/>
        </w:rPr>
        <w:t xml:space="preserve">Stock Performance and Valuation Dashboard for Retail Investors</w:t>
      </w:r>
    </w:p>
    <w:p>
      <w:pPr>
        <w:spacing w:after="400"/>
        <w:jc w:val="center"/>
      </w:pPr>
      <w:r>
        <w:rPr>
          <w:rFonts w:ascii="Calibri" w:cs="Calibri" w:eastAsia="Calibri" w:hAnsi="Calibri"/>
          <w:color w:val="666666"/>
          <w:sz w:val="24"/>
          <w:szCs w:val="24"/>
        </w:rPr>
        <w:t xml:space="preserve">Sethmika Dias Bellana — 19857518</w:t>
      </w:r>
    </w:p>
    <w:p>
      <w:pPr>
        <w:pBdr>
          <w:bottom w:val="single" w:color="2B5797" w:sz="6" w:space="1"/>
        </w:pBdr>
        <w:spacing w:after="300"/>
      </w:pPr>
    </w:p>
    <w:p>
      <w:pPr>
        <w:pStyle w:val="Heading1"/>
        <w:spacing w:after="200" w:before="360"/>
      </w:pPr>
      <w:r>
        <w:rPr>
          <w:rFonts w:ascii="Calibri" w:cs="Calibri" w:eastAsia="Calibri" w:hAnsi="Calibri"/>
          <w:b/>
          <w:bCs/>
          <w:sz w:val="32"/>
          <w:szCs w:val="32"/>
        </w:rPr>
        <w:t xml:space="preserve">1. Introduction</w:t>
      </w:r>
    </w:p>
    <w:p>
      <w:pPr>
        <w:spacing w:after="200" w:line="276"/>
      </w:pPr>
      <w:r>
        <w:rPr>
          <w:rFonts w:ascii="Calibri" w:cs="Calibri" w:eastAsia="Calibri" w:hAnsi="Calibri"/>
          <w:sz w:val="24"/>
          <w:szCs w:val="24"/>
        </w:rPr>
        <w:t xml:space="preserve">This document explains the two core research papers that underpin the analytical engine of my Stock Performance and Valuation Dashboard. The dashboard is a Streamlit web application designed for retail investors, and its signal-generation logic draws directly from methods proposed in these two studies. Rather than inventing a novel trading algorithm from scratch, the project adapts, combines, and extends peer-reviewed approaches into a unified system that balances technical timing with fundamental quality assessment.</w:t>
      </w:r>
    </w:p>
    <w:p>
      <w:pPr>
        <w:spacing w:after="200" w:line="276"/>
      </w:pPr>
      <w:r>
        <w:rPr>
          <w:rFonts w:ascii="Calibri" w:cs="Calibri" w:eastAsia="Calibri" w:hAnsi="Calibri"/>
          <w:sz w:val="24"/>
          <w:szCs w:val="24"/>
        </w:rPr>
        <w:t xml:space="preserve">The first paper, by Kadia, Dey, and Kar (2025), provides the technical analysis and reinforcement learning backbone. The second, by Yeh and Liu (2020), provides the fundamental stock-scoring methodology. Together, they address two distinct but complementary questions: </w:t>
      </w:r>
      <w:r>
        <w:rPr>
          <w:rFonts w:ascii="Calibri" w:cs="Calibri" w:eastAsia="Calibri" w:hAnsi="Calibri"/>
          <w:i/>
          <w:iCs/>
          <w:sz w:val="24"/>
          <w:szCs w:val="24"/>
        </w:rPr>
        <w:t xml:space="preserve">when</w:t>
      </w:r>
      <w:r>
        <w:rPr>
          <w:rFonts w:ascii="Calibri" w:cs="Calibri" w:eastAsia="Calibri" w:hAnsi="Calibri"/>
          <w:sz w:val="24"/>
          <w:szCs w:val="24"/>
        </w:rPr>
        <w:t xml:space="preserve"> to act on a stock (timing) and </w:t>
      </w:r>
      <w:r>
        <w:rPr>
          <w:rFonts w:ascii="Calibri" w:cs="Calibri" w:eastAsia="Calibri" w:hAnsi="Calibri"/>
          <w:i/>
          <w:iCs/>
          <w:sz w:val="24"/>
          <w:szCs w:val="24"/>
        </w:rPr>
        <w:t xml:space="preserve">which</w:t>
      </w:r>
      <w:r>
        <w:rPr>
          <w:rFonts w:ascii="Calibri" w:cs="Calibri" w:eastAsia="Calibri" w:hAnsi="Calibri"/>
          <w:sz w:val="24"/>
          <w:szCs w:val="24"/>
        </w:rPr>
        <w:t xml:space="preserve"> stocks are worth acting on (selection). The sections below describe what I take from each paper, why I chose these specific elements, and how the logic translates into code.</w:t>
      </w:r>
    </w:p>
    <w:p>
      <w:pPr>
        <w:pStyle w:val="Heading1"/>
        <w:spacing w:after="200" w:before="360"/>
      </w:pPr>
      <w:r>
        <w:rPr>
          <w:rFonts w:ascii="Calibri" w:cs="Calibri" w:eastAsia="Calibri" w:hAnsi="Calibri"/>
          <w:b/>
          <w:bCs/>
          <w:sz w:val="32"/>
          <w:szCs w:val="32"/>
        </w:rPr>
        <w:t xml:space="preserve">2. Paper 1 — Kadia, Dey &amp; Kar (2025)</w:t>
      </w:r>
    </w:p>
    <w:p>
      <w:pPr>
        <w:spacing w:after="200" w:line="276"/>
      </w:pPr>
      <w:r>
        <w:rPr>
          <w:rFonts w:ascii="Calibri" w:cs="Calibri" w:eastAsia="Calibri" w:hAnsi="Calibri"/>
          <w:b/>
          <w:bCs/>
          <w:sz w:val="24"/>
          <w:szCs w:val="24"/>
        </w:rPr>
        <w:t xml:space="preserve">Full title: </w:t>
      </w:r>
      <w:r>
        <w:rPr>
          <w:rFonts w:ascii="Calibri" w:cs="Calibri" w:eastAsia="Calibri" w:hAnsi="Calibri"/>
          <w:sz w:val="24"/>
          <w:szCs w:val="24"/>
        </w:rPr>
        <w:t xml:space="preserve">"Smart Stock Trading using an Advanced Combination of Technical Indicators with Volume Confirmation Integrated in Reinforcement Learning"</w:t>
      </w:r>
      <w:r>
        <w:rPr>
          <w:rFonts w:ascii="Calibri" w:cs="Calibri" w:eastAsia="Calibri" w:hAnsi="Calibri"/>
          <w:sz w:val="24"/>
          <w:szCs w:val="24"/>
        </w:rPr>
        <w:t xml:space="preserve">, published in the International Journal of Science and Technology (IJSAT).</w:t>
      </w:r>
    </w:p>
    <w:p>
      <w:pPr>
        <w:pStyle w:val="Heading2"/>
        <w:spacing w:after="200" w:before="360"/>
      </w:pPr>
      <w:r>
        <w:rPr>
          <w:rFonts w:ascii="Calibri" w:cs="Calibri" w:eastAsia="Calibri" w:hAnsi="Calibri"/>
          <w:b/>
          <w:bCs/>
          <w:sz w:val="28"/>
          <w:szCs w:val="28"/>
        </w:rPr>
        <w:t xml:space="preserve">2.1 What the Paper Proposes</w:t>
      </w:r>
    </w:p>
    <w:p>
      <w:pPr>
        <w:spacing w:after="200" w:line="276"/>
      </w:pPr>
      <w:r>
        <w:rPr>
          <w:rFonts w:ascii="Calibri" w:cs="Calibri" w:eastAsia="Calibri" w:hAnsi="Calibri"/>
          <w:sz w:val="24"/>
          <w:szCs w:val="24"/>
        </w:rPr>
        <w:t xml:space="preserve">Kadia et al. propose a three-layer signal pipeline for stock trading. The first layer uses an EMA (Exponential Moving Average) crossover between a short-term EMA (period 20) and a long-term EMA (period 50). When the short-term EMA crosses above the long-term EMA, a golden cross is flagged as a potential buy; when it crosses below, a death cross signals a potential sell. On its own, however, EMA crossovers generate many false signals in choppy or sideways markets.</w:t>
      </w:r>
    </w:p>
    <w:p>
      <w:pPr>
        <w:spacing w:after="200" w:line="276"/>
      </w:pPr>
      <w:r>
        <w:rPr>
          <w:rFonts w:ascii="Calibri" w:cs="Calibri" w:eastAsia="Calibri" w:hAnsi="Calibri"/>
          <w:sz w:val="24"/>
          <w:szCs w:val="24"/>
        </w:rPr>
        <w:t xml:space="preserve">To filter out these false signals, the paper introduces a second layer: volume confirmation through the Average Traded Volume (ATV) slope. The slope of recent trading volume is computed over a rolling window, and a buy signal only passes if the ATV slope is positive (meaning volume is trending upward alongside the price crossover). Similarly, a sell signal requires a negative ATV slope. The core logic is that genuine trend changes tend to be accompanied by increasing volume, whereas spurious crossovers often occur on declining or flat volume.</w:t>
      </w:r>
    </w:p>
    <w:p>
      <w:pPr>
        <w:spacing w:after="200" w:line="276"/>
      </w:pPr>
      <w:r>
        <w:rPr>
          <w:rFonts w:ascii="Calibri" w:cs="Calibri" w:eastAsia="Calibri" w:hAnsi="Calibri"/>
          <w:sz w:val="24"/>
          <w:szCs w:val="24"/>
        </w:rPr>
        <w:t xml:space="preserve">The third layer is an RSI (Relative Strength Index) gate. Even when a crossover is confirmed by volume, the signal is blocked if the market is already in an extreme state: buy signals are suppressed when RSI exceeds 70 (overbought), and sell signals are suppressed when RSI falls below 30 (oversold). This prevents the system from entering positions at unsustainable price extremes.</w:t>
      </w:r>
    </w:p>
    <w:p>
      <w:pPr>
        <w:spacing w:after="200" w:line="276"/>
      </w:pPr>
      <w:r>
        <w:rPr>
          <w:rFonts w:ascii="Calibri" w:cs="Calibri" w:eastAsia="Calibri" w:hAnsi="Calibri"/>
          <w:sz w:val="24"/>
          <w:szCs w:val="24"/>
        </w:rPr>
        <w:t xml:space="preserve">Beyond this rule-based pipeline, the paper trains a Proximal Policy Optimisation (PPO) reinforcement learning agent that learns from the same indicators. The agent observes a six-dimensional state vector and outputs a discrete action (buy, sell, or hold). Its reward function, defined in the paper’s Equation 5, weights price returns by a volume factor: Rt = (Pt+1 − Pt) / Pt × (1 + β × (Vt − V̄) / V̄), where β = 0.5 and V̄ is the 20-day rolling average volume. Tested on ten Nifty 50 stocks, the paper reports 85% signal accuracy and a Sharpe ratio of 2.27.</w:t>
      </w:r>
    </w:p>
    <w:p>
      <w:pPr>
        <w:pStyle w:val="Heading2"/>
        <w:spacing w:after="200" w:before="360"/>
      </w:pPr>
      <w:r>
        <w:rPr>
          <w:rFonts w:ascii="Calibri" w:cs="Calibri" w:eastAsia="Calibri" w:hAnsi="Calibri"/>
          <w:b/>
          <w:bCs/>
          <w:sz w:val="28"/>
          <w:szCs w:val="28"/>
        </w:rPr>
        <w:t xml:space="preserve">2.2 What I Use from This Paper</w:t>
      </w:r>
    </w:p>
    <w:p>
      <w:pPr>
        <w:spacing w:after="200" w:line="276"/>
      </w:pPr>
      <w:r>
        <w:rPr>
          <w:rFonts w:ascii="Calibri" w:cs="Calibri" w:eastAsia="Calibri" w:hAnsi="Calibri"/>
          <w:sz w:val="24"/>
          <w:szCs w:val="24"/>
        </w:rPr>
        <w:t xml:space="preserve">I implement the full three-layer pipeline and the PPO agent. Specifically, my dashboard uses the following components from this paper: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25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Calibri" w:cs="Calibri" w:eastAsia="Calibri" w:hAnsi="Calibri"/>
                <w:b/>
                <w:bCs/>
                <w:color w:val="FFFFFF"/>
                <w:sz w:val="22"/>
                <w:szCs w:val="22"/>
              </w:rPr>
              <w:t xml:space="preserve">Component</w:t>
            </w:r>
          </w:p>
        </w:tc>
        <w:tc>
          <w:tcPr>
            <w:tcW w:type="dxa" w:w="3263"/>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Calibri" w:cs="Calibri" w:eastAsia="Calibri" w:hAnsi="Calibri"/>
                <w:b/>
                <w:bCs/>
                <w:color w:val="FFFFFF"/>
                <w:sz w:val="22"/>
                <w:szCs w:val="22"/>
              </w:rPr>
              <w:t xml:space="preserve">Paper’s Formulation</w:t>
            </w:r>
          </w:p>
        </w:tc>
        <w:tc>
          <w:tcPr>
            <w:tcW w:type="dxa" w:w="3263"/>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Calibri" w:cs="Calibri" w:eastAsia="Calibri" w:hAnsi="Calibri"/>
                <w:b/>
                <w:bCs/>
                <w:color w:val="FFFFFF"/>
                <w:sz w:val="22"/>
                <w:szCs w:val="22"/>
              </w:rPr>
              <w:t xml:space="preserve">My Implementation</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Calibri" w:cs="Calibri" w:eastAsia="Calibri" w:hAnsi="Calibri"/>
                <w:sz w:val="22"/>
                <w:szCs w:val="22"/>
              </w:rPr>
              <w:t xml:space="preserve">EMA Crossover</w:t>
            </w:r>
          </w:p>
        </w:tc>
        <w:tc>
          <w:tcPr>
            <w:tcW w:type="dxa" w:w="3263"/>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Calibri" w:cs="Calibri" w:eastAsia="Calibri" w:hAnsi="Calibri"/>
                <w:sz w:val="22"/>
                <w:szCs w:val="22"/>
              </w:rPr>
              <w:t xml:space="preserve">EMA20 vs EMA50; golden cross = buy, death cross = sell</w:t>
            </w:r>
          </w:p>
        </w:tc>
        <w:tc>
          <w:tcPr>
            <w:tcW w:type="dxa" w:w="3263"/>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Calibri" w:cs="Calibri" w:eastAsia="Calibri" w:hAnsi="Calibri"/>
                <w:sz w:val="22"/>
                <w:szCs w:val="22"/>
              </w:rPr>
              <w:t xml:space="preserve">Computed in models.py as EMA_Cross_Signal column (−1, 0, +1)</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Calibri" w:cs="Calibri" w:eastAsia="Calibri" w:hAnsi="Calibri"/>
                <w:sz w:val="22"/>
                <w:szCs w:val="22"/>
              </w:rPr>
              <w:t xml:space="preserve">ATV Slope</w:t>
            </w:r>
          </w:p>
        </w:tc>
        <w:tc>
          <w:tcPr>
            <w:tcW w:type="dxa" w:w="3263"/>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Calibri" w:cs="Calibri" w:eastAsia="Calibri" w:hAnsi="Calibri"/>
                <w:sz w:val="22"/>
                <w:szCs w:val="22"/>
              </w:rPr>
              <w:t xml:space="preserve">Slope of rolling average volume; confirms trend direction</w:t>
            </w:r>
          </w:p>
        </w:tc>
        <w:tc>
          <w:tcPr>
            <w:tcW w:type="dxa" w:w="3263"/>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Calibri" w:cs="Calibri" w:eastAsia="Calibri" w:hAnsi="Calibri"/>
                <w:sz w:val="22"/>
                <w:szCs w:val="22"/>
              </w:rPr>
              <w:t xml:space="preserve">ATV_Slope column; buy requires slope &gt; 0, sell requires slope &lt; 0</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Calibri" w:cs="Calibri" w:eastAsia="Calibri" w:hAnsi="Calibri"/>
                <w:sz w:val="22"/>
                <w:szCs w:val="22"/>
              </w:rPr>
              <w:t xml:space="preserve">RSI Gate</w:t>
            </w:r>
          </w:p>
        </w:tc>
        <w:tc>
          <w:tcPr>
            <w:tcW w:type="dxa" w:w="3263"/>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Calibri" w:cs="Calibri" w:eastAsia="Calibri" w:hAnsi="Calibri"/>
                <w:sz w:val="22"/>
                <w:szCs w:val="22"/>
              </w:rPr>
              <w:t xml:space="preserve">Blocks entries at RSI &gt; 70 (buy) or RSI &lt; 30 (sell)</w:t>
            </w:r>
          </w:p>
        </w:tc>
        <w:tc>
          <w:tcPr>
            <w:tcW w:type="dxa" w:w="3263"/>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Calibri" w:cs="Calibri" w:eastAsia="Calibri" w:hAnsi="Calibri"/>
                <w:sz w:val="22"/>
                <w:szCs w:val="22"/>
              </w:rPr>
              <w:t xml:space="preserve">Direct threshold checks in generate_paper1_signal()</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Calibri" w:cs="Calibri" w:eastAsia="Calibri" w:hAnsi="Calibri"/>
                <w:sz w:val="22"/>
                <w:szCs w:val="22"/>
              </w:rPr>
              <w:t xml:space="preserve">PPO Agent</w:t>
            </w:r>
          </w:p>
        </w:tc>
        <w:tc>
          <w:tcPr>
            <w:tcW w:type="dxa" w:w="3263"/>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Calibri" w:cs="Calibri" w:eastAsia="Calibri" w:hAnsi="Calibri"/>
                <w:sz w:val="22"/>
                <w:szCs w:val="22"/>
              </w:rPr>
              <w:t xml:space="preserve">6-dim state, Discrete(3) actions, Eq. 5 reward</w:t>
            </w:r>
          </w:p>
        </w:tc>
        <w:tc>
          <w:tcPr>
            <w:tcW w:type="dxa" w:w="3263"/>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Calibri" w:cs="Calibri" w:eastAsia="Calibri" w:hAnsi="Calibri"/>
                <w:sz w:val="22"/>
                <w:szCs w:val="22"/>
              </w:rPr>
              <w:t xml:space="preserve">rl_agent.py: StockTradingEnv (Gymnasium) + stable-baselines3 PPO</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Calibri" w:cs="Calibri" w:eastAsia="Calibri" w:hAnsi="Calibri"/>
                <w:sz w:val="22"/>
                <w:szCs w:val="22"/>
              </w:rPr>
              <w:t xml:space="preserve">Reward Function</w:t>
            </w:r>
          </w:p>
        </w:tc>
        <w:tc>
          <w:tcPr>
            <w:tcW w:type="dxa" w:w="3263"/>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Calibri" w:cs="Calibri" w:eastAsia="Calibri" w:hAnsi="Calibri"/>
                <w:sz w:val="22"/>
                <w:szCs w:val="22"/>
              </w:rPr>
              <w:t xml:space="preserve">Rt = (Pt+1 − Pt)/Pt × (1 + β(Vt − V̄)/V̄)</w:t>
            </w:r>
          </w:p>
        </w:tc>
        <w:tc>
          <w:tcPr>
            <w:tcW w:type="dxa" w:w="3263"/>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Calibri" w:cs="Calibri" w:eastAsia="Calibri" w:hAnsi="Calibri"/>
                <w:sz w:val="22"/>
                <w:szCs w:val="22"/>
              </w:rPr>
              <w:t xml:space="preserve">Exact reproduction in StockTradingEnv.step() with β = 0.5</w:t>
            </w:r>
          </w:p>
        </w:tc>
      </w:tr>
    </w:tbl>
    <w:p>
      <w:pPr>
        <w:spacing w:after="200"/>
      </w:pPr>
    </w:p>
    <w:p>
      <w:pPr>
        <w:pStyle w:val="Heading2"/>
        <w:spacing w:after="200" w:before="360"/>
      </w:pPr>
      <w:r>
        <w:rPr>
          <w:rFonts w:ascii="Calibri" w:cs="Calibri" w:eastAsia="Calibri" w:hAnsi="Calibri"/>
          <w:b/>
          <w:bCs/>
          <w:sz w:val="28"/>
          <w:szCs w:val="28"/>
        </w:rPr>
        <w:t xml:space="preserve">2.3 Why I Chose This Paper</w:t>
      </w:r>
    </w:p>
    <w:p>
      <w:pPr>
        <w:spacing w:after="200" w:line="276"/>
      </w:pPr>
      <w:r>
        <w:rPr>
          <w:rFonts w:ascii="Calibri" w:cs="Calibri" w:eastAsia="Calibri" w:hAnsi="Calibri"/>
          <w:sz w:val="24"/>
          <w:szCs w:val="24"/>
        </w:rPr>
        <w:t xml:space="preserve">Several reasons motivate the selection of Kadia et al. as the technical backbone. First, the three-layer pipeline is transparent. Each layer has a clear, interpretable function, which matters for a retail-investor dashboard where users need to understand why the system is recommending a particular action. A pure black-box model would undermine user trust.</w:t>
      </w:r>
    </w:p>
    <w:p>
      <w:pPr>
        <w:spacing w:after="200" w:line="276"/>
      </w:pPr>
      <w:r>
        <w:rPr>
          <w:rFonts w:ascii="Calibri" w:cs="Calibri" w:eastAsia="Calibri" w:hAnsi="Calibri"/>
          <w:sz w:val="24"/>
          <w:szCs w:val="24"/>
        </w:rPr>
        <w:t xml:space="preserve">Second, the volume confirmation step addresses a well-known weakness of moving-average crossovers. The academic literature on technical analysis is full of studies showing that raw SMA or EMA crossovers generate excessive whipsaws in range-bound markets. By requiring volume to trend in the same direction as the crossover, the system filters out a meaningful proportion of noise.</w:t>
      </w:r>
    </w:p>
    <w:p>
      <w:pPr>
        <w:spacing w:after="200" w:line="276"/>
      </w:pPr>
      <w:r>
        <w:rPr>
          <w:rFonts w:ascii="Calibri" w:cs="Calibri" w:eastAsia="Calibri" w:hAnsi="Calibri"/>
          <w:sz w:val="24"/>
          <w:szCs w:val="24"/>
        </w:rPr>
        <w:t xml:space="preserve">Third, the PPO agent adds an adaptive layer. Rule-based systems are rigid; they cannot adjust to changing market conditions without manual re-tuning. The RL agent, trained on the same indicator set, learns non-linear relationships between the indicators and profitable actions. In my implementation, the PPO prediction acts as an override or tie-breaker when the rule-based signal is ambiguous (i.e., no clear crossover event).</w:t>
      </w:r>
    </w:p>
    <w:p>
      <w:pPr>
        <w:spacing w:after="200" w:line="276"/>
      </w:pPr>
      <w:r>
        <w:rPr>
          <w:rFonts w:ascii="Calibri" w:cs="Calibri" w:eastAsia="Calibri" w:hAnsi="Calibri"/>
          <w:sz w:val="24"/>
          <w:szCs w:val="24"/>
        </w:rPr>
        <w:t xml:space="preserve">Finally, the paper’s reward function elegantly encodes the idea that volume-confirmed moves are more significant. By scaling the price-return reward by a volume factor, the agent naturally learns to place more weight on high-conviction signals.</w:t>
      </w:r>
    </w:p>
    <w:p>
      <w:pPr>
        <w:pStyle w:val="Heading2"/>
        <w:spacing w:after="200" w:before="360"/>
      </w:pPr>
      <w:r>
        <w:rPr>
          <w:rFonts w:ascii="Calibri" w:cs="Calibri" w:eastAsia="Calibri" w:hAnsi="Calibri"/>
          <w:b/>
          <w:bCs/>
          <w:sz w:val="28"/>
          <w:szCs w:val="28"/>
        </w:rPr>
        <w:t xml:space="preserve">2.4 The Logic in My Code</w:t>
      </w:r>
    </w:p>
    <w:p>
      <w:pPr>
        <w:spacing w:after="200" w:line="276"/>
      </w:pPr>
      <w:r>
        <w:rPr>
          <w:rFonts w:ascii="Calibri" w:cs="Calibri" w:eastAsia="Calibri" w:hAnsi="Calibri"/>
          <w:sz w:val="24"/>
          <w:szCs w:val="24"/>
        </w:rPr>
        <w:t xml:space="preserve">The rule-based pipeline lives in the function generate_paper1_signal() in models.py. It operates on a single row of pre-computed indicators: first it reads EMA_Cross_Signal, then checks ATV_Slope direction, and finally applies the RSI gate. The function returns one of three strings — "BUY", "SELL", or "HOLD" — along with a details dictionary explaining every decision node. This transparency is essential for the dashboard’s plain-English commentary feature, which narrates why a particular recommendation was made.</w:t>
      </w:r>
    </w:p>
    <w:p>
      <w:pPr>
        <w:spacing w:after="200" w:line="276"/>
      </w:pPr>
      <w:r>
        <w:rPr>
          <w:rFonts w:ascii="Calibri" w:cs="Calibri" w:eastAsia="Calibri" w:hAnsi="Calibri"/>
          <w:sz w:val="24"/>
          <w:szCs w:val="24"/>
        </w:rPr>
        <w:t xml:space="preserve">The PPO agent is encapsulated in rl_agent.py. The StockTradingEnv class defines a Gymnasium environment with a six-dimensional continuous observation space: the EMA cross signal (−1, 0, or +1), the normalised ATV slope, the one-day return, the five-day return, the RSI normalised to [−1, 1], and the relative volume capped at 5×. The action space is Discrete(3): buy, sell, or hold. Each step computes the reward using the paper’s Equation 5 exactly. The agent is trained using stable-baselines3’s PPO implementation with a learning rate of 3×10⁻⁴, 256 steps per rollout, a batch size of 64, and 10 epochs per update. Trained models are cached by a hash of the ticker symbol and data length to avoid redundant retraining.</w:t>
      </w:r>
    </w:p>
    <w:p>
      <w:pPr>
        <w:spacing w:after="200" w:line="276"/>
      </w:pPr>
      <w:r>
        <w:rPr>
          <w:rFonts w:ascii="Calibri" w:cs="Calibri" w:eastAsia="Calibri" w:hAnsi="Calibri"/>
          <w:sz w:val="24"/>
          <w:szCs w:val="24"/>
        </w:rPr>
        <w:t xml:space="preserve">When the dashboard loads data for a stock, it first computes all indicators, then runs the rule-based pipeline for an immediate signal, and in parallel trains (or loads from cache) the PPO agent. If the rule-based signal is "HOLD" due to no crossover event, the system falls back to a composite scoring approach where the PPO’s prediction can influence the final recommendation. This layered architecture ensures that the dashboard always has something meaningful to present, whether the market is trending (rule-based signal dominates) or ranging (PPO and composite scoring take over).</w:t>
      </w:r>
    </w:p>
    <w:p>
      <w:r>
        <w:br w:type="page"/>
      </w:r>
    </w:p>
    <w:p>
      <w:pPr>
        <w:pStyle w:val="Heading1"/>
        <w:spacing w:after="200" w:before="360"/>
      </w:pPr>
      <w:r>
        <w:rPr>
          <w:rFonts w:ascii="Calibri" w:cs="Calibri" w:eastAsia="Calibri" w:hAnsi="Calibri"/>
          <w:b/>
          <w:bCs/>
          <w:sz w:val="32"/>
          <w:szCs w:val="32"/>
        </w:rPr>
        <w:t xml:space="preserve">3. Paper 2 — Yeh &amp; Liu (2020)</w:t>
      </w:r>
    </w:p>
    <w:p>
      <w:pPr>
        <w:spacing w:after="200" w:line="276"/>
      </w:pPr>
      <w:r>
        <w:rPr>
          <w:rFonts w:ascii="Calibri" w:cs="Calibri" w:eastAsia="Calibri" w:hAnsi="Calibri"/>
          <w:b/>
          <w:bCs/>
          <w:sz w:val="24"/>
          <w:szCs w:val="24"/>
        </w:rPr>
        <w:t xml:space="preserve">Full title: </w:t>
      </w:r>
      <w:r>
        <w:rPr>
          <w:rFonts w:ascii="Calibri" w:cs="Calibri" w:eastAsia="Calibri" w:hAnsi="Calibri"/>
          <w:sz w:val="24"/>
          <w:szCs w:val="24"/>
        </w:rPr>
        <w:t xml:space="preserve">"Optimal Weights of Factors in Stock Picking: Evidence from Taiwan"</w:t>
      </w:r>
      <w:r>
        <w:rPr>
          <w:rFonts w:ascii="Calibri" w:cs="Calibri" w:eastAsia="Calibri" w:hAnsi="Calibri"/>
          <w:sz w:val="24"/>
          <w:szCs w:val="24"/>
        </w:rPr>
        <w:t xml:space="preserve">, published in Financial Innovation.</w:t>
      </w:r>
    </w:p>
    <w:p>
      <w:pPr>
        <w:pStyle w:val="Heading2"/>
        <w:spacing w:after="200" w:before="360"/>
      </w:pPr>
      <w:r>
        <w:rPr>
          <w:rFonts w:ascii="Calibri" w:cs="Calibri" w:eastAsia="Calibri" w:hAnsi="Calibri"/>
          <w:b/>
          <w:bCs/>
          <w:sz w:val="28"/>
          <w:szCs w:val="28"/>
        </w:rPr>
        <w:t xml:space="preserve">3.1 What the Paper Proposes</w:t>
      </w:r>
    </w:p>
    <w:p>
      <w:pPr>
        <w:spacing w:after="200" w:line="276"/>
      </w:pPr>
      <w:r>
        <w:rPr>
          <w:rFonts w:ascii="Calibri" w:cs="Calibri" w:eastAsia="Calibri" w:hAnsi="Calibri"/>
          <w:sz w:val="24"/>
          <w:szCs w:val="24"/>
        </w:rPr>
        <w:t xml:space="preserve">Yeh and Liu tackle the stock-selection problem using a weighted multi-factor scoring approach grounded in a mixture experimental design (specifically, a simplex-centroid design). They identify five factors that collectively characterise a stock’s fundamental quality: price-to-book ratio (P/B), return on equity (ROE), monthly momentum, beta, and market capitalisation. Each stock is ranked against its peers on each factor, and a weighted composite score determines whether the stock is a good pick.</w:t>
      </w:r>
    </w:p>
    <w:p>
      <w:pPr>
        <w:spacing w:after="200" w:line="276"/>
      </w:pPr>
      <w:r>
        <w:rPr>
          <w:rFonts w:ascii="Calibri" w:cs="Calibri" w:eastAsia="Calibri" w:hAnsi="Calibri"/>
          <w:sz w:val="24"/>
          <w:szCs w:val="24"/>
        </w:rPr>
        <w:t xml:space="preserve">The key innovation is not the factors themselves — these are standard in quantitative finance — but the systematic optimisation of their weights. The paper uses a simplex-centroid design with 31 weight combinations to explore the weight space, then fits a polynomial regression model to predict portfolio performance as a function of factor weights. This model captures not only the individual importance of each factor but also pairwise and cubic interaction terms between factors. For instance, the regression reveals that the interaction between ROE and beta has a coefficient of 1.787, meaning that stocks scoring well on both factors simultaneously outperform what their individual scores would predict.</w:t>
      </w:r>
    </w:p>
    <w:p>
      <w:pPr>
        <w:spacing w:after="200" w:line="276"/>
      </w:pPr>
      <w:r>
        <w:rPr>
          <w:rFonts w:ascii="Calibri" w:cs="Calibri" w:eastAsia="Calibri" w:hAnsi="Calibri"/>
          <w:sz w:val="24"/>
          <w:szCs w:val="24"/>
        </w:rPr>
        <w:t xml:space="preserve">Tested on the Taiwan Stock Exchange from 1997 to 2015, the paper finds that the optimal weights depend on the investor’s risk profile. Conservative investors should weight beta and market capitalisation heavily, prioritising stability over returns. Moderate and return-maximising profiles converge on weights dominated by P/B (0.38), ROE (0.35), and momentum (0.23), with beta and market cap receiving minimal weight.</w:t>
      </w:r>
    </w:p>
    <w:p>
      <w:pPr>
        <w:pStyle w:val="Heading2"/>
        <w:spacing w:after="200" w:before="360"/>
      </w:pPr>
      <w:r>
        <w:rPr>
          <w:rFonts w:ascii="Calibri" w:cs="Calibri" w:eastAsia="Calibri" w:hAnsi="Calibri"/>
          <w:b/>
          <w:bCs/>
          <w:sz w:val="28"/>
          <w:szCs w:val="28"/>
        </w:rPr>
        <w:t xml:space="preserve">3.2 What I Use from This Paper</w:t>
      </w:r>
    </w:p>
    <w:p>
      <w:pPr>
        <w:spacing w:after="200" w:line="276"/>
      </w:pPr>
      <w:r>
        <w:rPr>
          <w:rFonts w:ascii="Calibri" w:cs="Calibri" w:eastAsia="Calibri" w:hAnsi="Calibri"/>
          <w:sz w:val="24"/>
          <w:szCs w:val="24"/>
        </w:rPr>
        <w:t xml:space="preserve">I adopt the paper’s five-factor model, the risk-profile-dependent weighting scheme, and the interaction coefficients. Specifically: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25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Calibri" w:cs="Calibri" w:eastAsia="Calibri" w:hAnsi="Calibri"/>
                <w:b/>
                <w:bCs/>
                <w:color w:val="FFFFFF"/>
                <w:sz w:val="22"/>
                <w:szCs w:val="22"/>
              </w:rPr>
              <w:t xml:space="preserve">Component</w:t>
            </w:r>
          </w:p>
        </w:tc>
        <w:tc>
          <w:tcPr>
            <w:tcW w:type="dxa" w:w="3263"/>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Calibri" w:cs="Calibri" w:eastAsia="Calibri" w:hAnsi="Calibri"/>
                <w:b/>
                <w:bCs/>
                <w:color w:val="FFFFFF"/>
                <w:sz w:val="22"/>
                <w:szCs w:val="22"/>
              </w:rPr>
              <w:t xml:space="preserve">Paper’s Formulation</w:t>
            </w:r>
          </w:p>
        </w:tc>
        <w:tc>
          <w:tcPr>
            <w:tcW w:type="dxa" w:w="3263"/>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Calibri" w:cs="Calibri" w:eastAsia="Calibri" w:hAnsi="Calibri"/>
                <w:b/>
                <w:bCs/>
                <w:color w:val="FFFFFF"/>
                <w:sz w:val="22"/>
                <w:szCs w:val="22"/>
              </w:rPr>
              <w:t xml:space="preserve">My Implementation</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Calibri" w:cs="Calibri" w:eastAsia="Calibri" w:hAnsi="Calibri"/>
                <w:sz w:val="22"/>
                <w:szCs w:val="22"/>
              </w:rPr>
              <w:t xml:space="preserve">Five Factors</w:t>
            </w:r>
          </w:p>
        </w:tc>
        <w:tc>
          <w:tcPr>
            <w:tcW w:type="dxa" w:w="3263"/>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Calibri" w:cs="Calibri" w:eastAsia="Calibri" w:hAnsi="Calibri"/>
                <w:sz w:val="22"/>
                <w:szCs w:val="22"/>
              </w:rPr>
              <w:t xml:space="preserve">P/B (lower = better), ROE (higher = better), Momentum, Beta (lower = better), Market Cap</w:t>
            </w:r>
          </w:p>
        </w:tc>
        <w:tc>
          <w:tcPr>
            <w:tcW w:type="dxa" w:w="3263"/>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Calibri" w:cs="Calibri" w:eastAsia="Calibri" w:hAnsi="Calibri"/>
                <w:sz w:val="22"/>
                <w:szCs w:val="22"/>
              </w:rPr>
              <w:t xml:space="preserve">Extracted from Yahoo Finance API; percentile-ranked against sector peers</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Calibri" w:cs="Calibri" w:eastAsia="Calibri" w:hAnsi="Calibri"/>
                <w:sz w:val="22"/>
                <w:szCs w:val="22"/>
              </w:rPr>
              <w:t xml:space="preserve">Risk-Profile Weights</w:t>
            </w:r>
          </w:p>
        </w:tc>
        <w:tc>
          <w:tcPr>
            <w:tcW w:type="dxa" w:w="3263"/>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Calibri" w:cs="Calibri" w:eastAsia="Calibri" w:hAnsi="Calibri"/>
                <w:sz w:val="22"/>
                <w:szCs w:val="22"/>
              </w:rPr>
              <w:t xml:space="preserve">Figure 12: Conservative, Moderate, Aggressive weight sets</w:t>
            </w:r>
          </w:p>
        </w:tc>
        <w:tc>
          <w:tcPr>
            <w:tcW w:type="dxa" w:w="3263"/>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Calibri" w:cs="Calibri" w:eastAsia="Calibri" w:hAnsi="Calibri"/>
                <w:sz w:val="22"/>
                <w:szCs w:val="22"/>
              </w:rPr>
              <w:t xml:space="preserve">RISK_PROFILE_WEIGHTS_P2 dictionary in models.py with three profiles</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Calibri" w:cs="Calibri" w:eastAsia="Calibri" w:hAnsi="Calibri"/>
                <w:sz w:val="22"/>
                <w:szCs w:val="22"/>
              </w:rPr>
              <w:t xml:space="preserve">Interaction Terms</w:t>
            </w:r>
          </w:p>
        </w:tc>
        <w:tc>
          <w:tcPr>
            <w:tcW w:type="dxa" w:w="3263"/>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Calibri" w:cs="Calibri" w:eastAsia="Calibri" w:hAnsi="Calibri"/>
                <w:sz w:val="22"/>
                <w:szCs w:val="22"/>
              </w:rPr>
              <w:t xml:space="preserve">Table 2: pairwise and cubic regression coefficients</w:t>
            </w:r>
          </w:p>
        </w:tc>
        <w:tc>
          <w:tcPr>
            <w:tcW w:type="dxa" w:w="3263"/>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Calibri" w:cs="Calibri" w:eastAsia="Calibri" w:hAnsi="Calibri"/>
                <w:sz w:val="22"/>
                <w:szCs w:val="22"/>
              </w:rPr>
              <w:t xml:space="preserve">INTERACTION_COEFFICIENTS dictionary; applied to normalised percentile products</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Calibri" w:cs="Calibri" w:eastAsia="Calibri" w:hAnsi="Calibri"/>
                <w:sz w:val="22"/>
                <w:szCs w:val="22"/>
              </w:rPr>
              <w:t xml:space="preserve">Percentile Ranking</w:t>
            </w:r>
          </w:p>
        </w:tc>
        <w:tc>
          <w:tcPr>
            <w:tcW w:type="dxa" w:w="3263"/>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Calibri" w:cs="Calibri" w:eastAsia="Calibri" w:hAnsi="Calibri"/>
                <w:sz w:val="22"/>
                <w:szCs w:val="22"/>
              </w:rPr>
              <w:t xml:space="preserve">Stocks ranked within peer universe</w:t>
            </w:r>
          </w:p>
        </w:tc>
        <w:tc>
          <w:tcPr>
            <w:tcW w:type="dxa" w:w="3263"/>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Calibri" w:cs="Calibri" w:eastAsia="Calibri" w:hAnsi="Calibri"/>
                <w:sz w:val="22"/>
                <w:szCs w:val="22"/>
              </w:rPr>
              <w:t xml:space="preserve">_percentile_rank() function; falls back to absolute thresholds if &lt; 3 peers</w:t>
            </w:r>
          </w:p>
        </w:tc>
      </w:tr>
    </w:tbl>
    <w:p>
      <w:pPr>
        <w:spacing w:after="200"/>
      </w:pPr>
    </w:p>
    <w:p>
      <w:pPr>
        <w:spacing w:after="200" w:line="276"/>
      </w:pPr>
      <w:r>
        <w:rPr>
          <w:rFonts w:ascii="Calibri" w:cs="Calibri" w:eastAsia="Calibri" w:hAnsi="Calibri"/>
          <w:sz w:val="24"/>
          <w:szCs w:val="24"/>
        </w:rPr>
        <w:t xml:space="preserve">The three risk-profile weight sets, taken from the paper’s Figure 12 optimisation results, are as follows: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6"/>
        <w:gridCol w:w="1805"/>
      </w:tblGrid>
      <w:tr>
        <w:tc>
          <w:tcPr>
            <w:tcW w:type="dxa" w:w="1805"/>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Calibri" w:cs="Calibri" w:eastAsia="Calibri" w:hAnsi="Calibri"/>
                <w:b/>
                <w:bCs/>
                <w:color w:val="FFFFFF"/>
                <w:sz w:val="22"/>
                <w:szCs w:val="22"/>
              </w:rPr>
              <w:t xml:space="preserve">Factor</w:t>
            </w:r>
          </w:p>
        </w:tc>
        <w:tc>
          <w:tcPr>
            <w:tcW w:type="dxa" w:w="1805"/>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Calibri" w:cs="Calibri" w:eastAsia="Calibri" w:hAnsi="Calibri"/>
                <w:b/>
                <w:bCs/>
                <w:color w:val="FFFFFF"/>
                <w:sz w:val="22"/>
                <w:szCs w:val="22"/>
              </w:rPr>
              <w:t xml:space="preserve">Conservative</w:t>
            </w:r>
          </w:p>
        </w:tc>
        <w:tc>
          <w:tcPr>
            <w:tcW w:type="dxa" w:w="1805"/>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Calibri" w:cs="Calibri" w:eastAsia="Calibri" w:hAnsi="Calibri"/>
                <w:b/>
                <w:bCs/>
                <w:color w:val="FFFFFF"/>
                <w:sz w:val="22"/>
                <w:szCs w:val="22"/>
              </w:rPr>
              <w:t xml:space="preserve">Moderate</w:t>
            </w:r>
          </w:p>
        </w:tc>
        <w:tc>
          <w:tcPr>
            <w:tcW w:type="dxa" w:w="1806"/>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Calibri" w:cs="Calibri" w:eastAsia="Calibri" w:hAnsi="Calibri"/>
                <w:b/>
                <w:bCs/>
                <w:color w:val="FFFFFF"/>
                <w:sz w:val="22"/>
                <w:szCs w:val="22"/>
              </w:rPr>
              <w:t xml:space="preserve">Aggressive</w:t>
            </w:r>
          </w:p>
        </w:tc>
        <w:tc>
          <w:tcPr>
            <w:tcW w:type="dxa" w:w="1805"/>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Calibri" w:cs="Calibri" w:eastAsia="Calibri" w:hAnsi="Calibri"/>
                <w:b/>
                <w:bCs/>
                <w:color w:val="FFFFFF"/>
                <w:sz w:val="22"/>
                <w:szCs w:val="22"/>
              </w:rPr>
              <w:t xml:space="preserve">Scoring Direction</w:t>
            </w:r>
          </w:p>
        </w:tc>
      </w:tr>
      <w:tr>
        <w:tc>
          <w:tcPr>
            <w:tcW w:type="dxa" w:w="1805"/>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Calibri" w:cs="Calibri" w:eastAsia="Calibri" w:hAnsi="Calibri"/>
                <w:sz w:val="22"/>
                <w:szCs w:val="22"/>
              </w:rPr>
              <w:t xml:space="preserve">P/B</w:t>
            </w:r>
          </w:p>
        </w:tc>
        <w:tc>
          <w:tcPr>
            <w:tcW w:type="dxa" w:w="1805"/>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Calibri" w:cs="Calibri" w:eastAsia="Calibri" w:hAnsi="Calibri"/>
                <w:sz w:val="22"/>
                <w:szCs w:val="22"/>
              </w:rPr>
              <w:t xml:space="preserve">0.10</w:t>
            </w:r>
          </w:p>
        </w:tc>
        <w:tc>
          <w:tcPr>
            <w:tcW w:type="dxa" w:w="1805"/>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Calibri" w:cs="Calibri" w:eastAsia="Calibri" w:hAnsi="Calibri"/>
                <w:sz w:val="22"/>
                <w:szCs w:val="22"/>
              </w:rPr>
              <w:t xml:space="preserve">0.38</w:t>
            </w:r>
          </w:p>
        </w:tc>
        <w:tc>
          <w:tcPr>
            <w:tcW w:type="dxa" w:w="180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Calibri" w:cs="Calibri" w:eastAsia="Calibri" w:hAnsi="Calibri"/>
                <w:sz w:val="22"/>
                <w:szCs w:val="22"/>
              </w:rPr>
              <w:t xml:space="preserve">0.38</w:t>
            </w:r>
          </w:p>
        </w:tc>
        <w:tc>
          <w:tcPr>
            <w:tcW w:type="dxa" w:w="1805"/>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Calibri" w:cs="Calibri" w:eastAsia="Calibri" w:hAnsi="Calibri"/>
                <w:sz w:val="22"/>
                <w:szCs w:val="22"/>
              </w:rPr>
              <w:t xml:space="preserve">Ascending (lower = better)</w:t>
            </w:r>
          </w:p>
        </w:tc>
      </w:tr>
      <w:tr>
        <w:tc>
          <w:tcPr>
            <w:tcW w:type="dxa" w:w="1805"/>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Calibri" w:cs="Calibri" w:eastAsia="Calibri" w:hAnsi="Calibri"/>
                <w:sz w:val="22"/>
                <w:szCs w:val="22"/>
              </w:rPr>
              <w:t xml:space="preserve">ROE</w:t>
            </w:r>
          </w:p>
        </w:tc>
        <w:tc>
          <w:tcPr>
            <w:tcW w:type="dxa" w:w="1805"/>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Calibri" w:cs="Calibri" w:eastAsia="Calibri" w:hAnsi="Calibri"/>
                <w:sz w:val="22"/>
                <w:szCs w:val="22"/>
              </w:rPr>
              <w:t xml:space="preserve">0.15</w:t>
            </w:r>
          </w:p>
        </w:tc>
        <w:tc>
          <w:tcPr>
            <w:tcW w:type="dxa" w:w="1805"/>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Calibri" w:cs="Calibri" w:eastAsia="Calibri" w:hAnsi="Calibri"/>
                <w:sz w:val="22"/>
                <w:szCs w:val="22"/>
              </w:rPr>
              <w:t xml:space="preserve">0.35</w:t>
            </w:r>
          </w:p>
        </w:tc>
        <w:tc>
          <w:tcPr>
            <w:tcW w:type="dxa" w:w="180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Calibri" w:cs="Calibri" w:eastAsia="Calibri" w:hAnsi="Calibri"/>
                <w:sz w:val="22"/>
                <w:szCs w:val="22"/>
              </w:rPr>
              <w:t xml:space="preserve">0.35</w:t>
            </w:r>
          </w:p>
        </w:tc>
        <w:tc>
          <w:tcPr>
            <w:tcW w:type="dxa" w:w="1805"/>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Calibri" w:cs="Calibri" w:eastAsia="Calibri" w:hAnsi="Calibri"/>
                <w:sz w:val="22"/>
                <w:szCs w:val="22"/>
              </w:rPr>
              <w:t xml:space="preserve">Descending (higher = better)</w:t>
            </w:r>
          </w:p>
        </w:tc>
      </w:tr>
      <w:tr>
        <w:tc>
          <w:tcPr>
            <w:tcW w:type="dxa" w:w="1805"/>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Calibri" w:cs="Calibri" w:eastAsia="Calibri" w:hAnsi="Calibri"/>
                <w:sz w:val="22"/>
                <w:szCs w:val="22"/>
              </w:rPr>
              <w:t xml:space="preserve">Momentum</w:t>
            </w:r>
          </w:p>
        </w:tc>
        <w:tc>
          <w:tcPr>
            <w:tcW w:type="dxa" w:w="1805"/>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Calibri" w:cs="Calibri" w:eastAsia="Calibri" w:hAnsi="Calibri"/>
                <w:sz w:val="22"/>
                <w:szCs w:val="22"/>
              </w:rPr>
              <w:t xml:space="preserve">0.10</w:t>
            </w:r>
          </w:p>
        </w:tc>
        <w:tc>
          <w:tcPr>
            <w:tcW w:type="dxa" w:w="1805"/>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Calibri" w:cs="Calibri" w:eastAsia="Calibri" w:hAnsi="Calibri"/>
                <w:sz w:val="22"/>
                <w:szCs w:val="22"/>
              </w:rPr>
              <w:t xml:space="preserve">0.23</w:t>
            </w:r>
          </w:p>
        </w:tc>
        <w:tc>
          <w:tcPr>
            <w:tcW w:type="dxa" w:w="180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Calibri" w:cs="Calibri" w:eastAsia="Calibri" w:hAnsi="Calibri"/>
                <w:sz w:val="22"/>
                <w:szCs w:val="22"/>
              </w:rPr>
              <w:t xml:space="preserve">0.23</w:t>
            </w:r>
          </w:p>
        </w:tc>
        <w:tc>
          <w:tcPr>
            <w:tcW w:type="dxa" w:w="1805"/>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Calibri" w:cs="Calibri" w:eastAsia="Calibri" w:hAnsi="Calibri"/>
                <w:sz w:val="22"/>
                <w:szCs w:val="22"/>
              </w:rPr>
              <w:t xml:space="preserve">Descending (higher = better)</w:t>
            </w:r>
          </w:p>
        </w:tc>
      </w:tr>
      <w:tr>
        <w:tc>
          <w:tcPr>
            <w:tcW w:type="dxa" w:w="1805"/>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Calibri" w:cs="Calibri" w:eastAsia="Calibri" w:hAnsi="Calibri"/>
                <w:sz w:val="22"/>
                <w:szCs w:val="22"/>
              </w:rPr>
              <w:t xml:space="preserve">Beta</w:t>
            </w:r>
          </w:p>
        </w:tc>
        <w:tc>
          <w:tcPr>
            <w:tcW w:type="dxa" w:w="1805"/>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Calibri" w:cs="Calibri" w:eastAsia="Calibri" w:hAnsi="Calibri"/>
                <w:sz w:val="22"/>
                <w:szCs w:val="22"/>
              </w:rPr>
              <w:t xml:space="preserve">0.35</w:t>
            </w:r>
          </w:p>
        </w:tc>
        <w:tc>
          <w:tcPr>
            <w:tcW w:type="dxa" w:w="1805"/>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Calibri" w:cs="Calibri" w:eastAsia="Calibri" w:hAnsi="Calibri"/>
                <w:sz w:val="22"/>
                <w:szCs w:val="22"/>
              </w:rPr>
              <w:t xml:space="preserve">0.04</w:t>
            </w:r>
          </w:p>
        </w:tc>
        <w:tc>
          <w:tcPr>
            <w:tcW w:type="dxa" w:w="180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Calibri" w:cs="Calibri" w:eastAsia="Calibri" w:hAnsi="Calibri"/>
                <w:sz w:val="22"/>
                <w:szCs w:val="22"/>
              </w:rPr>
              <w:t xml:space="preserve">0.04</w:t>
            </w:r>
          </w:p>
        </w:tc>
        <w:tc>
          <w:tcPr>
            <w:tcW w:type="dxa" w:w="1805"/>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Calibri" w:cs="Calibri" w:eastAsia="Calibri" w:hAnsi="Calibri"/>
                <w:sz w:val="22"/>
                <w:szCs w:val="22"/>
              </w:rPr>
              <w:t xml:space="preserve">Ascending (lower = better)</w:t>
            </w:r>
          </w:p>
        </w:tc>
      </w:tr>
      <w:tr>
        <w:tc>
          <w:tcPr>
            <w:tcW w:type="dxa" w:w="1805"/>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Calibri" w:cs="Calibri" w:eastAsia="Calibri" w:hAnsi="Calibri"/>
                <w:sz w:val="22"/>
                <w:szCs w:val="22"/>
              </w:rPr>
              <w:t xml:space="preserve">Market Cap</w:t>
            </w:r>
          </w:p>
        </w:tc>
        <w:tc>
          <w:tcPr>
            <w:tcW w:type="dxa" w:w="1805"/>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Calibri" w:cs="Calibri" w:eastAsia="Calibri" w:hAnsi="Calibri"/>
                <w:sz w:val="22"/>
                <w:szCs w:val="22"/>
              </w:rPr>
              <w:t xml:space="preserve">0.30</w:t>
            </w:r>
          </w:p>
        </w:tc>
        <w:tc>
          <w:tcPr>
            <w:tcW w:type="dxa" w:w="1805"/>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Calibri" w:cs="Calibri" w:eastAsia="Calibri" w:hAnsi="Calibri"/>
                <w:sz w:val="22"/>
                <w:szCs w:val="22"/>
              </w:rPr>
              <w:t xml:space="preserve">0.00</w:t>
            </w:r>
          </w:p>
        </w:tc>
        <w:tc>
          <w:tcPr>
            <w:tcW w:type="dxa" w:w="180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Calibri" w:cs="Calibri" w:eastAsia="Calibri" w:hAnsi="Calibri"/>
                <w:sz w:val="22"/>
                <w:szCs w:val="22"/>
              </w:rPr>
              <w:t xml:space="preserve">0.00</w:t>
            </w:r>
          </w:p>
        </w:tc>
        <w:tc>
          <w:tcPr>
            <w:tcW w:type="dxa" w:w="1805"/>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Calibri" w:cs="Calibri" w:eastAsia="Calibri" w:hAnsi="Calibri"/>
                <w:sz w:val="22"/>
                <w:szCs w:val="22"/>
              </w:rPr>
              <w:t xml:space="preserve">Descending (higher = better)</w:t>
            </w:r>
          </w:p>
        </w:tc>
      </w:tr>
    </w:tbl>
    <w:p>
      <w:pPr>
        <w:spacing w:after="200"/>
      </w:pPr>
    </w:p>
    <w:p>
      <w:pPr>
        <w:pStyle w:val="Heading2"/>
        <w:spacing w:after="200" w:before="360"/>
      </w:pPr>
      <w:r>
        <w:rPr>
          <w:rFonts w:ascii="Calibri" w:cs="Calibri" w:eastAsia="Calibri" w:hAnsi="Calibri"/>
          <w:b/>
          <w:bCs/>
          <w:sz w:val="28"/>
          <w:szCs w:val="28"/>
        </w:rPr>
        <w:t xml:space="preserve">3.3 Why I Chose This Paper</w:t>
      </w:r>
    </w:p>
    <w:p>
      <w:pPr>
        <w:spacing w:after="200" w:line="276"/>
      </w:pPr>
      <w:r>
        <w:rPr>
          <w:rFonts w:ascii="Calibri" w:cs="Calibri" w:eastAsia="Calibri" w:hAnsi="Calibri"/>
          <w:sz w:val="24"/>
          <w:szCs w:val="24"/>
        </w:rPr>
        <w:t xml:space="preserve">The Yeh and Liu paper fills a gap that the Kadia et al. paper deliberately leaves open. Paper 1 answers the question of when to trade, but it says nothing about which stocks deserve attention in the first place. A momentum crossover on a fundamentally weak company is not the same as one on a company with strong return on equity and a reasonable valuation. Paper 2 provides the mechanism to rank and score stocks on fundamental quality, so that the technical signals from Paper 1 carry more weight when applied to fundamentally sound stocks.</w:t>
      </w:r>
    </w:p>
    <w:p>
      <w:pPr>
        <w:spacing w:after="200" w:line="276"/>
      </w:pPr>
      <w:r>
        <w:rPr>
          <w:rFonts w:ascii="Calibri" w:cs="Calibri" w:eastAsia="Calibri" w:hAnsi="Calibri"/>
          <w:sz w:val="24"/>
          <w:szCs w:val="24"/>
        </w:rPr>
        <w:t xml:space="preserve">The risk-profile weighting is particularly valuable for a retail-investor dashboard. Not every user has the same risk tolerance. A conservative investor who wants large-cap, low-beta, stable names needs a fundamentally different scoring function from an aggressive growth-seeker. Rather than hard-coding a single set of weights, the paper provides empirically optimised weight sets for different profiles, and the mixture experimental design gives confidence that these are not arbitrary choices but statistically grounded optima.</w:t>
      </w:r>
    </w:p>
    <w:p>
      <w:pPr>
        <w:spacing w:after="200" w:line="276"/>
      </w:pPr>
      <w:r>
        <w:rPr>
          <w:rFonts w:ascii="Calibri" w:cs="Calibri" w:eastAsia="Calibri" w:hAnsi="Calibri"/>
          <w:sz w:val="24"/>
          <w:szCs w:val="24"/>
        </w:rPr>
        <w:t xml:space="preserve">The interaction terms are another compelling reason. Standard multi-factor models simply add up weighted factor scores, implicitly assuming that factors contribute independently. Yeh and Liu’s regression analysis shows this assumption is wrong. The interaction between P/B and beta, for example, has a coefficient of 1.387, meaning that a stock which is cheap (low P/B) and stable (low beta) simultaneously is worth substantially more than the sum of its individual factor scores would suggest. Ignoring these interactions would systematically undervalue stocks with complementary strengths.</w:t>
      </w:r>
    </w:p>
    <w:p>
      <w:pPr>
        <w:pStyle w:val="Heading2"/>
        <w:spacing w:after="200" w:before="360"/>
      </w:pPr>
      <w:r>
        <w:rPr>
          <w:rFonts w:ascii="Calibri" w:cs="Calibri" w:eastAsia="Calibri" w:hAnsi="Calibri"/>
          <w:b/>
          <w:bCs/>
          <w:sz w:val="28"/>
          <w:szCs w:val="28"/>
        </w:rPr>
        <w:t xml:space="preserve">3.4 The Logic in My Code</w:t>
      </w:r>
    </w:p>
    <w:p>
      <w:pPr>
        <w:spacing w:after="200" w:line="276"/>
      </w:pPr>
      <w:r>
        <w:rPr>
          <w:rFonts w:ascii="Calibri" w:cs="Calibri" w:eastAsia="Calibri" w:hAnsi="Calibri"/>
          <w:sz w:val="24"/>
          <w:szCs w:val="24"/>
        </w:rPr>
        <w:t xml:space="preserve">The fundamental scoring engine lives in calculate_fundamental_score_paper2() in models.py. For each stock, it extracts the five factors from the Yahoo Finance API response. If at least three peer stocks are available (from the same sector or industry), the function computes percentile ranks: a stock’s P/B, for instance, is ranked against all peers, and since lower P/B is better, the rank is inverted (100 minus the raw percentile). If peer data is insufficient, the function falls back to absolute thresholds — predefined score mappings based on commonly accepted ranges for each metric.</w:t>
      </w:r>
    </w:p>
    <w:p>
      <w:pPr>
        <w:spacing w:after="200" w:line="276"/>
      </w:pPr>
      <w:r>
        <w:rPr>
          <w:rFonts w:ascii="Calibri" w:cs="Calibri" w:eastAsia="Calibri" w:hAnsi="Calibri"/>
          <w:sz w:val="24"/>
          <w:szCs w:val="24"/>
        </w:rPr>
        <w:t xml:space="preserve">Once all five percentile scores are computed, they are combined using the risk-profile weights from RISK_PROFILE_WEIGHTS_P2. If the user has selected a conservative profile, beta and market capitalisation dominate the total; for moderate or aggressive profiles, P/B, ROE, and momentum carry most of the weight.</w:t>
      </w:r>
    </w:p>
    <w:p>
      <w:pPr>
        <w:spacing w:after="200" w:line="276"/>
      </w:pPr>
      <w:r>
        <w:rPr>
          <w:rFonts w:ascii="Calibri" w:cs="Calibri" w:eastAsia="Calibri" w:hAnsi="Calibri"/>
          <w:sz w:val="24"/>
          <w:szCs w:val="24"/>
        </w:rPr>
        <w:t xml:space="preserve">The interaction terms from INTERACTION_COEFFICIENTS are then applied as a bonus. Each factor’s percentile is normalised to [0, 1], and for each pair or triplet of factors in the coefficient dictionary, the product of their normalised scores is multiplied by the corresponding regression coefficient. This bonus is scaled and added to the weighted total, capped at 100. The interaction computation means that the final score is not merely a linear combination of factor ranks but a richer representation that rewards complementary strengths across multiple dimensions.</w:t>
      </w:r>
    </w:p>
    <w:p>
      <w:pPr>
        <w:spacing w:after="200" w:line="276"/>
      </w:pPr>
      <w:r>
        <w:rPr>
          <w:rFonts w:ascii="Calibri" w:cs="Calibri" w:eastAsia="Calibri" w:hAnsi="Calibri"/>
          <w:sz w:val="24"/>
          <w:szCs w:val="24"/>
        </w:rPr>
        <w:t xml:space="preserve">One practical adaptation I made is the fallback mechanism. The original paper assumes a large universe of stocks (the entire Taiwan Stock Exchange), so percentile ranking is always possible. In my dashboard, a user might analyse a stock in a niche sector with very few listed peers. To handle this gracefully, the code checks whether at least three peers are available; if not, it uses absolute thresholds derived from general market benchmarks (e.g., a P/B below 1.0 scores highly regardless of peer context). This ensures the scoring engine degrades gracefully rather than failing silently.</w:t>
      </w:r>
    </w:p>
    <w:p>
      <w:r>
        <w:br w:type="page"/>
      </w:r>
    </w:p>
    <w:p>
      <w:pPr>
        <w:pStyle w:val="Heading1"/>
        <w:spacing w:after="200" w:before="360"/>
      </w:pPr>
      <w:r>
        <w:rPr>
          <w:rFonts w:ascii="Calibri" w:cs="Calibri" w:eastAsia="Calibri" w:hAnsi="Calibri"/>
          <w:b/>
          <w:bCs/>
          <w:sz w:val="32"/>
          <w:szCs w:val="32"/>
        </w:rPr>
        <w:t xml:space="preserve">4. How the Two Papers Work Together</w:t>
      </w:r>
    </w:p>
    <w:p>
      <w:pPr>
        <w:spacing w:after="200" w:line="276"/>
      </w:pPr>
      <w:r>
        <w:rPr>
          <w:rFonts w:ascii="Calibri" w:cs="Calibri" w:eastAsia="Calibri" w:hAnsi="Calibri"/>
          <w:sz w:val="24"/>
          <w:szCs w:val="24"/>
        </w:rPr>
        <w:t xml:space="preserve">The dashboard’s architecture separates the two papers into distinct but complementary modules. Paper 1 handles technical timing (the “when”), and Paper 2 handles fundamental quality (the “which”). They converge in the recommendation engine, where both scores feed into a final assessment.</w:t>
      </w:r>
    </w:p>
    <w:p>
      <w:pPr>
        <w:spacing w:after="200" w:line="276"/>
      </w:pPr>
      <w:r>
        <w:rPr>
          <w:rFonts w:ascii="Calibri" w:cs="Calibri" w:eastAsia="Calibri" w:hAnsi="Calibri"/>
          <w:sz w:val="24"/>
          <w:szCs w:val="24"/>
        </w:rPr>
        <w:t xml:space="preserve">When a user selects a stock, the system first computes all technical indicators and runs the Paper 1 pipeline. Simultaneously, it retrieves fundamental data and peer metrics to compute the Paper 2 score. The recommendation tab then synthesises these into a narrative. A stock that receives a “BUY” from the technical pipeline and a high fundamental score (say, 75 out of 100) is presented with high confidence. Conversely, a technical buy on a stock with a weak fundamental score (below 40) triggers a cautionary note, because the price momentum may not be supported by underlying business quality.</w:t>
      </w:r>
    </w:p>
    <w:p>
      <w:pPr>
        <w:spacing w:after="200" w:line="276"/>
      </w:pPr>
      <w:r>
        <w:rPr>
          <w:rFonts w:ascii="Calibri" w:cs="Calibri" w:eastAsia="Calibri" w:hAnsi="Calibri"/>
          <w:sz w:val="24"/>
          <w:szCs w:val="24"/>
        </w:rPr>
        <w:t xml:space="preserve">The dashboard also uses market regime detection (bull, bear, high-volatility) to adjust the relative influence of technical versus fundamental signals. In a strong bull market, technical momentum carries more weight because trend-following strategies tend to outperform. In bear or volatile markets, fundamental quality becomes more important as a defensive screen. These dynamic weights are not directly from either paper but are an extension that I developed to bridge the two approaches sensibly.</w:t>
      </w:r>
    </w:p>
    <w:p>
      <w:pPr>
        <w:spacing w:after="200" w:line="276"/>
      </w:pPr>
      <w:r>
        <w:rPr>
          <w:rFonts w:ascii="Calibri" w:cs="Calibri" w:eastAsia="Calibri" w:hAnsi="Calibri"/>
          <w:sz w:val="24"/>
          <w:szCs w:val="24"/>
        </w:rPr>
        <w:t xml:space="preserve">The plain-English commentary module ties everything together. For each stock, the dashboard generates a narrative that references specific details from both pipelines: the type of crossover (or lack thereof), whether volume confirmed it, the RSI reading, the fundamental score breakdown by factor, and how the user’s selected risk profile influenced the weighting. This level of transparency is central to the project’s goal of empowering retail investors with institutional-grade analytics presented in an accessible format.</w:t>
      </w:r>
    </w:p>
    <w:p>
      <w:pPr>
        <w:pStyle w:val="Heading1"/>
        <w:spacing w:after="200" w:before="360"/>
      </w:pPr>
      <w:r>
        <w:rPr>
          <w:rFonts w:ascii="Calibri" w:cs="Calibri" w:eastAsia="Calibri" w:hAnsi="Calibri"/>
          <w:b/>
          <w:bCs/>
          <w:sz w:val="32"/>
          <w:szCs w:val="32"/>
        </w:rPr>
        <w:t xml:space="preserve">5. Summary</w:t>
      </w:r>
    </w:p>
    <w:p>
      <w:pPr>
        <w:spacing w:after="200" w:line="276"/>
      </w:pPr>
      <w:r>
        <w:rPr>
          <w:rFonts w:ascii="Calibri" w:cs="Calibri" w:eastAsia="Calibri" w:hAnsi="Calibri"/>
          <w:sz w:val="24"/>
          <w:szCs w:val="24"/>
        </w:rPr>
        <w:t xml:space="preserve">To summarise: Kadia et al. (2025) provides the technical timing engine — a three-layer pipeline of EMA crossover, volume confirmation, and RSI gating, augmented by a PPO reinforcement learning agent that learns volume-weighted trading policies. Yeh and Liu (2020) provides the fundamental scoring engine — a five-factor model with risk-profile-dependent weights and statistically derived interaction terms. Together, they allow the dashboard to answer both “when to trade” and “what to trade” in a way that is grounded in peer-reviewed methodology while remaining transparent and interpretable for its target audience of retail investors.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88888"/>
        <w:sz w:val="18"/>
        <w:szCs w:val="18"/>
      </w:rPr>
      <w:t xml:space="preserve">Research Foundation — Stock Performance Dashboard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80" w:before="280"/>
      <w:outlineLvl w:val="1"/>
    </w:pPr>
    <w:rPr>
      <w:rFonts w:ascii="Calibri" w:cs="Calibri" w:eastAsia="Calibri" w:hAnsi="Calibri"/>
      <w:b/>
      <w:bCs/>
      <w:color w:val="2B5797"/>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2B579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2026-04-08T12:04:54.874Z</dcterms:created>
  <dcterms:modified xsi:type="dcterms:W3CDTF">2026-04-08T12:04:54.874Z</dcterms:modified>
</cp:coreProperties>
</file>

<file path=docProps/custom.xml><?xml version="1.0" encoding="utf-8"?>
<Properties xmlns="http://schemas.openxmlformats.org/officeDocument/2006/custom-properties" xmlns:vt="http://schemas.openxmlformats.org/officeDocument/2006/docPropsVTypes"/>
</file>