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OpenAI Strategic BDR APAC Interview Prep</w:t>
      </w:r>
    </w:p>
    <w:p>
      <w:pPr>
        <w:spacing w:after="160" w:line="276" w:lineRule="auto"/>
      </w:pPr>
      <w:r>
        <w:rPr>
          <w:rFonts w:ascii="Arial" w:hAnsi="Arial"/>
          <w:i w:val="0"/>
          <w:sz w:val="22"/>
        </w:rPr>
        <w:t>This is the clean prep version for live use or screen sharing. It keeps the useful answers, removes private notes, and marks facts that should be verified before use.</w:t>
      </w:r>
    </w:p>
    <w:p>
      <w:pPr>
        <w:pStyle w:val="Heading1"/>
        <w:spacing w:before="400" w:after="120"/>
      </w:pPr>
      <w:r>
        <w:rPr>
          <w:rFonts w:ascii="Arial" w:hAnsi="Arial"/>
          <w:b w:val="0"/>
          <w:color w:val="000000"/>
          <w:sz w:val="40"/>
        </w:rPr>
        <w:t>Use Rules</w:t>
      </w:r>
    </w:p>
    <w:p>
      <w:pPr>
        <w:pStyle w:val="ListBullet"/>
        <w:spacing w:after="80" w:line="276" w:lineRule="auto"/>
      </w:pPr>
      <w:r>
        <w:rPr>
          <w:rFonts w:ascii="Arial" w:hAnsi="Arial"/>
          <w:sz w:val="22"/>
        </w:rPr>
        <w:t>Use this as the visible prep doc.</w:t>
      </w:r>
    </w:p>
    <w:p>
      <w:pPr>
        <w:pStyle w:val="ListBullet"/>
        <w:spacing w:after="80" w:line="276" w:lineRule="auto"/>
      </w:pPr>
      <w:r>
        <w:rPr>
          <w:rFonts w:ascii="Arial" w:hAnsi="Arial"/>
          <w:sz w:val="22"/>
        </w:rPr>
        <w:t>Keep raw notes, internal wiki pages, private repositories, and AI tool windows closed.</w:t>
      </w:r>
    </w:p>
    <w:p>
      <w:pPr>
        <w:pStyle w:val="ListBullet"/>
        <w:spacing w:after="80" w:line="276" w:lineRule="auto"/>
      </w:pPr>
      <w:r>
        <w:rPr>
          <w:rFonts w:ascii="Arial" w:hAnsi="Arial"/>
          <w:sz w:val="22"/>
        </w:rPr>
        <w:t>Say exact metrics only when personally confident.</w:t>
      </w:r>
    </w:p>
    <w:p>
      <w:pPr>
        <w:pStyle w:val="ListBullet"/>
        <w:spacing w:after="80" w:line="276" w:lineRule="auto"/>
      </w:pPr>
      <w:r>
        <w:rPr>
          <w:rFonts w:ascii="Arial" w:hAnsi="Arial"/>
          <w:sz w:val="22"/>
        </w:rPr>
        <w:t>Verify current OpenAI product, model, security, privacy, and account facts before using detailed claims.</w:t>
      </w:r>
    </w:p>
    <w:p>
      <w:pPr>
        <w:pStyle w:val="ListBullet"/>
        <w:spacing w:after="80" w:line="276" w:lineRule="auto"/>
      </w:pPr>
      <w:r>
        <w:rPr>
          <w:rFonts w:ascii="Arial" w:hAnsi="Arial"/>
          <w:sz w:val="22"/>
        </w:rPr>
        <w:t>If unsure, say: "I want to be precise rather than inflate that. The directional proof is..."</w:t>
      </w:r>
    </w:p>
    <w:p>
      <w:pPr>
        <w:pStyle w:val="Heading1"/>
        <w:spacing w:before="400" w:after="120"/>
      </w:pPr>
      <w:r>
        <w:rPr>
          <w:rFonts w:ascii="Arial" w:hAnsi="Arial"/>
          <w:b w:val="0"/>
          <w:color w:val="000000"/>
          <w:sz w:val="40"/>
        </w:rPr>
        <w:t>Core Positioning</w:t>
      </w:r>
    </w:p>
    <w:p>
      <w:pPr>
        <w:pStyle w:val="Heading3"/>
        <w:spacing w:before="320" w:after="80"/>
      </w:pPr>
      <w:r>
        <w:rPr>
          <w:rFonts w:ascii="Arial" w:hAnsi="Arial"/>
          <w:b w:val="0"/>
          <w:color w:val="434343"/>
          <w:sz w:val="28"/>
        </w:rPr>
        <w:t>One-Liner</w:t>
      </w:r>
    </w:p>
    <w:p>
      <w:pPr>
        <w:spacing w:after="160" w:line="276" w:lineRule="auto"/>
      </w:pPr>
      <w:r>
        <w:rPr>
          <w:rFonts w:ascii="Arial" w:hAnsi="Arial"/>
          <w:i w:val="0"/>
          <w:sz w:val="22"/>
        </w:rPr>
        <w:t>I am a sales-led APAC GTM operator who has carried quota, sold technical products into regulated buyers, and built AI-assisted account-intelligence workflows. OpenAI is compelling because this role turns AI interest, product usage, pilots, and developer-led experimentation into high-conviction enterprise opportunities.</w:t>
      </w:r>
    </w:p>
    <w:p>
      <w:pPr>
        <w:pStyle w:val="Heading3"/>
        <w:spacing w:before="320" w:after="80"/>
      </w:pPr>
      <w:r>
        <w:rPr>
          <w:rFonts w:ascii="Arial" w:hAnsi="Arial"/>
          <w:b w:val="0"/>
          <w:color w:val="434343"/>
          <w:sz w:val="28"/>
        </w:rPr>
        <w:t>Proof Pillars</w:t>
      </w:r>
    </w:p>
    <w:tbl>
      <w:tblPr>
        <w:tblStyle w:val="TableGrid"/>
        <w:tblW w:type="auto" w:w="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tcMar>
              <w:top w:w="80" w:type="dxa"/>
              <w:start w:w="120" w:type="dxa"/>
              <w:bottom w:w="80" w:type="dxa"/>
              <w:end w:w="120" w:type="dxa"/>
            </w:tcMar>
            <w:vAlign w:val="center"/>
          </w:tcPr>
          <w:p>
            <w:pPr>
              <w:spacing w:after="0"/>
            </w:pPr>
            <w:r>
              <w:rPr>
                <w:rFonts w:ascii="Arial" w:hAnsi="Arial"/>
                <w:b/>
                <w:sz w:val="21"/>
              </w:rPr>
              <w:t>Pillar</w:t>
            </w:r>
          </w:p>
        </w:tc>
        <w:tc>
          <w:tcPr>
            <w:tcW w:type="dxa" w:w="6480"/>
            <w:tcMar>
              <w:top w:w="80" w:type="dxa"/>
              <w:start w:w="120" w:type="dxa"/>
              <w:bottom w:w="80" w:type="dxa"/>
              <w:end w:w="120" w:type="dxa"/>
            </w:tcMar>
            <w:vAlign w:val="center"/>
          </w:tcPr>
          <w:p>
            <w:pPr>
              <w:spacing w:after="0"/>
            </w:pPr>
            <w:r>
              <w:rPr>
                <w:rFonts w:ascii="Arial" w:hAnsi="Arial"/>
                <w:b/>
                <w:sz w:val="21"/>
              </w:rPr>
              <w:t>Proof</w:t>
            </w:r>
          </w:p>
        </w:tc>
      </w:tr>
      <w:tr>
        <w:tc>
          <w:tcPr>
            <w:tcW w:type="dxa" w:w="2880"/>
            <w:tcMar>
              <w:top w:w="80" w:type="dxa"/>
              <w:start w:w="120" w:type="dxa"/>
              <w:bottom w:w="80" w:type="dxa"/>
              <w:end w:w="120" w:type="dxa"/>
            </w:tcMar>
            <w:vAlign w:val="center"/>
          </w:tcPr>
          <w:p>
            <w:pPr>
              <w:spacing w:after="0"/>
            </w:pPr>
            <w:r>
              <w:rPr>
                <w:rFonts w:ascii="Arial" w:hAnsi="Arial"/>
                <w:sz w:val="21"/>
              </w:rPr>
              <w:t>Regulated APAC GTM</w:t>
            </w:r>
          </w:p>
        </w:tc>
        <w:tc>
          <w:tcPr>
            <w:tcW w:type="dxa" w:w="6480"/>
            <w:tcMar>
              <w:top w:w="80" w:type="dxa"/>
              <w:start w:w="120" w:type="dxa"/>
              <w:bottom w:w="80" w:type="dxa"/>
              <w:end w:w="120" w:type="dxa"/>
            </w:tcMar>
            <w:vAlign w:val="center"/>
          </w:tcPr>
          <w:p>
            <w:pPr>
              <w:spacing w:after="0"/>
            </w:pPr>
            <w:r>
              <w:rPr>
                <w:rFonts w:ascii="Arial" w:hAnsi="Arial"/>
                <w:sz w:val="21"/>
              </w:rPr>
              <w:t>Airwallex and Boxo fintech/platform selling in Singapore and APAC.</w:t>
            </w:r>
          </w:p>
        </w:tc>
      </w:tr>
      <w:tr>
        <w:tc>
          <w:tcPr>
            <w:tcW w:type="dxa" w:w="2880"/>
            <w:tcMar>
              <w:top w:w="80" w:type="dxa"/>
              <w:start w:w="120" w:type="dxa"/>
              <w:bottom w:w="80" w:type="dxa"/>
              <w:end w:w="120" w:type="dxa"/>
            </w:tcMar>
            <w:vAlign w:val="center"/>
          </w:tcPr>
          <w:p>
            <w:pPr>
              <w:spacing w:after="0"/>
            </w:pPr>
            <w:r>
              <w:rPr>
                <w:rFonts w:ascii="Arial" w:hAnsi="Arial"/>
                <w:sz w:val="21"/>
              </w:rPr>
              <w:t>Stakeholder mapping</w:t>
            </w:r>
          </w:p>
        </w:tc>
        <w:tc>
          <w:tcPr>
            <w:tcW w:type="dxa" w:w="6480"/>
            <w:tcMar>
              <w:top w:w="80" w:type="dxa"/>
              <w:start w:w="120" w:type="dxa"/>
              <w:bottom w:w="80" w:type="dxa"/>
              <w:end w:w="120" w:type="dxa"/>
            </w:tcMar>
            <w:vAlign w:val="center"/>
          </w:tcPr>
          <w:p>
            <w:pPr>
              <w:spacing w:after="0"/>
            </w:pPr>
            <w:r>
              <w:rPr>
                <w:rFonts w:ascii="Arial" w:hAnsi="Arial"/>
                <w:sz w:val="21"/>
              </w:rPr>
              <w:t>Business, product, engineering, legal, compliance, and executive stakeholders.</w:t>
            </w:r>
          </w:p>
        </w:tc>
      </w:tr>
      <w:tr>
        <w:tc>
          <w:tcPr>
            <w:tcW w:type="dxa" w:w="2880"/>
            <w:tcMar>
              <w:top w:w="80" w:type="dxa"/>
              <w:start w:w="120" w:type="dxa"/>
              <w:bottom w:w="80" w:type="dxa"/>
              <w:end w:w="120" w:type="dxa"/>
            </w:tcMar>
            <w:vAlign w:val="center"/>
          </w:tcPr>
          <w:p>
            <w:pPr>
              <w:spacing w:after="0"/>
            </w:pPr>
            <w:r>
              <w:rPr>
                <w:rFonts w:ascii="Arial" w:hAnsi="Arial"/>
                <w:sz w:val="21"/>
              </w:rPr>
              <w:t>Quota discipline</w:t>
            </w:r>
          </w:p>
        </w:tc>
        <w:tc>
          <w:tcPr>
            <w:tcW w:type="dxa" w:w="6480"/>
            <w:tcMar>
              <w:top w:w="80" w:type="dxa"/>
              <w:start w:w="120" w:type="dxa"/>
              <w:bottom w:w="80" w:type="dxa"/>
              <w:end w:w="120" w:type="dxa"/>
            </w:tcMar>
            <w:vAlign w:val="center"/>
          </w:tcPr>
          <w:p>
            <w:pPr>
              <w:spacing w:after="0"/>
            </w:pPr>
            <w:r>
              <w:rPr>
                <w:rFonts w:ascii="Arial" w:hAnsi="Arial"/>
                <w:sz w:val="21"/>
              </w:rPr>
              <w:t>Airwallex: 200%+ annual quota attainment and 22 new logos.</w:t>
            </w:r>
          </w:p>
        </w:tc>
      </w:tr>
      <w:tr>
        <w:tc>
          <w:tcPr>
            <w:tcW w:type="dxa" w:w="2880"/>
            <w:tcMar>
              <w:top w:w="80" w:type="dxa"/>
              <w:start w:w="120" w:type="dxa"/>
              <w:bottom w:w="80" w:type="dxa"/>
              <w:end w:w="120" w:type="dxa"/>
            </w:tcMar>
            <w:vAlign w:val="center"/>
          </w:tcPr>
          <w:p>
            <w:pPr>
              <w:spacing w:after="0"/>
            </w:pPr>
            <w:r>
              <w:rPr>
                <w:rFonts w:ascii="Arial" w:hAnsi="Arial"/>
                <w:sz w:val="21"/>
              </w:rPr>
              <w:t>Enterprise/platform partnerships</w:t>
            </w:r>
          </w:p>
        </w:tc>
        <w:tc>
          <w:tcPr>
            <w:tcW w:type="dxa" w:w="6480"/>
            <w:tcMar>
              <w:top w:w="80" w:type="dxa"/>
              <w:start w:w="120" w:type="dxa"/>
              <w:bottom w:w="80" w:type="dxa"/>
              <w:end w:w="120" w:type="dxa"/>
            </w:tcMar>
            <w:vAlign w:val="center"/>
          </w:tcPr>
          <w:p>
            <w:pPr>
              <w:spacing w:after="0"/>
            </w:pPr>
            <w:r>
              <w:rPr>
                <w:rFonts w:ascii="Arial" w:hAnsi="Arial"/>
                <w:sz w:val="21"/>
              </w:rPr>
              <w:t>Boxo: USD 450K ARR across fintech clients and 9 strategic super-app partnerships.</w:t>
            </w:r>
          </w:p>
        </w:tc>
      </w:tr>
      <w:tr>
        <w:tc>
          <w:tcPr>
            <w:tcW w:type="dxa" w:w="2880"/>
            <w:tcMar>
              <w:top w:w="80" w:type="dxa"/>
              <w:start w:w="120" w:type="dxa"/>
              <w:bottom w:w="80" w:type="dxa"/>
              <w:end w:w="120" w:type="dxa"/>
            </w:tcMar>
            <w:vAlign w:val="center"/>
          </w:tcPr>
          <w:p>
            <w:pPr>
              <w:spacing w:after="0"/>
            </w:pPr>
            <w:r>
              <w:rPr>
                <w:rFonts w:ascii="Arial" w:hAnsi="Arial"/>
                <w:sz w:val="21"/>
              </w:rPr>
              <w:t>AI-native GTM</w:t>
            </w:r>
          </w:p>
        </w:tc>
        <w:tc>
          <w:tcPr>
            <w:tcW w:type="dxa" w:w="6480"/>
            <w:tcMar>
              <w:top w:w="80" w:type="dxa"/>
              <w:start w:w="120" w:type="dxa"/>
              <w:bottom w:w="80" w:type="dxa"/>
              <w:end w:w="120" w:type="dxa"/>
            </w:tcMar>
            <w:vAlign w:val="center"/>
          </w:tcPr>
          <w:p>
            <w:pPr>
              <w:spacing w:after="0"/>
            </w:pPr>
            <w:r>
              <w:rPr>
                <w:rFonts w:ascii="Arial" w:hAnsi="Arial"/>
                <w:sz w:val="21"/>
              </w:rPr>
              <w:t>Salescraft/GTM Workspace: account intelligence, enrichment, scoring, outbound, CRM hygiene, and seller handoffs.</w:t>
            </w:r>
          </w:p>
        </w:tc>
      </w:tr>
      <w:tr>
        <w:tc>
          <w:tcPr>
            <w:tcW w:type="dxa" w:w="2880"/>
            <w:tcMar>
              <w:top w:w="80" w:type="dxa"/>
              <w:start w:w="120" w:type="dxa"/>
              <w:bottom w:w="80" w:type="dxa"/>
              <w:end w:w="120" w:type="dxa"/>
            </w:tcMar>
            <w:vAlign w:val="center"/>
          </w:tcPr>
          <w:p>
            <w:pPr>
              <w:spacing w:after="0"/>
            </w:pPr>
            <w:r>
              <w:rPr>
                <w:rFonts w:ascii="Arial" w:hAnsi="Arial"/>
                <w:sz w:val="21"/>
              </w:rPr>
              <w:t>Review-first AI</w:t>
            </w:r>
          </w:p>
        </w:tc>
        <w:tc>
          <w:tcPr>
            <w:tcW w:type="dxa" w:w="6480"/>
            <w:tcMar>
              <w:top w:w="80" w:type="dxa"/>
              <w:start w:w="120" w:type="dxa"/>
              <w:bottom w:w="80" w:type="dxa"/>
              <w:end w:w="120" w:type="dxa"/>
            </w:tcMar>
            <w:vAlign w:val="center"/>
          </w:tcPr>
          <w:p>
            <w:pPr>
              <w:spacing w:after="0"/>
            </w:pPr>
            <w:r>
              <w:rPr>
                <w:rFonts w:ascii="Arial" w:hAnsi="Arial"/>
                <w:sz w:val="21"/>
              </w:rPr>
              <w:t>Built AI workflows around sources, permissions, review gates, and measurable outputs.</w:t>
            </w:r>
          </w:p>
        </w:tc>
      </w:tr>
    </w:tbl>
    <w:p>
      <w:pPr>
        <w:spacing w:after="120"/>
      </w:pPr>
    </w:p>
    <w:p>
      <w:pPr>
        <w:pStyle w:val="Heading1"/>
        <w:spacing w:before="400" w:after="120"/>
      </w:pPr>
      <w:r>
        <w:rPr>
          <w:rFonts w:ascii="Arial" w:hAnsi="Arial"/>
          <w:b w:val="0"/>
          <w:color w:val="000000"/>
          <w:sz w:val="40"/>
        </w:rPr>
        <w:t>Tell Me About Yourself</w:t>
      </w:r>
    </w:p>
    <w:p>
      <w:pPr>
        <w:pStyle w:val="Heading3"/>
        <w:spacing w:before="320" w:after="80"/>
      </w:pPr>
      <w:r>
        <w:rPr>
          <w:rFonts w:ascii="Arial" w:hAnsi="Arial"/>
          <w:b w:val="0"/>
          <w:color w:val="434343"/>
          <w:sz w:val="28"/>
        </w:rPr>
        <w:t>Canonical Sales-Led Answer</w:t>
      </w:r>
    </w:p>
    <w:p>
      <w:pPr>
        <w:spacing w:after="160" w:line="276" w:lineRule="auto"/>
      </w:pPr>
      <w:r>
        <w:rPr>
          <w:rFonts w:ascii="Arial" w:hAnsi="Arial"/>
          <w:i w:val="0"/>
          <w:sz w:val="22"/>
        </w:rPr>
        <w:t>Yeah, so I did law at Cambridge, and quite early on I realized that corporate law was not really the path for me. The turning point was my dissertation, which was on AI use in sentencing. That was my first serious exposure to how technology could reshape institutions, workflows, and decision-making.</w:t>
      </w:r>
    </w:p>
    <w:p>
      <w:pPr>
        <w:spacing w:after="160" w:line="276" w:lineRule="auto"/>
      </w:pPr>
      <w:r>
        <w:rPr>
          <w:rFonts w:ascii="Arial" w:hAnsi="Arial"/>
          <w:i w:val="0"/>
          <w:sz w:val="22"/>
        </w:rPr>
        <w:t>It made me feel that if I wanted to do work with massive leverage, it probably was not going to be through law. So I asked myself what role I wanted to play inside a technology company.</w:t>
      </w:r>
    </w:p>
    <w:p>
      <w:pPr>
        <w:spacing w:after="160" w:line="276" w:lineRule="auto"/>
      </w:pPr>
      <w:r>
        <w:rPr>
          <w:rFonts w:ascii="Arial" w:hAnsi="Arial"/>
          <w:i w:val="0"/>
          <w:sz w:val="22"/>
        </w:rPr>
        <w:t>And naturally, I moved toward the commercial operating layer because that was what I actually enjoyed: how you understand customers, create trust, turn client uncertainty into a real opportunity, and help people make decisions when there is risk involved.</w:t>
      </w:r>
    </w:p>
    <w:p>
      <w:pPr>
        <w:spacing w:after="160" w:line="276" w:lineRule="auto"/>
      </w:pPr>
      <w:r>
        <w:rPr>
          <w:rFonts w:ascii="Arial" w:hAnsi="Arial"/>
          <w:i w:val="0"/>
          <w:sz w:val="22"/>
        </w:rPr>
        <w:t>My career started at Boxo, a seed-stage startup where I was thrown into the deep end of enterprise sales. The company was early, the product was technical - we sold SDK-based miniapp infrastructure that helped large apps embed third-party services into their own customer experience - and our ICP was very specific: large consumer platforms, fintechs, banks, super apps, and exchanges with at least around 2,000 employees and 50 million monthly active users. Think banks, Grab, GCash, Binance, and other platforms that wanted to create an all-in-one experience across food, delivery, travel, ecommerce, and other services, all connected to their own payment layer.</w:t>
      </w:r>
    </w:p>
    <w:p>
      <w:pPr>
        <w:spacing w:after="160" w:line="276" w:lineRule="auto"/>
      </w:pPr>
      <w:r>
        <w:rPr>
          <w:rFonts w:ascii="Arial" w:hAnsi="Arial"/>
          <w:i w:val="0"/>
          <w:sz w:val="22"/>
        </w:rPr>
        <w:t>A lot of the sales motion had to be built while we were selling. I learned by doing: prospecting, discovery, stakeholder mapping, demos, follow-up, and figuring out what actually moved a deal forward.</w:t>
      </w:r>
    </w:p>
    <w:p>
      <w:pPr>
        <w:spacing w:after="160" w:line="276" w:lineRule="auto"/>
      </w:pPr>
      <w:r>
        <w:rPr>
          <w:rFonts w:ascii="Arial" w:hAnsi="Arial"/>
          <w:i w:val="0"/>
          <w:sz w:val="22"/>
        </w:rPr>
        <w:t>The biggest thing I learned there was that enterprise sales is not really about persuading one person. It is about helping a group of people make a decision they can defend internally.</w:t>
      </w:r>
    </w:p>
    <w:p>
      <w:pPr>
        <w:spacing w:after="160" w:line="276" w:lineRule="auto"/>
      </w:pPr>
      <w:r>
        <w:rPr>
          <w:rFonts w:ascii="Arial" w:hAnsi="Arial"/>
          <w:i w:val="0"/>
          <w:sz w:val="22"/>
        </w:rPr>
        <w:t>In a deal like that, the buyer map includes the commercial team, product, engineering, legal, compliance, finance, and often a champion who likes the product but has to spend political capital to move it forward. So the job is to understand what each stakeholder needs to believe, what risk they are worried about, what proof would make the decision feel safe, and how to keep momentum without overpromising.</w:t>
      </w:r>
    </w:p>
    <w:p>
      <w:pPr>
        <w:spacing w:after="160" w:line="276" w:lineRule="auto"/>
      </w:pPr>
      <w:r>
        <w:rPr>
          <w:rFonts w:ascii="Arial" w:hAnsi="Arial"/>
          <w:i w:val="0"/>
          <w:sz w:val="22"/>
        </w:rPr>
        <w:t>That shaped a lot of how I think about enterprise sales. A good seller is not just trying to "close." They are trying to create decision confidence. They are helping the buyer answer: why change, why now, why this product, and why is this safe enough to take through the organization?</w:t>
      </w:r>
    </w:p>
    <w:p>
      <w:pPr>
        <w:spacing w:after="160" w:line="276" w:lineRule="auto"/>
      </w:pPr>
      <w:r>
        <w:rPr>
          <w:rFonts w:ascii="Arial" w:hAnsi="Arial"/>
          <w:i w:val="0"/>
          <w:sz w:val="22"/>
        </w:rPr>
        <w:t>Then I went to Airwallex because I wanted to experience the other side of sales: a more mature, quota-carrying environment with stronger operating discipline. Boxo taught me how to sell before the playbook existed. Airwallex taught me how to operate inside a more polished sales org: ICP discipline, qualification, pipeline generation, first-call preparation, follow-up, CRM hygiene, handoffs, and coaching.</w:t>
      </w:r>
    </w:p>
    <w:p>
      <w:pPr>
        <w:spacing w:after="160" w:line="276" w:lineRule="auto"/>
      </w:pPr>
      <w:r>
        <w:rPr>
          <w:rFonts w:ascii="Arial" w:hAnsi="Arial"/>
          <w:i w:val="0"/>
          <w:sz w:val="22"/>
        </w:rPr>
        <w:t>The deals were more mid-market, but still with serious commercial buyers, including household names like Lee Hwa Jewellery, EU Holidays, and WeBuy, generally companies with at least around 20 to 50 million in annual revenue. So the sales motion was different from Boxo. It was less about inventing the enterprise narrative from scratch and more about running a clean, repeatable process: finding the right accounts, qualifying hard, understanding the payment or FX workflow, creating urgency, managing next steps tightly, and keeping enough operating cadence to actually hit the number.</w:t>
      </w:r>
    </w:p>
    <w:p>
      <w:pPr>
        <w:spacing w:after="160" w:line="276" w:lineRule="auto"/>
      </w:pPr>
      <w:r>
        <w:rPr>
          <w:rFonts w:ascii="Arial" w:hAnsi="Arial"/>
          <w:i w:val="0"/>
          <w:sz w:val="22"/>
        </w:rPr>
        <w:t>My first real touchpoint with AI was GPT-4 in 2023. I remember trying it and feeling like, okay, this is probably going to change the shape of work. Then by late 2024, as I started using frontier models more seriously and speaking with engineers close to the frontier, that conviction became much stronger.</w:t>
      </w:r>
    </w:p>
    <w:p>
      <w:pPr>
        <w:spacing w:after="160" w:line="276" w:lineRule="auto"/>
      </w:pPr>
      <w:r>
        <w:rPr>
          <w:rFonts w:ascii="Arial" w:hAnsi="Arial"/>
          <w:i w:val="0"/>
          <w:sz w:val="22"/>
        </w:rPr>
        <w:t>There were not many AI roles that fit me at the time, especially in Singapore, so I decided to create my own opportunity. And I did what I knew best, which was sales. I reached out to startups and pitched them on automating the GTM work I had lived manually: researching accounts, opening a million tabs, mapping stakeholders, writing outbound, cleaning CRM notes, and trying to turn messy signals into useful seller action.</w:t>
      </w:r>
    </w:p>
    <w:p>
      <w:pPr>
        <w:spacing w:after="160" w:line="276" w:lineRule="auto"/>
      </w:pPr>
      <w:r>
        <w:rPr>
          <w:rFonts w:ascii="Arial" w:hAnsi="Arial"/>
          <w:i w:val="0"/>
          <w:sz w:val="22"/>
        </w:rPr>
        <w:t>The important part was not "use AI to write more emails." That is actually the least interesting version of it. The real work was account intelligence: which accounts are worth attention, which signals actually matter, what evidence supports the outreach angle, what proof point is relevant, and how to package that into something a salesperson can actually use.</w:t>
      </w:r>
    </w:p>
    <w:p>
      <w:pPr>
        <w:spacing w:after="160" w:line="276" w:lineRule="auto"/>
      </w:pPr>
      <w:r>
        <w:rPr>
          <w:rFonts w:ascii="Arial" w:hAnsi="Arial"/>
          <w:i w:val="0"/>
          <w:sz w:val="22"/>
        </w:rPr>
        <w:t>In a way, Salescraft came directly from my own frustration as a seller. I had lived the manual GTM loop before automating it.</w:t>
      </w:r>
    </w:p>
    <w:p>
      <w:pPr>
        <w:spacing w:after="160" w:line="276" w:lineRule="auto"/>
      </w:pPr>
      <w:r>
        <w:rPr>
          <w:rFonts w:ascii="Arial" w:hAnsi="Arial"/>
          <w:i w:val="0"/>
          <w:sz w:val="22"/>
        </w:rPr>
        <w:t>It also made me realize that AI does not remove the human part of sales. If anything, it raises the bar. AI can help with research, synthesis, and prep, but the judgment still matters: what to prioritize on a discovery call based on what you are hearing in real time, how to connect with a buyer, how to build trust, and how to help someone feel safe enough to move.</w:t>
      </w:r>
    </w:p>
    <w:p>
      <w:pPr>
        <w:spacing w:after="160" w:line="276" w:lineRule="auto"/>
      </w:pPr>
      <w:r>
        <w:rPr>
          <w:rFonts w:ascii="Arial" w:hAnsi="Arial"/>
          <w:i w:val="0"/>
          <w:sz w:val="22"/>
        </w:rPr>
        <w:t>Then through a mutual connection, I got referred into a couple of San Francisco work trials: one at Sample Healthcare and one at Wordware, which is now building Sauna. I ended up choosing Sample because I wanted the enterprise GTM exposure. They were closer to messy, real customer workflows, and they had an internal low-code tool that would let me build workflows directly.</w:t>
      </w:r>
    </w:p>
    <w:p>
      <w:pPr>
        <w:spacing w:after="160" w:line="276" w:lineRule="auto"/>
      </w:pPr>
      <w:r>
        <w:rPr>
          <w:rFonts w:ascii="Arial" w:hAnsi="Arial"/>
          <w:i w:val="0"/>
          <w:sz w:val="22"/>
        </w:rPr>
        <w:t>That was eye-opening because it showed me the same pattern in a different domain. The hard part was not just calling an LLM. The hard part was understanding the workflow well enough to know what should happen next.</w:t>
      </w:r>
    </w:p>
    <w:p>
      <w:pPr>
        <w:spacing w:after="160" w:line="276" w:lineRule="auto"/>
      </w:pPr>
      <w:r>
        <w:rPr>
          <w:rFonts w:ascii="Arial" w:hAnsi="Arial"/>
          <w:i w:val="0"/>
          <w:sz w:val="22"/>
        </w:rPr>
        <w:t>And that actually brought me back to enterprise sales, rather than away from it. You cannot qualify a serious enterprise AI opportunity just by asking whether someone is "interested in AI." You have to understand where the use case sits in the business, who owns the workflow, what system is the source of truth, what risk would block adoption, and what proof would make the buyer comfortable moving from curiosity to a real pilot.</w:t>
      </w:r>
    </w:p>
    <w:p>
      <w:pPr>
        <w:spacing w:after="160" w:line="276" w:lineRule="auto"/>
      </w:pPr>
      <w:r>
        <w:rPr>
          <w:rFonts w:ascii="Arial" w:hAnsi="Arial"/>
          <w:i w:val="0"/>
          <w:sz w:val="22"/>
        </w:rPr>
        <w:t>That became my mental model for AI sales: understand the workflow, the stakeholders, the source of truth, the risk, the urgency, and the handoff points. Then use that understanding to create a clearer path from interest to pilot to real opportunity.</w:t>
      </w:r>
    </w:p>
    <w:p>
      <w:pPr>
        <w:spacing w:after="160" w:line="276" w:lineRule="auto"/>
      </w:pPr>
      <w:r>
        <w:rPr>
          <w:rFonts w:ascii="Arial" w:hAnsi="Arial"/>
          <w:i w:val="0"/>
          <w:sz w:val="22"/>
        </w:rPr>
        <w:t>When I came back to Singapore, Codex and GPT-5 had just come out, and that expanded my sense of what was possible again. The shift was that AI was no longer just helping technical people code faster. It was starting to let the person closest to the work build the missing tool themselves.</w:t>
      </w:r>
    </w:p>
    <w:p>
      <w:pPr>
        <w:spacing w:after="160" w:line="276" w:lineRule="auto"/>
      </w:pPr>
      <w:r>
        <w:rPr>
          <w:rFonts w:ascii="Arial" w:hAnsi="Arial"/>
          <w:i w:val="0"/>
          <w:sz w:val="22"/>
        </w:rPr>
        <w:t>So I did sales again, but with a builder angle. I reached out to startups, sat with the knowledge workers actually doing the work, and built internal tools around their workflows.</w:t>
      </w:r>
    </w:p>
    <w:p>
      <w:pPr>
        <w:spacing w:after="160" w:line="276" w:lineRule="auto"/>
      </w:pPr>
      <w:r>
        <w:rPr>
          <w:rFonts w:ascii="Arial" w:hAnsi="Arial"/>
          <w:i w:val="0"/>
          <w:sz w:val="22"/>
        </w:rPr>
        <w:t>I built what was basically an LLM wiki and company second brain for a startup. We pulled in sources like Drive, Notion, Slack, WhatsApp, documents, and transcripts so people could actually find the context they needed. Under the hood, it used RAG, so the agent could retrieve the right material before helping with the work. Then I worked with the operators to turn recurring tasks into skills: draft an SOW, prepare a commercial pricing proposal, build a deck, generate an account brief, or prep a meeting. The important thing was not "chat with docs." It was turning messy company memory into useful business workflows people could review.</w:t>
      </w:r>
    </w:p>
    <w:p>
      <w:pPr>
        <w:spacing w:after="160" w:line="276" w:lineRule="auto"/>
      </w:pPr>
      <w:r>
        <w:rPr>
          <w:rFonts w:ascii="Arial" w:hAnsi="Arial"/>
          <w:i w:val="0"/>
          <w:sz w:val="22"/>
        </w:rPr>
        <w:t>I also built an enterprise ABM system for a sales team that turned account research, buying signals, and source material into tailored campaign assets and personalized pages. The impact was that salespeople could build beautiful, account-specific websites to convey their point of view more clearly and improve booking and conversion rates, while keeping the underlying claims grounded back to sources.</w:t>
      </w:r>
    </w:p>
    <w:p>
      <w:pPr>
        <w:spacing w:after="160" w:line="276" w:lineRule="auto"/>
      </w:pPr>
      <w:r>
        <w:rPr>
          <w:rFonts w:ascii="Arial" w:hAnsi="Arial"/>
          <w:i w:val="0"/>
          <w:sz w:val="22"/>
        </w:rPr>
        <w:t>I think these use cases are just the start. As models keep getting faster, better, and cheaper, I am really excited to see what new ways of working become possible.</w:t>
      </w:r>
    </w:p>
    <w:p>
      <w:pPr>
        <w:spacing w:after="160" w:line="276" w:lineRule="auto"/>
      </w:pPr>
      <w:r>
        <w:rPr>
          <w:rFonts w:ascii="Arial" w:hAnsi="Arial"/>
          <w:i w:val="0"/>
          <w:sz w:val="22"/>
        </w:rPr>
        <w:t>So if I had to summarize it, I started in law, built my foundation in sales, and then explored AI deeply by selling and building AI systems around the problems I had experienced myself. My edge is that I can sit with customers, do discovery, understand the business workflow, map the stakeholders and risks, and go deep enough technically to shape useful AI systems around it.</w:t>
      </w:r>
    </w:p>
    <w:p>
      <w:pPr>
        <w:spacing w:after="160" w:line="276" w:lineRule="auto"/>
      </w:pPr>
      <w:r>
        <w:rPr>
          <w:rFonts w:ascii="Arial" w:hAnsi="Arial"/>
          <w:i w:val="0"/>
          <w:sz w:val="22"/>
        </w:rPr>
        <w:t>That is why OpenAI's Strategic BDR role feels specific to me. It is still sales, but it is the kind of sales I care about: technical, consultative, and trust-heavy. It sits at the point where product usage, developer experimentation, pilots, and enterprise curiosity need to become real opportunities.</w:t>
      </w:r>
    </w:p>
    <w:p>
      <w:pPr>
        <w:spacing w:after="160" w:line="276" w:lineRule="auto"/>
      </w:pPr>
      <w:r>
        <w:rPr>
          <w:rFonts w:ascii="Arial" w:hAnsi="Arial"/>
          <w:i w:val="0"/>
          <w:sz w:val="22"/>
        </w:rPr>
        <w:t>That is the kind of work I want to do next: helping customers move from interest in AI to real workflows, real buying processes, and opportunities that an Account Director can take forward.</w:t>
      </w:r>
    </w:p>
    <w:p>
      <w:pPr>
        <w:spacing w:after="160" w:line="276" w:lineRule="auto"/>
      </w:pPr>
      <w:r>
        <w:rPr>
          <w:rFonts w:ascii="Arial" w:hAnsi="Arial"/>
          <w:i w:val="0"/>
          <w:sz w:val="22"/>
        </w:rPr>
        <w:t>Use this as the spoken long-form base answer. Cut live by shortening the Boxo paragraph, dropping the Sample/SF paragraph, or compressing the Salescraft/GTM Workspace paragraph.</w:t>
      </w:r>
    </w:p>
    <w:p>
      <w:pPr>
        <w:pStyle w:val="Heading1"/>
        <w:spacing w:before="400" w:after="120"/>
      </w:pPr>
      <w:r>
        <w:rPr>
          <w:rFonts w:ascii="Arial" w:hAnsi="Arial"/>
          <w:b w:val="0"/>
          <w:color w:val="000000"/>
          <w:sz w:val="40"/>
        </w:rPr>
        <w:t>Why OpenAI</w:t>
      </w:r>
    </w:p>
    <w:p>
      <w:pPr>
        <w:spacing w:after="160" w:line="276" w:lineRule="auto"/>
      </w:pPr>
      <w:r>
        <w:rPr>
          <w:rFonts w:ascii="Arial" w:hAnsi="Arial"/>
          <w:i w:val="0"/>
          <w:sz w:val="22"/>
        </w:rPr>
        <w:t>I already use codex every day, and AI has changed how I work.</w:t>
      </w:r>
    </w:p>
    <w:p>
      <w:pPr>
        <w:spacing w:after="160" w:line="276" w:lineRule="auto"/>
      </w:pPr>
      <w:r>
        <w:rPr>
          <w:rFonts w:ascii="Arial" w:hAnsi="Arial"/>
          <w:i w:val="0"/>
          <w:sz w:val="22"/>
        </w:rPr>
        <w:t>Codex is the clearest example. I use the desktop and mobile app daily.</w:t>
      </w:r>
    </w:p>
    <w:p>
      <w:pPr>
        <w:spacing w:after="160" w:line="276" w:lineRule="auto"/>
      </w:pPr>
      <w:r>
        <w:rPr>
          <w:rFonts w:ascii="Arial" w:hAnsi="Arial"/>
          <w:i w:val="0"/>
          <w:sz w:val="22"/>
        </w:rPr>
        <w:t>One example is my own personal wiki. It has thousands of X posts from sales and AI creators I follow. It runs on the codex automation, uses a skill called last 30 days, and calls x.com apis and linkedin scraping apis to pull new tweets from people i follow and does queries i'm interested in.</w:t>
      </w:r>
    </w:p>
    <w:p>
      <w:pPr>
        <w:spacing w:after="160" w:line="276" w:lineRule="auto"/>
      </w:pPr>
      <w:r>
        <w:rPr>
          <w:rFonts w:ascii="Arial" w:hAnsi="Arial"/>
          <w:i w:val="0"/>
          <w:sz w:val="22"/>
        </w:rPr>
        <w:t>It indexes the material then turns it into digestible morning-style briefs, and helps teach me the concepts back in a way I can understand, often with simple metaphors or examples.</w:t>
      </w:r>
    </w:p>
    <w:p>
      <w:pPr>
        <w:spacing w:after="160" w:line="276" w:lineRule="auto"/>
      </w:pPr>
      <w:r>
        <w:rPr>
          <w:rFonts w:ascii="Arial" w:hAnsi="Arial"/>
          <w:i w:val="0"/>
          <w:sz w:val="22"/>
        </w:rPr>
        <w:t>I also maintain a personal skills repo with 100 skills i've played around with. They cover engineering, research, GTM, marketing, presentations, video, design and more. That has changed my default working style. When I run into a problem, my first instinct is to ask: is there a skill for this? Then I let AI produce a first draft or first pass, and I review, test, and refine from there.</w:t>
      </w:r>
    </w:p>
    <w:p>
      <w:pPr>
        <w:spacing w:after="160" w:line="276" w:lineRule="auto"/>
      </w:pPr>
      <w:r>
        <w:rPr>
          <w:rFonts w:ascii="Arial" w:hAnsi="Arial"/>
          <w:i w:val="0"/>
          <w:sz w:val="22"/>
        </w:rPr>
        <w:t>I believe more people should and will be using AI much more than they are today, not just for writing emails, but as a way to think, research, build, analyze, and operate.</w:t>
      </w:r>
    </w:p>
    <w:p>
      <w:pPr>
        <w:spacing w:after="160" w:line="276" w:lineRule="auto"/>
      </w:pPr>
      <w:r>
        <w:rPr>
          <w:rFonts w:ascii="Arial" w:hAnsi="Arial"/>
          <w:i w:val="0"/>
          <w:sz w:val="22"/>
        </w:rPr>
        <w:t>I think that will restructure how enterprises work over the next decade and create a lot of new opportunities. You can already see versions of this in companies pushing AI into operating cadence where agents operating in loops delivers finished work.</w:t>
      </w:r>
    </w:p>
    <w:p>
      <w:pPr>
        <w:spacing w:after="160" w:line="276" w:lineRule="auto"/>
      </w:pPr>
      <w:r>
        <w:rPr>
          <w:rFonts w:ascii="Arial" w:hAnsi="Arial"/>
          <w:i w:val="0"/>
          <w:sz w:val="22"/>
        </w:rPr>
        <w:t>OpenAI is the company I would most want to learn that from because it has such high talent density across GTM and engineering. One person I have learned a lot from publicly is Peter Steinberger, who built OpenClaw and is now at OpenAI working on agents.</w:t>
      </w:r>
    </w:p>
    <w:p>
      <w:pPr>
        <w:spacing w:after="160" w:line="276" w:lineRule="auto"/>
      </w:pPr>
      <w:r>
        <w:rPr>
          <w:rFonts w:ascii="Arial" w:hAnsi="Arial"/>
          <w:i w:val="0"/>
          <w:sz w:val="22"/>
        </w:rPr>
        <w:t>Even if i joined and never got to work directly with someone like that, the idea of taking work from people operating at that level and helping customers adopt it is very motivating.</w:t>
      </w:r>
    </w:p>
    <w:p>
      <w:pPr>
        <w:spacing w:after="160" w:line="276" w:lineRule="auto"/>
      </w:pPr>
      <w:r>
        <w:rPr>
          <w:rFonts w:ascii="Arial" w:hAnsi="Arial"/>
          <w:i w:val="0"/>
          <w:sz w:val="22"/>
        </w:rPr>
        <w:t>There is that saying: "If you are the smartest person in the room, you are in the wrong room." At OpenAI, I know I would be far from the smartest person in the room. That is part of the appeal. I would get to learn from the best people in the field, while building my career around helping companies use this technology properly.</w:t>
      </w:r>
    </w:p>
    <w:p>
      <w:pPr>
        <w:spacing w:after="160" w:line="276" w:lineRule="auto"/>
      </w:pPr>
      <w:r>
        <w:rPr>
          <w:rFonts w:ascii="Arial" w:hAnsi="Arial"/>
          <w:i w:val="0"/>
          <w:sz w:val="22"/>
        </w:rPr>
        <w:t>What this should prove:</w:t>
      </w:r>
    </w:p>
    <w:p>
      <w:pPr>
        <w:pStyle w:val="ListBullet"/>
        <w:spacing w:after="80" w:line="276" w:lineRule="auto"/>
      </w:pPr>
      <w:r>
        <w:rPr>
          <w:rFonts w:ascii="Arial" w:hAnsi="Arial"/>
          <w:sz w:val="22"/>
        </w:rPr>
        <w:t>Not attracted only by brand.</w:t>
      </w:r>
    </w:p>
    <w:p>
      <w:pPr>
        <w:pStyle w:val="ListBullet"/>
        <w:spacing w:after="80" w:line="276" w:lineRule="auto"/>
      </w:pPr>
      <w:r>
        <w:rPr>
          <w:rFonts w:ascii="Arial" w:hAnsi="Arial"/>
          <w:sz w:val="22"/>
        </w:rPr>
        <w:t>Has lived power-user usage, not abstract curiosity.</w:t>
      </w:r>
    </w:p>
    <w:p>
      <w:pPr>
        <w:pStyle w:val="ListBullet"/>
        <w:spacing w:after="80" w:line="276" w:lineRule="auto"/>
      </w:pPr>
      <w:r>
        <w:rPr>
          <w:rFonts w:ascii="Arial" w:hAnsi="Arial"/>
          <w:sz w:val="22"/>
        </w:rPr>
        <w:t>Understands enterprise AI adoption as workflow, governance, and change management.</w:t>
      </w:r>
    </w:p>
    <w:p>
      <w:pPr>
        <w:pStyle w:val="ListBullet"/>
        <w:spacing w:after="80" w:line="276" w:lineRule="auto"/>
      </w:pPr>
      <w:r>
        <w:rPr>
          <w:rFonts w:ascii="Arial" w:hAnsi="Arial"/>
          <w:sz w:val="22"/>
        </w:rPr>
        <w:t>Can talk about regulated buyers without improvising security claims.</w:t>
      </w:r>
    </w:p>
    <w:p>
      <w:pPr>
        <w:pStyle w:val="ListBullet"/>
        <w:spacing w:after="80" w:line="276" w:lineRule="auto"/>
      </w:pPr>
      <w:r>
        <w:rPr>
          <w:rFonts w:ascii="Arial" w:hAnsi="Arial"/>
          <w:sz w:val="22"/>
        </w:rPr>
        <w:t>Sees opportunity creation as account strategy, not activity volume.</w:t>
      </w:r>
    </w:p>
    <w:p>
      <w:pPr>
        <w:pStyle w:val="Heading1"/>
        <w:spacing w:before="400" w:after="120"/>
      </w:pPr>
      <w:r>
        <w:rPr>
          <w:rFonts w:ascii="Arial" w:hAnsi="Arial"/>
          <w:b w:val="0"/>
          <w:color w:val="000000"/>
          <w:sz w:val="40"/>
        </w:rPr>
        <w:t>Why This Strategic BDR Role / Why SDR</w:t>
      </w:r>
    </w:p>
    <w:p>
      <w:pPr>
        <w:spacing w:after="160" w:line="276" w:lineRule="auto"/>
      </w:pPr>
      <w:r>
        <w:rPr>
          <w:rFonts w:ascii="Arial" w:hAnsi="Arial"/>
          <w:i w:val="0"/>
          <w:sz w:val="22"/>
        </w:rPr>
        <w:t>The way I think about it is: I do not see this as a step down, even though I have been an AE before. I see it as moving closer to the kind of enterprise sales in AI I want to get very good at.</w:t>
      </w:r>
    </w:p>
    <w:p>
      <w:pPr>
        <w:spacing w:after="160" w:line="276" w:lineRule="auto"/>
      </w:pPr>
      <w:r>
        <w:rPr>
          <w:rFonts w:ascii="Arial" w:hAnsi="Arial"/>
          <w:i w:val="0"/>
          <w:sz w:val="22"/>
        </w:rPr>
        <w:t>And for anything you really want to get good at, I think there is a period where you have to eat glass a bit and put in the reps before you see the results. I am comfortable with that.</w:t>
      </w:r>
    </w:p>
    <w:p>
      <w:pPr>
        <w:spacing w:after="160" w:line="276" w:lineRule="auto"/>
      </w:pPr>
      <w:r>
        <w:rPr>
          <w:rFonts w:ascii="Arial" w:hAnsi="Arial"/>
          <w:i w:val="0"/>
          <w:sz w:val="22"/>
        </w:rPr>
        <w:t>I enjoyed the enterprise side of my work at Boxo and Sample Healthcare because the work was not just booking meetings. It was understanding a complex customer, mapping stakeholders, figuring out risk, and turning an ambiguous problem into something a buyer could actually underwrite. That is the part of sales I want more reps in.</w:t>
      </w:r>
    </w:p>
    <w:p>
      <w:pPr>
        <w:spacing w:after="160" w:line="276" w:lineRule="auto"/>
      </w:pPr>
      <w:r>
        <w:rPr>
          <w:rFonts w:ascii="Arial" w:hAnsi="Arial"/>
          <w:i w:val="0"/>
          <w:sz w:val="22"/>
        </w:rPr>
        <w:t>The learning piece is a big part of it. I did a quick scan of the kinds of Account Directors and GTM people at OpenAI, and they come from very serious companies like Stripe, Meta, Amazon, and similar places. I still have a lot to learn about enterprise sales, especially in AI, and I want to learn it from people operating at that level.</w:t>
      </w:r>
    </w:p>
    <w:p>
      <w:pPr>
        <w:spacing w:after="160" w:line="276" w:lineRule="auto"/>
      </w:pPr>
      <w:r>
        <w:rPr>
          <w:rFonts w:ascii="Arial" w:hAnsi="Arial"/>
          <w:i w:val="0"/>
          <w:sz w:val="22"/>
        </w:rPr>
        <w:t>I also think the BDR work itself would be fun with agents. I already work this way. My instinct is to use AI to research accounts, find signal, draft first passes, keep context clean, and then review and sharpen the output myself. In this role, that maps directly to better account theses, cleaner outreach, cleaner CRM, and better handoffs to Account Directors.</w:t>
      </w:r>
    </w:p>
    <w:p>
      <w:pPr>
        <w:spacing w:after="160" w:line="276" w:lineRule="auto"/>
      </w:pPr>
      <w:r>
        <w:rPr>
          <w:rFonts w:ascii="Arial" w:hAnsi="Arial"/>
          <w:i w:val="0"/>
          <w:sz w:val="22"/>
        </w:rPr>
        <w:t>Long term, yes, I would like to grow toward an Account Director path if I earn it. I understand progression depends on performance and business needs, so I would not come in assuming entitlement. I would come in to learn the motion, hit and hopefully exceed targets, build trust, and earn more scope over time.</w:t>
      </w:r>
    </w:p>
    <w:p>
      <w:pPr>
        <w:pStyle w:val="Heading1"/>
        <w:spacing w:before="400" w:after="120"/>
      </w:pPr>
      <w:r>
        <w:rPr>
          <w:rFonts w:ascii="Arial" w:hAnsi="Arial"/>
          <w:b w:val="0"/>
          <w:color w:val="000000"/>
          <w:sz w:val="40"/>
        </w:rPr>
        <w:t>AI Interest Story</w:t>
      </w:r>
    </w:p>
    <w:p>
      <w:pPr>
        <w:spacing w:after="160" w:line="276" w:lineRule="auto"/>
      </w:pPr>
      <w:r>
        <w:rPr>
          <w:rFonts w:ascii="Arial" w:hAnsi="Arial"/>
          <w:i w:val="0"/>
          <w:sz w:val="22"/>
        </w:rPr>
        <w:t>My interest in AI became serious when I saw the same GTM failure loops repeating manually. The bottlenecks were not only effort. They were weak account selection, shallow research, generic outreach, poor handoffs, and bad CRM hygiene. I started building source-backed AI workflows around those problems: market mapping, enrichment, scoring, account intelligence, outbound drafts, and seller handoffs, with human review before anything customer-facing went out.</w:t>
      </w:r>
    </w:p>
    <w:p>
      <w:pPr>
        <w:spacing w:after="160" w:line="276" w:lineRule="auto"/>
      </w:pPr>
      <w:r>
        <w:rPr>
          <w:rFonts w:ascii="Arial" w:hAnsi="Arial"/>
          <w:i w:val="0"/>
          <w:sz w:val="22"/>
        </w:rPr>
        <w:t>That evolved into broader AI workflow work: official sources, searchable memory, current-state tracking, workflow scripts, automations, and review gates. The lesson I took from that is that AI becomes useful when it is attached to a workflow, trusted sources, and a human decision path. That is why OpenAI's enterprise GTM problem is interesting to me. The buyer question is not "can the model do something impressive?" It is "where does this fit into a real workflow safely enough to scale?"</w:t>
      </w:r>
    </w:p>
    <w:p>
      <w:pPr>
        <w:pStyle w:val="Heading3"/>
        <w:spacing w:before="320" w:after="80"/>
      </w:pPr>
      <w:r>
        <w:rPr>
          <w:rFonts w:ascii="Arial" w:hAnsi="Arial"/>
          <w:b w:val="0"/>
          <w:color w:val="434343"/>
          <w:sz w:val="28"/>
        </w:rPr>
        <w:t>If Asked: Did You Use AI To Prep?</w:t>
      </w:r>
    </w:p>
    <w:p>
      <w:pPr>
        <w:spacing w:after="160" w:line="276" w:lineRule="auto"/>
      </w:pPr>
      <w:r>
        <w:rPr>
          <w:rFonts w:ascii="Arial" w:hAnsi="Arial"/>
          <w:i w:val="0"/>
          <w:sz w:val="22"/>
        </w:rPr>
        <w:t>Yes. I used AI heavily, but in a review-first way. I used it to index notes, extract every question, build a checklist, pressure-test answers, and identify gaps. I did not treat it as a source of truth. I still check source material, separate official facts from interview intelligence, and keep a clean version for screen sharing.</w:t>
      </w:r>
    </w:p>
    <w:p>
      <w:pPr>
        <w:pStyle w:val="Heading1"/>
        <w:spacing w:before="400" w:after="120"/>
      </w:pPr>
      <w:r>
        <w:rPr>
          <w:rFonts w:ascii="Arial" w:hAnsi="Arial"/>
          <w:b w:val="0"/>
          <w:color w:val="000000"/>
          <w:sz w:val="40"/>
        </w:rPr>
        <w:t>Product Fluency</w:t>
      </w:r>
    </w:p>
    <w:p>
      <w:pPr>
        <w:pStyle w:val="Heading3"/>
        <w:spacing w:before="320" w:after="80"/>
      </w:pPr>
      <w:r>
        <w:rPr>
          <w:rFonts w:ascii="Arial" w:hAnsi="Arial"/>
          <w:b w:val="0"/>
          <w:color w:val="434343"/>
          <w:sz w:val="28"/>
        </w:rPr>
        <w:t>What Does OpenAI Do For Enterprises?</w:t>
      </w:r>
    </w:p>
    <w:p>
      <w:pPr>
        <w:spacing w:after="160" w:line="276" w:lineRule="auto"/>
      </w:pPr>
      <w:r>
        <w:rPr>
          <w:rFonts w:ascii="Arial" w:hAnsi="Arial"/>
          <w:i w:val="0"/>
          <w:sz w:val="22"/>
        </w:rPr>
        <w:t>I think about OpenAI for enterprises in three compact layers.</w:t>
      </w:r>
    </w:p>
    <w:p>
      <w:pPr>
        <w:numPr>
          <w:ilvl w:val="0"/>
          <w:numId w:val="10"/>
        </w:numPr>
        <w:spacing w:after="80" w:line="276" w:lineRule="auto"/>
      </w:pPr>
      <w:r>
        <w:rPr>
          <w:rFonts w:ascii="Arial" w:hAnsi="Arial"/>
          <w:sz w:val="22"/>
        </w:rPr>
        <w:t>The work surface: ChatGPT and Codex for knowledge workers and engineers to use day to day. For business teams, that means research, analysis, drafting, synthesis, and working with company context inside a governed workspace. For engineers, it means using AI across more of the software development lifecycle: understanding codebases, writing and reviewing code, debugging, testing, and shipping with more leverage.</w:t>
      </w:r>
    </w:p>
    <w:p>
      <w:pPr>
        <w:numPr>
          <w:ilvl w:val="0"/>
          <w:numId w:val="11"/>
        </w:numPr>
        <w:spacing w:after="80" w:line="276" w:lineRule="auto"/>
      </w:pPr>
      <w:r>
        <w:rPr>
          <w:rFonts w:ascii="Arial" w:hAnsi="Arial"/>
          <w:sz w:val="22"/>
        </w:rPr>
        <w:t>The builder and agent surface: for me, the simplest way to understand this is the OpenAI SDK and platform tooling. It gives companies the toolkit to build AI into their own products and workflows: models, tools, retrieval, structured outputs, function calling, agents, integrations, and observability. This is where companies move from employees using AI to building agentic systems that augment customer support, sales, engineering, developer workflows, and other internal operating systems.</w:t>
      </w:r>
    </w:p>
    <w:p>
      <w:pPr>
        <w:numPr>
          <w:ilvl w:val="0"/>
          <w:numId w:val="12"/>
        </w:numPr>
        <w:spacing w:after="80" w:line="276" w:lineRule="auto"/>
      </w:pPr>
      <w:r>
        <w:rPr>
          <w:rFonts w:ascii="Arial" w:hAnsi="Arial"/>
          <w:sz w:val="22"/>
        </w:rPr>
        <w:t>The trust layer: security, admin controls, permissions, privacy, analytics, spend governance, evals, tracing, monitoring, and human review. This is what lets an enterprise govern what AI can see, what it can do, how it is measured, where humans approve the output, and whether the workflow is safe enough to scale.</w:t>
      </w:r>
    </w:p>
    <w:p>
      <w:pPr>
        <w:spacing w:after="160" w:line="276" w:lineRule="auto"/>
      </w:pPr>
      <w:r>
        <w:rPr>
          <w:rFonts w:ascii="Arial" w:hAnsi="Arial"/>
          <w:i w:val="0"/>
          <w:sz w:val="22"/>
        </w:rPr>
        <w:t>The sales work is connecting those layers to a real workflow, stakeholder map, risk posture, and business outcome.</w:t>
      </w:r>
    </w:p>
    <w:p>
      <w:pPr>
        <w:pStyle w:val="Heading3"/>
        <w:spacing w:before="320" w:after="80"/>
      </w:pPr>
      <w:r>
        <w:rPr>
          <w:rFonts w:ascii="Arial" w:hAnsi="Arial"/>
          <w:b w:val="0"/>
          <w:color w:val="434343"/>
          <w:sz w:val="28"/>
        </w:rPr>
        <w:t>Explain An LLM Simply</w:t>
      </w:r>
    </w:p>
    <w:p>
      <w:pPr>
        <w:spacing w:after="160" w:line="276" w:lineRule="auto"/>
      </w:pPr>
      <w:r>
        <w:rPr>
          <w:rFonts w:ascii="Arial" w:hAnsi="Arial"/>
          <w:i w:val="0"/>
          <w:sz w:val="22"/>
        </w:rPr>
        <w:t>At a product level, I would explain a large language model as a prediction system that has learned a very rich model of language, code, and other patterns. Technically, it is a neural network trained to predict tokens, which are small units of text or data. Given a prompt and context, it generates the next tokens that best satisfy the task.</w:t>
      </w:r>
    </w:p>
    <w:p>
      <w:pPr>
        <w:spacing w:after="160" w:line="276" w:lineRule="auto"/>
      </w:pPr>
      <w:r>
        <w:rPr>
          <w:rFonts w:ascii="Arial" w:hAnsi="Arial"/>
          <w:i w:val="0"/>
          <w:sz w:val="22"/>
        </w:rPr>
        <w:t>That is why it can look like it is summarizing, classifying, extracting, reasoning, or drafting. It has learned those patterns at scale.</w:t>
      </w:r>
    </w:p>
    <w:p>
      <w:pPr>
        <w:spacing w:after="160" w:line="276" w:lineRule="auto"/>
      </w:pPr>
      <w:r>
        <w:rPr>
          <w:rFonts w:ascii="Arial" w:hAnsi="Arial"/>
          <w:i w:val="0"/>
          <w:sz w:val="22"/>
        </w:rPr>
        <w:t>But the important product point is that the model is only one component. In an enterprise setting, the real design work is around the model: what context it gets, what tools it can call, what output format is required, what permissions apply, how quality is evaluated, what latency or cost tradeoffs matter, and where human review sits. So I would describe the model as the intelligence layer, but the harness around it is what turns that intelligence into a reliable product experience.</w:t>
      </w:r>
    </w:p>
    <w:p>
      <w:pPr>
        <w:spacing w:after="160" w:line="276" w:lineRule="auto"/>
      </w:pPr>
      <w:r>
        <w:rPr>
          <w:rFonts w:ascii="Arial" w:hAnsi="Arial"/>
          <w:i w:val="0"/>
          <w:sz w:val="22"/>
        </w:rPr>
        <w:t>If pushed on training: pre-training creates broad base capability by learning next-token patterns at scale; post-training shapes the base model with supervised examples, preference feedback, safety/tool-use behavior, reward signals, and eval iteration so it behaves more usefully in products.</w:t>
      </w:r>
    </w:p>
    <w:p>
      <w:pPr>
        <w:pStyle w:val="Heading3"/>
        <w:spacing w:before="320" w:after="80"/>
      </w:pPr>
      <w:r>
        <w:rPr>
          <w:rFonts w:ascii="Arial" w:hAnsi="Arial"/>
          <w:b w:val="0"/>
          <w:color w:val="434343"/>
          <w:sz w:val="28"/>
        </w:rPr>
        <w:t>What Are Reasoning Models?</w:t>
      </w:r>
    </w:p>
    <w:p>
      <w:pPr>
        <w:spacing w:after="160" w:line="276" w:lineRule="auto"/>
      </w:pPr>
      <w:r>
        <w:rPr>
          <w:rFonts w:ascii="Arial" w:hAnsi="Arial"/>
          <w:i w:val="0"/>
          <w:sz w:val="22"/>
        </w:rPr>
        <w:t>Reasoning models are LLMs designed to break a harder prompt into smaller pieces and work toward the answer step by step, instead of trying to solve a complex problem in one jump. In OpenAI's docs, that shows up as reasoning tokens and reasoning effort. They are called reasoning models because that process resembles how people handle harder problems: pause, use scratch paper, check the steps, then give the final answer.</w:t>
      </w:r>
    </w:p>
    <w:p>
      <w:pPr>
        <w:spacing w:after="160" w:line="276" w:lineRule="auto"/>
      </w:pPr>
      <w:r>
        <w:rPr>
          <w:rFonts w:ascii="Arial" w:hAnsi="Arial"/>
          <w:i w:val="0"/>
          <w:sz w:val="22"/>
        </w:rPr>
        <w:t>The tradeoff is latency and cost. For a simple lookup, classification, or formatting task, you probably do not need heavy reasoning. For complex account analysis, security review, regulated workflows, agentic coding, or multi-step operations, more reasoning can be worth it. The seller answer is: choose the model and reasoning effort based on workflow complexity, risk, latency, cost, and eval results.</w:t>
      </w:r>
    </w:p>
    <w:p>
      <w:pPr>
        <w:spacing w:after="160" w:line="276" w:lineRule="auto"/>
      </w:pPr>
      <w:r>
        <w:rPr>
          <w:rFonts w:ascii="Arial" w:hAnsi="Arial"/>
          <w:i w:val="0"/>
          <w:sz w:val="22"/>
        </w:rPr>
        <w:t>Example: if I ask, "What is 47 x 23?", the scratchpad version is: 47 x 20 = 940, 47 x 3 = 141, and 940 + 141 = 1081.</w:t>
      </w:r>
    </w:p>
    <w:p>
      <w:pPr>
        <w:spacing w:after="160" w:line="276" w:lineRule="auto"/>
      </w:pPr>
      <w:r>
        <w:rPr>
          <w:rFonts w:ascii="Arial" w:hAnsi="Arial"/>
          <w:i w:val="0"/>
          <w:sz w:val="22"/>
        </w:rPr>
        <w:t>The visible answer is just 1081. For real work, the same idea applies: the model breaks the request down, checks constraints, decides whether it needs a tool, compares options, and then gives the cleaned-up answer.</w:t>
      </w:r>
    </w:p>
    <w:p>
      <w:pPr>
        <w:pStyle w:val="Heading3"/>
        <w:spacing w:before="320" w:after="80"/>
      </w:pPr>
      <w:r>
        <w:rPr>
          <w:rFonts w:ascii="Arial" w:hAnsi="Arial"/>
          <w:b w:val="0"/>
          <w:color w:val="434343"/>
          <w:sz w:val="28"/>
        </w:rPr>
        <w:t>Explain An Agent Simply</w:t>
      </w:r>
    </w:p>
    <w:p>
      <w:pPr>
        <w:spacing w:after="160" w:line="276" w:lineRule="auto"/>
      </w:pPr>
      <w:r>
        <w:rPr>
          <w:rFonts w:ascii="Arial" w:hAnsi="Arial"/>
          <w:i w:val="0"/>
          <w:sz w:val="22"/>
        </w:rPr>
        <w:t>The simple way I would frame an agent is: instructions, model, and tools running in a loop. The instructions define the job, constraints, and desired behavior. The model reasons about what to do next. The tools let it take action in an environment and observe the result. Then the model loops: read the state, decide the next step, use a tool or produce an output, observe what happened, and continue until the task is done or needs a human.</w:t>
      </w:r>
    </w:p>
    <w:p>
      <w:pPr>
        <w:spacing w:after="160" w:line="276" w:lineRule="auto"/>
      </w:pPr>
      <w:r>
        <w:rPr>
          <w:rFonts w:ascii="Arial" w:hAnsi="Arial"/>
          <w:i w:val="0"/>
          <w:sz w:val="22"/>
        </w:rPr>
        <w:t>At a product level, an agent is a model inside a governed workflow. The model provides the reasoning. The harness around it gives the agent a job, business context, tools, permissions, state, output format, monitoring, and a human approval path.</w:t>
      </w:r>
    </w:p>
    <w:p>
      <w:pPr>
        <w:spacing w:after="160" w:line="276" w:lineRule="auto"/>
      </w:pPr>
      <w:r>
        <w:rPr>
          <w:rFonts w:ascii="Arial" w:hAnsi="Arial"/>
          <w:i w:val="0"/>
          <w:sz w:val="22"/>
        </w:rPr>
        <w:t>Instead of just answering a prompt, it can carry out a bounded process across approved systems. In customer support, imagine an Intercom ticket comes in. The agent can pull the Salesforce account, search Notion SOPs and product docs, check Stripe for plan and entitlements, review similar Intercom conversations, draft a response, and either escalate or request approval. The output is not just text; it is a work packet: summary, sources, tool calls, recommended action, confidence, risk label, and approval status.</w:t>
      </w:r>
    </w:p>
    <w:p>
      <w:pPr>
        <w:spacing w:after="160" w:line="276" w:lineRule="auto"/>
      </w:pPr>
      <w:r>
        <w:rPr>
          <w:rFonts w:ascii="Arial" w:hAnsi="Arial"/>
          <w:i w:val="0"/>
          <w:sz w:val="22"/>
        </w:rPr>
        <w:t>The simple distinction is: a chatbot answers a message based mainly on its training data and the prompt; an agent can run an established SOP using approved tools and retrieved knowledge, much closer to how a human operator would work. For an enterprise buyer, the important questions are what job the agent owns, what sources of truth it uses, what actions it can take, what needs human approval, and how success is measured safely.</w:t>
      </w:r>
    </w:p>
    <w:p>
      <w:pPr>
        <w:spacing w:after="160" w:line="276" w:lineRule="auto"/>
      </w:pPr>
      <w:r>
        <w:rPr>
          <w:rFonts w:ascii="Arial" w:hAnsi="Arial"/>
          <w:i w:val="0"/>
          <w:sz w:val="22"/>
        </w:rPr>
        <w:t>FAQ if pushed: what breaks when the harness is missing?</w:t>
      </w:r>
    </w:p>
    <w:p>
      <w:pPr>
        <w:pStyle w:val="ListBullet"/>
        <w:spacing w:after="80" w:line="276" w:lineRule="auto"/>
      </w:pPr>
      <w:r>
        <w:rPr>
          <w:rFonts w:ascii="Arial" w:hAnsi="Arial"/>
          <w:sz w:val="22"/>
        </w:rPr>
        <w:t>Without context, the model is mostly working from the prompt and its training patterns. It may sound fluent, but it cannot reliably use the company's current policies, account history, customer data, product docs, or operating reality.</w:t>
      </w:r>
    </w:p>
    <w:p>
      <w:pPr>
        <w:pStyle w:val="ListBullet"/>
        <w:spacing w:after="80" w:line="276" w:lineRule="auto"/>
      </w:pPr>
      <w:r>
        <w:rPr>
          <w:rFonts w:ascii="Arial" w:hAnsi="Arial"/>
          <w:sz w:val="22"/>
        </w:rPr>
        <w:t>Without retrieval and a source of truth, the system cannot ground the answer in approved, current, permissioned evidence. That is where you get answers that sound right but cannot be defended because nobody knows which document, record, or policy the answer came from.</w:t>
      </w:r>
    </w:p>
    <w:p>
      <w:pPr>
        <w:pStyle w:val="ListBullet"/>
        <w:spacing w:after="80" w:line="276" w:lineRule="auto"/>
      </w:pPr>
      <w:r>
        <w:rPr>
          <w:rFonts w:ascii="Arial" w:hAnsi="Arial"/>
          <w:sz w:val="22"/>
        </w:rPr>
        <w:t>Without tools, the model can describe work but cannot really do work. It cannot check the CRM, look up an order, run a calculation, inspect a ticket, create a task, update a record, or take a bounded action inside the workflow.</w:t>
      </w:r>
    </w:p>
    <w:p>
      <w:pPr>
        <w:pStyle w:val="ListBullet"/>
        <w:spacing w:after="80" w:line="276" w:lineRule="auto"/>
      </w:pPr>
      <w:r>
        <w:rPr>
          <w:rFonts w:ascii="Arial" w:hAnsi="Arial"/>
          <w:sz w:val="22"/>
        </w:rPr>
        <w:t>Without skills, every playbook has to be crammed into the prompt. Skills are reusable procedures or domain instructions the agent can load only when relevant: qualification rules, support policies, account-research steps, pricing proposal instructions, objection-handling, or writing standards. They make the agent more consistent without making every prompt huge.</w:t>
      </w:r>
    </w:p>
    <w:p>
      <w:pPr>
        <w:pStyle w:val="ListBullet"/>
        <w:spacing w:after="80" w:line="276" w:lineRule="auto"/>
      </w:pPr>
      <w:r>
        <w:rPr>
          <w:rFonts w:ascii="Arial" w:hAnsi="Arial"/>
          <w:sz w:val="22"/>
        </w:rPr>
        <w:t>Without a sandbox, risky file, code, or document work happens too close to real systems. A sandbox gives the agent an isolated workspace where it can inspect files, run code, process documents, install packages, or create artifacts without uncontrolled access to production data or the user's machine. It is the blast wall between "let the model try" and "let the model touch something important."</w:t>
      </w:r>
    </w:p>
    <w:p>
      <w:pPr>
        <w:pStyle w:val="ListBullet"/>
        <w:spacing w:after="80" w:line="276" w:lineRule="auto"/>
      </w:pPr>
      <w:r>
        <w:rPr>
          <w:rFonts w:ascii="Arial" w:hAnsi="Arial"/>
          <w:sz w:val="22"/>
        </w:rPr>
        <w:t>Without structured outputs, the answer may be readable to a human but hard for a product or downstream system to use. Enterprise workflows need consistent fields, schemas, classifications, risk flags, next steps, and handoff notes.</w:t>
      </w:r>
    </w:p>
    <w:p>
      <w:pPr>
        <w:pStyle w:val="ListBullet"/>
        <w:spacing w:after="80" w:line="276" w:lineRule="auto"/>
      </w:pPr>
      <w:r>
        <w:rPr>
          <w:rFonts w:ascii="Arial" w:hAnsi="Arial"/>
          <w:sz w:val="22"/>
        </w:rPr>
        <w:t>Without state or memory, the system struggles with work that spans multiple steps. It cannot easily remember what has already been checked, what decision was made, what is pending approval, or where to resume.</w:t>
      </w:r>
    </w:p>
    <w:p>
      <w:pPr>
        <w:pStyle w:val="ListBullet"/>
        <w:spacing w:after="80" w:line="276" w:lineRule="auto"/>
      </w:pPr>
      <w:r>
        <w:rPr>
          <w:rFonts w:ascii="Arial" w:hAnsi="Arial"/>
          <w:sz w:val="22"/>
        </w:rPr>
        <w:t>Without permissions and scope, the system may see too much, do too much, or mix context that should stay separate. Enterprises need to know who can access what, what the model can see, what actions it can take, and where boundaries are enforced.</w:t>
      </w:r>
    </w:p>
    <w:p>
      <w:pPr>
        <w:pStyle w:val="ListBullet"/>
        <w:spacing w:after="80" w:line="276" w:lineRule="auto"/>
      </w:pPr>
      <w:r>
        <w:rPr>
          <w:rFonts w:ascii="Arial" w:hAnsi="Arial"/>
          <w:sz w:val="22"/>
        </w:rPr>
        <w:t>Without evals, you do not know whether the system works reliably. A good demo is not the same as measured behavior across real examples, edge cases, failure modes, and quality criteria.</w:t>
      </w:r>
    </w:p>
    <w:p>
      <w:pPr>
        <w:pStyle w:val="ListBullet"/>
        <w:spacing w:after="80" w:line="276" w:lineRule="auto"/>
      </w:pPr>
      <w:r>
        <w:rPr>
          <w:rFonts w:ascii="Arial" w:hAnsi="Arial"/>
          <w:sz w:val="22"/>
        </w:rPr>
        <w:t>Without tracing, monitoring, and logs, failure modes are invisible. You cannot debug what context was retrieved, what tool was called, why the answer changed, where cost went, or whether quality is drifting.</w:t>
      </w:r>
    </w:p>
    <w:p>
      <w:pPr>
        <w:pStyle w:val="ListBullet"/>
        <w:spacing w:after="80" w:line="276" w:lineRule="auto"/>
      </w:pPr>
      <w:r>
        <w:rPr>
          <w:rFonts w:ascii="Arial" w:hAnsi="Arial"/>
          <w:sz w:val="22"/>
        </w:rPr>
        <w:t>Without latency and cost controls, the workflow may not scale even if the answer quality is good. The product still has to make tradeoffs around model choice, context size, tool calls, response time, and budget.</w:t>
      </w:r>
    </w:p>
    <w:p>
      <w:pPr>
        <w:pStyle w:val="ListBullet"/>
        <w:spacing w:after="80" w:line="276" w:lineRule="auto"/>
      </w:pPr>
      <w:r>
        <w:rPr>
          <w:rFonts w:ascii="Arial" w:hAnsi="Arial"/>
          <w:sz w:val="22"/>
        </w:rPr>
        <w:t>Without human review and escalation, high-consequence workflows are not safe enough. The system needs to know when to ask for approval, hand off to a person, or stop.</w:t>
      </w:r>
    </w:p>
    <w:p>
      <w:pPr>
        <w:pStyle w:val="ListBullet"/>
        <w:spacing w:after="80" w:line="276" w:lineRule="auto"/>
      </w:pPr>
      <w:r>
        <w:rPr>
          <w:rFonts w:ascii="Arial" w:hAnsi="Arial"/>
          <w:sz w:val="22"/>
        </w:rPr>
        <w:t>Without a feedback loop, the system does not improve from production use. Reviewed outputs, corrections, decision traces, and user feedback should flow back into better prompts, retrieval, eval datasets, and workflow design.</w:t>
      </w:r>
    </w:p>
    <w:p>
      <w:pPr>
        <w:spacing w:after="160" w:line="276" w:lineRule="auto"/>
      </w:pPr>
      <w:r>
        <w:rPr>
          <w:rFonts w:ascii="Arial" w:hAnsi="Arial"/>
          <w:i w:val="0"/>
          <w:sz w:val="22"/>
        </w:rPr>
        <w:t>Bottom line: the harness is the product system around the model: context, retrieval, tools, skills, sandbox, schemas, state, permissions, evals, observability, cost controls, review paths, and feedback loops.</w:t>
      </w:r>
    </w:p>
    <w:p>
      <w:pPr>
        <w:pStyle w:val="Heading3"/>
        <w:spacing w:before="320" w:after="80"/>
      </w:pPr>
      <w:r>
        <w:rPr>
          <w:rFonts w:ascii="Arial" w:hAnsi="Arial"/>
          <w:b w:val="0"/>
          <w:color w:val="434343"/>
          <w:sz w:val="28"/>
        </w:rPr>
        <w:t>What Is RAG?</w:t>
      </w:r>
    </w:p>
    <w:p>
      <w:pPr>
        <w:spacing w:after="160" w:line="276" w:lineRule="auto"/>
      </w:pPr>
      <w:r>
        <w:rPr>
          <w:rFonts w:ascii="Arial" w:hAnsi="Arial"/>
          <w:i w:val="0"/>
          <w:sz w:val="22"/>
        </w:rPr>
        <w:t>RAG stands for retrieval-augmented generation. Instead of relying only on the model's training data, the system searches trusted knowledge first: company documents, policies, tickets, CRM notes, product docs, or a vector store. Retrieval can use keyword/BM25 search for exact terms, embeddings for semantic search, metadata filters for scope and permissions, or a hybrid of those. Embeddings are useful because they map meaning, so a question about "refunds" can find a page called "chargeback policy" even if the wording does not match. The retrieved context is then passed into the model before it answers. It helps with internal or current knowledge, but it does not guarantee perfect accuracy. Source quality, permissions, freshness, citations, evals, monitoring, and human review still matter.</w:t>
      </w:r>
    </w:p>
    <w:p>
      <w:pPr>
        <w:pStyle w:val="Heading3"/>
        <w:spacing w:before="320" w:after="80"/>
      </w:pPr>
      <w:r>
        <w:rPr>
          <w:rFonts w:ascii="Arial" w:hAnsi="Arial"/>
          <w:b w:val="0"/>
          <w:color w:val="434343"/>
          <w:sz w:val="28"/>
        </w:rPr>
        <w:t>What Is Fine-Tuning?</w:t>
      </w:r>
    </w:p>
    <w:p>
      <w:pPr>
        <w:spacing w:after="160" w:line="276" w:lineRule="auto"/>
      </w:pPr>
      <w:r>
        <w:rPr>
          <w:rFonts w:ascii="Arial" w:hAnsi="Arial"/>
          <w:i w:val="0"/>
          <w:sz w:val="22"/>
        </w:rPr>
        <w:t>Fine-tuning is model adaptation. You continue training a model on examples, preferences, or reward signals so it behaves better on a specific repeated task.</w:t>
      </w:r>
    </w:p>
    <w:p>
      <w:pPr>
        <w:spacing w:after="160" w:line="276" w:lineRule="auto"/>
      </w:pPr>
      <w:r>
        <w:rPr>
          <w:rFonts w:ascii="Arial" w:hAnsi="Arial"/>
          <w:i w:val="0"/>
          <w:sz w:val="22"/>
        </w:rPr>
        <w:t>The key distinction is that fine-tuning changes behavior; it is not the default way to upload current company knowledge. If the model needs current policies, account notes, pricing, or product docs, I would start with retrieval because that knowledge should stay external, refreshable, permissioned, and auditable. Fine-tuning becomes more relevant when the model already has the right context but keeps failing the same stable pattern: format, classification, tone, domain rubric, tool-use behavior, or a repeatable workflow.</w:t>
      </w:r>
    </w:p>
    <w:p>
      <w:pPr>
        <w:spacing w:after="160" w:line="276" w:lineRule="auto"/>
      </w:pPr>
      <w:r>
        <w:rPr>
          <w:rFonts w:ascii="Arial" w:hAnsi="Arial"/>
          <w:i w:val="0"/>
          <w:sz w:val="22"/>
        </w:rPr>
        <w:t>A simple medical-report example makes the distinction clear. RAG can give the model the current patient file, latest policy, and relevant clinical notes. But if the model keeps missing the same findings, extracting the wrong fields, or applying the wrong review rubric, fine-tuning can help. You train on many medical reports that humans already reviewed and labeled: report type, important findings, fields to extract, missing information, and next step. The goal is not to put patient facts into the model. The goal is to make the model better at reading that kind of report and following the same review pattern consistently.</w:t>
      </w:r>
    </w:p>
    <w:p>
      <w:pPr>
        <w:spacing w:after="160" w:line="276" w:lineRule="auto"/>
      </w:pPr>
      <w:r>
        <w:rPr>
          <w:rFonts w:ascii="Arial" w:hAnsi="Arial"/>
          <w:i w:val="0"/>
          <w:sz w:val="22"/>
        </w:rPr>
        <w:t>I would not position it as the first lever. I would usually start with model choice, prompting, examples, retrieval, tools, structured outputs, and evals. Then if the same failure repeats across enough examples and the task is measurable, fine-tuning or model optimization becomes a serious option. I would check current OpenAI docs before promising the exact supported method.</w:t>
      </w:r>
    </w:p>
    <w:p>
      <w:pPr>
        <w:pStyle w:val="Heading3"/>
        <w:spacing w:before="320" w:after="80"/>
      </w:pPr>
      <w:r>
        <w:rPr>
          <w:rFonts w:ascii="Arial" w:hAnsi="Arial"/>
          <w:b w:val="0"/>
          <w:color w:val="434343"/>
          <w:sz w:val="28"/>
        </w:rPr>
        <w:t>Can Hallucination Be 100 Percent Avoided?</w:t>
      </w:r>
    </w:p>
    <w:p>
      <w:pPr>
        <w:spacing w:after="160" w:line="276" w:lineRule="auto"/>
      </w:pPr>
      <w:r>
        <w:rPr>
          <w:rFonts w:ascii="Arial" w:hAnsi="Arial"/>
          <w:i w:val="0"/>
          <w:sz w:val="22"/>
        </w:rPr>
        <w:t>I would frame hallucination less as "the model is dumb" and more as a context-engineering failure. The model is like a very capable analyst with limited working memory.</w:t>
      </w:r>
    </w:p>
    <w:p>
      <w:pPr>
        <w:spacing w:after="160" w:line="276" w:lineRule="auto"/>
      </w:pPr>
      <w:r>
        <w:rPr>
          <w:rFonts w:ascii="Arial" w:hAnsi="Arial"/>
          <w:i w:val="0"/>
          <w:sz w:val="22"/>
        </w:rPr>
        <w:t>If you give it the wrong file, stale data, missing information, or no tool to check the source of truth, it can still produce a fluent but unsupported answer. And because of how these systems are designed, they are often eager to complete the task. They are not naturally as good as a human at saying, "I do not have enough evidence to answer this."</w:t>
      </w:r>
    </w:p>
    <w:p>
      <w:pPr>
        <w:spacing w:after="160" w:line="276" w:lineRule="auto"/>
      </w:pPr>
      <w:r>
        <w:rPr>
          <w:rFonts w:ascii="Arial" w:hAnsi="Arial"/>
          <w:i w:val="0"/>
          <w:sz w:val="22"/>
        </w:rPr>
        <w:t>So the enterprise question is: have we loaded the right context, connected the right tools, constrained the output, and created a human review path where the stakes are high?</w:t>
      </w:r>
    </w:p>
    <w:p>
      <w:pPr>
        <w:spacing w:after="160" w:line="276" w:lineRule="auto"/>
      </w:pPr>
      <w:r>
        <w:rPr>
          <w:rFonts w:ascii="Arial" w:hAnsi="Arial"/>
          <w:i w:val="0"/>
          <w:sz w:val="22"/>
        </w:rPr>
        <w:t>And then: have we run evals over a representative dataset? For example, take real or realistic support tickets, account questions, policy questions, or compliance scenarios where we know the correct answer, the correct source, and the expected escalation behavior. Then test whether the system retrieves the right evidence, uses the right tools, cites the right source, avoids unsupported claims, follows the output format, and escalates when confidence is low. That turns hallucination from a vague fear into something you can measure, debug, and improve.</w:t>
      </w:r>
    </w:p>
    <w:p>
      <w:pPr>
        <w:spacing w:after="160" w:line="276" w:lineRule="auto"/>
      </w:pPr>
      <w:r>
        <w:rPr>
          <w:rFonts w:ascii="Arial" w:hAnsi="Arial"/>
          <w:i w:val="0"/>
          <w:sz w:val="22"/>
        </w:rPr>
        <w:t>Strong line:</w:t>
      </w:r>
    </w:p>
    <w:p>
      <w:pPr>
        <w:spacing w:after="160" w:line="276" w:lineRule="auto"/>
        <w:ind w:left="360"/>
      </w:pPr>
      <w:r>
        <w:rPr>
          <w:rFonts w:ascii="Arial" w:hAnsi="Arial"/>
          <w:i/>
          <w:sz w:val="22"/>
        </w:rPr>
        <w:t>For regulated buyers, I would not sell certainty. I would sell a controlled workflow: right context, right tools, measurable behavior, visible failures, and review paths for high-stakes decisions.</w:t>
      </w:r>
    </w:p>
    <w:p>
      <w:pPr>
        <w:pStyle w:val="Heading3"/>
        <w:spacing w:before="320" w:after="80"/>
      </w:pPr>
      <w:r>
        <w:rPr>
          <w:rFonts w:ascii="Arial" w:hAnsi="Arial"/>
          <w:b w:val="0"/>
          <w:color w:val="434343"/>
          <w:sz w:val="28"/>
        </w:rPr>
        <w:t>What Are Evals?</w:t>
      </w:r>
    </w:p>
    <w:p>
      <w:pPr>
        <w:spacing w:after="160" w:line="276" w:lineRule="auto"/>
      </w:pPr>
      <w:r>
        <w:rPr>
          <w:rFonts w:ascii="Arial" w:hAnsi="Arial"/>
          <w:i w:val="0"/>
          <w:sz w:val="22"/>
        </w:rPr>
        <w:t>Evals are structured tests for an AI system. You give the model or agent a representative set of tasks, capture what it did, and score the output and process against criteria you care about.</w:t>
      </w:r>
    </w:p>
    <w:p>
      <w:pPr>
        <w:spacing w:after="160" w:line="276" w:lineRule="auto"/>
      </w:pPr>
      <w:r>
        <w:rPr>
          <w:rFonts w:ascii="Arial" w:hAnsi="Arial"/>
          <w:i w:val="0"/>
          <w:sz w:val="22"/>
        </w:rPr>
        <w:t>The basic pieces are a dataset, traces, and graders. The dataset is the set of test cases: support tickets, account questions, policy questions, sales handoffs, compliance scenarios, or edge cases from production. The trace is the record of what happened: prompt, retrieved context, tool calls, handoffs, output, latency, cost, and errors. The graders are the checks. Some are deterministic, like did it call the right tool or return the required fields. Some can use another model as a judge for softer criteria like tone, clarity, or groundedness. And for high-judgment areas, you still want a human subject-matter expert reviewing examples, because not everything important can be reduced to a simple automated check.</w:t>
      </w:r>
    </w:p>
    <w:p>
      <w:pPr>
        <w:spacing w:after="160" w:line="276" w:lineRule="auto"/>
      </w:pPr>
      <w:r>
        <w:rPr>
          <w:rFonts w:ascii="Arial" w:hAnsi="Arial"/>
          <w:i w:val="0"/>
          <w:sz w:val="22"/>
        </w:rPr>
        <w:t>For a support agent, I would test realistic tickets and ask: did it retrieve the correct SOP, check the customer record, use the billing or entitlement tool correctly, cite the right source, and escalate sensitive cases instead of trying to answer everything?</w:t>
      </w:r>
    </w:p>
    <w:p>
      <w:pPr>
        <w:spacing w:after="160" w:line="276" w:lineRule="auto"/>
      </w:pPr>
      <w:r>
        <w:rPr>
          <w:rFonts w:ascii="Arial" w:hAnsi="Arial"/>
          <w:i w:val="0"/>
          <w:sz w:val="22"/>
        </w:rPr>
        <w:t>A concrete test case could be: an Intercom ticket comes in saying, "I was charged twice for my Pro plan renewal; please refund one charge." The expected path is that the agent checks Salesforce, checks Stripe for duplicate charges, retrieves the Notion refund SOP, drafts an empathetic response, recommends a refund for the duplicate charge, and asks for billing approval before any money movement.</w:t>
      </w:r>
    </w:p>
    <w:p>
      <w:pPr>
        <w:spacing w:after="160" w:line="276" w:lineRule="auto"/>
      </w:pPr>
      <w:r>
        <w:rPr>
          <w:rFonts w:ascii="Arial" w:hAnsi="Arial"/>
          <w:i w:val="0"/>
          <w:sz w:val="22"/>
        </w:rPr>
        <w:t>Then the eval grades the run: did it use the right tools, cite the right evidence, avoid unsupported claims, return the required fields, use the right tone, and escalate if the evidence was incomplete?</w:t>
      </w:r>
    </w:p>
    <w:p>
      <w:pPr>
        <w:spacing w:after="160" w:line="276" w:lineRule="auto"/>
      </w:pPr>
      <w:r>
        <w:rPr>
          <w:rFonts w:ascii="Arial" w:hAnsi="Arial"/>
          <w:i w:val="0"/>
          <w:sz w:val="22"/>
        </w:rPr>
        <w:t>On dataset size, I would not give one fake universal number. Typically, we see a recurring pattern: start small, but make the examples real and representative. For a first eval loop, even 5-10 real cases can expose obvious issues. For a proper regression baseline, I would aim for 20-50 high-signal cases from real tickets, manual QA, or actual failures. As the workflow gets closer to production, I would expand into the tens or low hundreds across core use cases, edge cases, and known failure modes. For high-risk workflows, I would run multiple trials on the same cases because model outputs can vary.</w:t>
      </w:r>
    </w:p>
    <w:p>
      <w:pPr>
        <w:spacing w:after="160" w:line="276" w:lineRule="auto"/>
      </w:pPr>
      <w:r>
        <w:rPr>
          <w:rFonts w:ascii="Arial" w:hAnsi="Arial"/>
          <w:i w:val="0"/>
          <w:sz w:val="22"/>
        </w:rPr>
        <w:t>That is why evals matter: they turn AI reliability from vibes into a repeatable quality loop. Capability evals ask what the system can do well. Regression evals ask whether it still works after a prompt, model, retrieval, tool, or policy change.</w:t>
      </w:r>
    </w:p>
    <w:p>
      <w:pPr>
        <w:spacing w:after="160" w:line="276" w:lineRule="auto"/>
      </w:pPr>
      <w:r>
        <w:rPr>
          <w:rFonts w:ascii="Arial" w:hAnsi="Arial"/>
          <w:i w:val="0"/>
          <w:sz w:val="22"/>
        </w:rPr>
        <w:t>Mini FAQ: is the main lever just changing the prompt?</w:t>
      </w:r>
    </w:p>
    <w:p>
      <w:pPr>
        <w:spacing w:after="160" w:line="276" w:lineRule="auto"/>
      </w:pPr>
      <w:r>
        <w:rPr>
          <w:rFonts w:ascii="Arial" w:hAnsi="Arial"/>
          <w:i w:val="0"/>
          <w:sz w:val="22"/>
        </w:rPr>
        <w:t>Not really. Prompting is one lever, and often the fastest one, but evals are really a diagnostic loop. Evals tell you what failed, and then you choose the right improvement lever.</w:t>
      </w:r>
    </w:p>
    <w:p>
      <w:pPr>
        <w:spacing w:after="160" w:line="276" w:lineRule="auto"/>
      </w:pPr>
      <w:r>
        <w:rPr>
          <w:rFonts w:ascii="Arial" w:hAnsi="Arial"/>
          <w:i w:val="0"/>
          <w:sz w:val="22"/>
        </w:rPr>
        <w:t>If the agent misunderstood the task, improve the prompt or instructions. If it gave a fluent but unsupported answer, improve retrieval, source quality, citations, or context. If it did not check Stripe before recommending a refund, improve the tool flow or make the tool call mandatory. If it skipped approval before money movement, add a workflow rule, guardrail, or human review gate.</w:t>
      </w:r>
    </w:p>
    <w:p>
      <w:pPr>
        <w:spacing w:after="160" w:line="276" w:lineRule="auto"/>
      </w:pPr>
      <w:r>
        <w:rPr>
          <w:rFonts w:ascii="Arial" w:hAnsi="Arial"/>
          <w:i w:val="0"/>
          <w:sz w:val="22"/>
        </w:rPr>
        <w:t>If the output was hard to use downstream, enforce structured outputs or a schema. If it used the wrong data, fix permissions, metadata, freshness, or source-of-truth routing. If the model just cannot handle the reasoning reliably, change the model, add examples, or consider fine-tuning for a narrow repeatable task. If quality degrades after changes, use regression evals to catch it before production.</w:t>
      </w:r>
    </w:p>
    <w:p>
      <w:pPr>
        <w:spacing w:after="160" w:line="276" w:lineRule="auto"/>
      </w:pPr>
      <w:r>
        <w:rPr>
          <w:rFonts w:ascii="Arial" w:hAnsi="Arial"/>
          <w:i w:val="0"/>
          <w:sz w:val="22"/>
        </w:rPr>
        <w:t>The point is not "write a better prompt" in the abstract. The point is to identify why the system failed and improve the part of the harness that caused the failure.</w:t>
      </w:r>
    </w:p>
    <w:p>
      <w:pPr>
        <w:pStyle w:val="Heading3"/>
        <w:spacing w:before="320" w:after="80"/>
      </w:pPr>
      <w:r>
        <w:rPr>
          <w:rFonts w:ascii="Arial" w:hAnsi="Arial"/>
          <w:b w:val="0"/>
          <w:color w:val="434343"/>
          <w:sz w:val="28"/>
        </w:rPr>
        <w:t>RAG Versus Fine-Tuning</w:t>
      </w:r>
    </w:p>
    <w:p>
      <w:pPr>
        <w:spacing w:after="160" w:line="276" w:lineRule="auto"/>
      </w:pPr>
      <w:r>
        <w:rPr>
          <w:rFonts w:ascii="Arial" w:hAnsi="Arial"/>
          <w:i w:val="0"/>
          <w:sz w:val="22"/>
        </w:rPr>
        <w:t>RAG changes what the model can look up at answer time. Fine-tuning or model optimization changes how the model behaves on a repeated task. If the issue is "the model needs current internal knowledge," start with retrieval. If the issue is "we need consistent behavior, format, classification, or style on a repeated task," model optimization may be relevant, but availability and recommended approach should be checked against current OpenAI docs.</w:t>
      </w:r>
    </w:p>
    <w:p>
      <w:pPr>
        <w:pStyle w:val="Heading3"/>
        <w:spacing w:before="320" w:after="80"/>
      </w:pPr>
      <w:r>
        <w:rPr>
          <w:rFonts w:ascii="Arial" w:hAnsi="Arial"/>
          <w:b w:val="0"/>
          <w:color w:val="434343"/>
          <w:sz w:val="28"/>
        </w:rPr>
        <w:t>Buying Codex For Employees And Engineering Teams</w:t>
      </w:r>
    </w:p>
    <w:p>
      <w:pPr>
        <w:spacing w:after="160" w:line="276" w:lineRule="auto"/>
      </w:pPr>
      <w:r>
        <w:rPr>
          <w:rFonts w:ascii="Arial" w:hAnsi="Arial"/>
          <w:i w:val="0"/>
          <w:sz w:val="22"/>
        </w:rPr>
        <w:t>If a team already likes Cursor, Claude Code, OpenCode, or an internal harness, I would not attack that. Developer pull is a good signal.</w:t>
      </w:r>
    </w:p>
    <w:p>
      <w:pPr>
        <w:spacing w:after="160" w:line="276" w:lineRule="auto"/>
      </w:pPr>
      <w:r>
        <w:rPr>
          <w:rFonts w:ascii="Arial" w:hAnsi="Arial"/>
          <w:i w:val="0"/>
          <w:sz w:val="22"/>
        </w:rPr>
        <w:t>The reason Codex is different is that it is OpenAI's first-party coding-agent surface. It is not just "AI in an editor." It is the model plus the harness: repo context, file edits, terminal, tests, browser validation, worktrees, review, approvals, skills, automations, app/CLI/IDE/cloud modes, SDK/MCP surfaces, and enterprise controls.</w:t>
      </w:r>
    </w:p>
    <w:p>
      <w:pPr>
        <w:spacing w:after="160" w:line="276" w:lineRule="auto"/>
      </w:pPr>
      <w:r>
        <w:rPr>
          <w:rFonts w:ascii="Arial" w:hAnsi="Arial"/>
          <w:i w:val="0"/>
          <w:sz w:val="22"/>
        </w:rPr>
        <w:t>That matters because coding-agent performance is not only model intelligence. It is whether the agent can understand the repo, use the right tools, run checks, inspect diffs, keep state across a longer task, ask for approval, and leave behind something reviewable.</w:t>
      </w:r>
    </w:p>
    <w:p>
      <w:pPr>
        <w:spacing w:after="160" w:line="276" w:lineRule="auto"/>
      </w:pPr>
      <w:r>
        <w:rPr>
          <w:rFonts w:ascii="Arial" w:hAnsi="Arial"/>
          <w:i w:val="0"/>
          <w:sz w:val="22"/>
        </w:rPr>
        <w:t>So my answer would be: Cursor may win for some developers as their preferred IDE. OpenCode may win for openness or local control. Open-source models may fit narrow cost-sensitive work. Codex is compelling when the buyer wants OpenAI's first-party engineering agent loop, connected to a broader OpenAI work surface and governed enterprise deployment.</w:t>
      </w:r>
    </w:p>
    <w:p>
      <w:pPr>
        <w:pStyle w:val="Heading3"/>
        <w:spacing w:before="320" w:after="80"/>
      </w:pPr>
      <w:r>
        <w:rPr>
          <w:rFonts w:ascii="Arial" w:hAnsi="Arial"/>
          <w:b w:val="0"/>
          <w:color w:val="434343"/>
          <w:sz w:val="28"/>
        </w:rPr>
        <w:t>Using OpenAI To Build AI Into Products And Workflows</w:t>
      </w:r>
    </w:p>
    <w:p>
      <w:pPr>
        <w:spacing w:after="160" w:line="276" w:lineRule="auto"/>
      </w:pPr>
      <w:r>
        <w:rPr>
          <w:rFonts w:ascii="Arial" w:hAnsi="Arial"/>
          <w:i w:val="0"/>
          <w:sz w:val="22"/>
        </w:rPr>
        <w:t>If a customer says they have internal AI teams, I would treat that as a buying signal, not an objection to dismiss. But I would not answer it first as a platform argument. I would slow down and run discovery.</w:t>
      </w:r>
    </w:p>
    <w:p>
      <w:pPr>
        <w:spacing w:after="160" w:line="276" w:lineRule="auto"/>
      </w:pPr>
      <w:r>
        <w:rPr>
          <w:rFonts w:ascii="Arial" w:hAnsi="Arial"/>
          <w:i w:val="0"/>
          <w:sz w:val="22"/>
        </w:rPr>
        <w:t>"We have an internal AI team" could mean they want control, they already have a prototype, they are blocked getting to production, or they are worried about security, cost, or vendor dependence. Those are different problems.</w:t>
      </w:r>
    </w:p>
    <w:p>
      <w:pPr>
        <w:spacing w:after="160" w:line="276" w:lineRule="auto"/>
      </w:pPr>
      <w:r>
        <w:rPr>
          <w:rFonts w:ascii="Arial" w:hAnsi="Arial"/>
          <w:i w:val="0"/>
          <w:sz w:val="22"/>
        </w:rPr>
        <w:t>So I would ask: what workflow are you trying to improve, what happens today, what target are you missing, what is the cost or risk if nothing changes, who owns the outcome, and what proof would make the team comfortable scaling it?</w:t>
      </w:r>
    </w:p>
    <w:p>
      <w:pPr>
        <w:spacing w:after="160" w:line="276" w:lineRule="auto"/>
      </w:pPr>
      <w:r>
        <w:rPr>
          <w:rFonts w:ascii="Arial" w:hAnsi="Arial"/>
          <w:i w:val="0"/>
          <w:sz w:val="22"/>
        </w:rPr>
        <w:t>Once that is clear, the answer may be build, buy, or hybrid. The customer should own the differentiated parts: workflow logic, proprietary context, product UX, systems of record, policy, risk rules, eval criteria, approval model, and change management. OpenAI is relevant where maintained platform primitives help: models, retrieval, tool use, structured outputs, agent orchestration, guardrails, human review, tracing, evals, enterprise controls, and deployment patterns.</w:t>
      </w:r>
    </w:p>
    <w:p>
      <w:pPr>
        <w:spacing w:after="160" w:line="276" w:lineRule="auto"/>
      </w:pPr>
      <w:r>
        <w:rPr>
          <w:rFonts w:ascii="Arial" w:hAnsi="Arial"/>
          <w:i w:val="0"/>
          <w:sz w:val="22"/>
        </w:rPr>
        <w:t>In support, for example, I would diagnose the gap before prescribing the tool: top ticket categories, where agents lose time, what systems they check, what errors or escalations recur, and what metric matters. Then OpenAI's role becomes easier to evaluate: is the gap model quality, retrieval, tool execution, evals, governance, or simply a workflow the customer should own internally?</w:t>
      </w:r>
    </w:p>
    <w:p>
      <w:pPr>
        <w:spacing w:after="160" w:line="276" w:lineRule="auto"/>
      </w:pPr>
      <w:r>
        <w:rPr>
          <w:rFonts w:ascii="Arial" w:hAnsi="Arial"/>
          <w:i w:val="0"/>
          <w:sz w:val="22"/>
        </w:rPr>
        <w:t>The real question is not "OpenAI or internal build?" It is: what business gap are we solving, which parts should be internal IP, which parts should use maintained platform primitives, and what proof would make the workflow safe enough to scale?</w:t>
      </w:r>
    </w:p>
    <w:p>
      <w:pPr>
        <w:pStyle w:val="Heading1"/>
        <w:spacing w:before="400" w:after="120"/>
      </w:pPr>
      <w:r>
        <w:rPr>
          <w:rFonts w:ascii="Arial" w:hAnsi="Arial"/>
          <w:b w:val="0"/>
          <w:color w:val="000000"/>
          <w:sz w:val="40"/>
        </w:rPr>
        <w:t>Sales Method</w:t>
      </w:r>
    </w:p>
    <w:p>
      <w:pPr>
        <w:pStyle w:val="Heading3"/>
        <w:spacing w:before="320" w:after="80"/>
      </w:pPr>
      <w:r>
        <w:rPr>
          <w:rFonts w:ascii="Arial" w:hAnsi="Arial"/>
          <w:b w:val="0"/>
          <w:color w:val="434343"/>
          <w:sz w:val="28"/>
        </w:rPr>
        <w:t>Consultative And Value-Based Selling</w:t>
      </w:r>
    </w:p>
    <w:p>
      <w:pPr>
        <w:spacing w:after="160" w:line="276" w:lineRule="auto"/>
      </w:pPr>
      <w:r>
        <w:rPr>
          <w:rFonts w:ascii="Arial" w:hAnsi="Arial"/>
          <w:i w:val="0"/>
          <w:sz w:val="22"/>
        </w:rPr>
        <w:t>Lead with the customer's priorities, pain points, workflow, stakeholders, and business outcome. Do not lead with "our product is superior" or cheaper pricing.</w:t>
      </w:r>
    </w:p>
    <w:p>
      <w:pPr>
        <w:spacing w:after="160" w:line="276" w:lineRule="auto"/>
      </w:pPr>
      <w:r>
        <w:rPr>
          <w:rFonts w:ascii="Arial" w:hAnsi="Arial"/>
          <w:i w:val="0"/>
          <w:sz w:val="22"/>
        </w:rPr>
        <w:t>Answer spine:</w:t>
      </w:r>
    </w:p>
    <w:p>
      <w:pPr>
        <w:numPr>
          <w:ilvl w:val="0"/>
          <w:numId w:val="13"/>
        </w:numPr>
        <w:spacing w:after="80" w:line="276" w:lineRule="auto"/>
      </w:pPr>
      <w:r>
        <w:rPr>
          <w:rFonts w:ascii="Arial" w:hAnsi="Arial"/>
          <w:sz w:val="22"/>
        </w:rPr>
        <w:t>What is the business priority?</w:t>
      </w:r>
    </w:p>
    <w:p>
      <w:pPr>
        <w:numPr>
          <w:ilvl w:val="0"/>
          <w:numId w:val="13"/>
        </w:numPr>
        <w:spacing w:after="80" w:line="276" w:lineRule="auto"/>
      </w:pPr>
      <w:r>
        <w:rPr>
          <w:rFonts w:ascii="Arial" w:hAnsi="Arial"/>
          <w:sz w:val="22"/>
        </w:rPr>
        <w:t>What workflow is painful or strategically important?</w:t>
      </w:r>
    </w:p>
    <w:p>
      <w:pPr>
        <w:numPr>
          <w:ilvl w:val="0"/>
          <w:numId w:val="13"/>
        </w:numPr>
        <w:spacing w:after="80" w:line="276" w:lineRule="auto"/>
      </w:pPr>
      <w:r>
        <w:rPr>
          <w:rFonts w:ascii="Arial" w:hAnsi="Arial"/>
          <w:sz w:val="22"/>
        </w:rPr>
        <w:t>Who owns the outcome?</w:t>
      </w:r>
    </w:p>
    <w:p>
      <w:pPr>
        <w:numPr>
          <w:ilvl w:val="0"/>
          <w:numId w:val="13"/>
        </w:numPr>
        <w:spacing w:after="80" w:line="276" w:lineRule="auto"/>
      </w:pPr>
      <w:r>
        <w:rPr>
          <w:rFonts w:ascii="Arial" w:hAnsi="Arial"/>
          <w:sz w:val="22"/>
        </w:rPr>
        <w:t>What stakeholders can block or approve it?</w:t>
      </w:r>
    </w:p>
    <w:p>
      <w:pPr>
        <w:numPr>
          <w:ilvl w:val="0"/>
          <w:numId w:val="13"/>
        </w:numPr>
        <w:spacing w:after="80" w:line="276" w:lineRule="auto"/>
      </w:pPr>
      <w:r>
        <w:rPr>
          <w:rFonts w:ascii="Arial" w:hAnsi="Arial"/>
          <w:sz w:val="22"/>
        </w:rPr>
        <w:t>What value metric matters?</w:t>
      </w:r>
    </w:p>
    <w:p>
      <w:pPr>
        <w:numPr>
          <w:ilvl w:val="0"/>
          <w:numId w:val="13"/>
        </w:numPr>
        <w:spacing w:after="80" w:line="276" w:lineRule="auto"/>
      </w:pPr>
      <w:r>
        <w:rPr>
          <w:rFonts w:ascii="Arial" w:hAnsi="Arial"/>
          <w:sz w:val="22"/>
        </w:rPr>
        <w:t>What proof or next step makes the opportunity real?</w:t>
      </w:r>
    </w:p>
    <w:p>
      <w:pPr>
        <w:pStyle w:val="Heading3"/>
        <w:spacing w:before="320" w:after="80"/>
      </w:pPr>
      <w:r>
        <w:rPr>
          <w:rFonts w:ascii="Arial" w:hAnsi="Arial"/>
          <w:b w:val="0"/>
          <w:color w:val="434343"/>
          <w:sz w:val="28"/>
        </w:rPr>
        <w:t>Prospecting Motion</w:t>
      </w:r>
    </w:p>
    <w:p>
      <w:pPr>
        <w:spacing w:after="160" w:line="276" w:lineRule="auto"/>
      </w:pPr>
      <w:r>
        <w:rPr>
          <w:rFonts w:ascii="Arial" w:hAnsi="Arial"/>
          <w:i w:val="0"/>
          <w:sz w:val="22"/>
        </w:rPr>
        <w:t>I would run prospecting as account strategy, not message volume. I would start with the finite account universe, turn it into a named target list, tier accounts by fit and readiness, test whether the signal is actually messageable, map the buying committee, and use every touch to sharpen the account thesis.</w:t>
      </w:r>
    </w:p>
    <w:p>
      <w:pPr>
        <w:spacing w:after="160" w:line="276" w:lineRule="auto"/>
      </w:pPr>
      <w:r>
        <w:rPr>
          <w:rFonts w:ascii="Arial" w:hAnsi="Arial"/>
          <w:i w:val="0"/>
          <w:sz w:val="22"/>
        </w:rPr>
        <w:t>Longer version:</w:t>
      </w:r>
    </w:p>
    <w:p>
      <w:pPr>
        <w:spacing w:after="160" w:line="276" w:lineRule="auto"/>
      </w:pPr>
      <w:r>
        <w:rPr>
          <w:rFonts w:ascii="Arial" w:hAnsi="Arial"/>
          <w:i w:val="0"/>
          <w:sz w:val="22"/>
        </w:rPr>
        <w:t>The way I think about it is TAM, thesis, signal, stakeholder, message, learn. For OpenAI APAC, I would align with the AD on the account universe: financial services, life sciences, retail, regional platforms, and large regulated enterprises. Then I would tier the named account list. Tier one gets deep account strategy and AD alignment. Tier two gets targeted sequences. Tier three gets monitored until the timing is stronger.</w:t>
      </w:r>
    </w:p>
    <w:p>
      <w:pPr>
        <w:spacing w:after="160" w:line="276" w:lineRule="auto"/>
      </w:pPr>
      <w:r>
        <w:rPr>
          <w:rFonts w:ascii="Arial" w:hAnsi="Arial"/>
          <w:i w:val="0"/>
          <w:sz w:val="22"/>
        </w:rPr>
        <w:t>The key test is messageability. A company can hire AI engineers, attend an event, publish an AI strategy, or use a competitor, but I still need to connect that signal to a person, a workflow, a business pressure, a proof point, and a respectful reason to engage now. If I cannot do that, it may belong in nurture rather than outbound.</w:t>
      </w:r>
    </w:p>
    <w:p>
      <w:pPr>
        <w:spacing w:after="160" w:line="276" w:lineRule="auto"/>
      </w:pPr>
      <w:r>
        <w:rPr>
          <w:rFonts w:ascii="Arial" w:hAnsi="Arial"/>
          <w:i w:val="0"/>
          <w:sz w:val="22"/>
        </w:rPr>
        <w:t>For top accounts, I would map who has to believe, approve, defend, implement, and use the workflow: business owner, champion, technical evaluator, security or governance, finance or procurement, executive sponsor, end users, and blockers. The handoff to the AD should include the real account state: why this account, why now, who matters, what proof is missing, and what next step is credible.</w:t>
      </w:r>
    </w:p>
    <w:p>
      <w:pPr>
        <w:pStyle w:val="Heading3"/>
        <w:spacing w:before="320" w:after="80"/>
      </w:pPr>
      <w:r>
        <w:rPr>
          <w:rFonts w:ascii="Arial" w:hAnsi="Arial"/>
          <w:b w:val="0"/>
          <w:color w:val="434343"/>
          <w:sz w:val="28"/>
        </w:rPr>
        <w:t>AI In Prospecting</w:t>
      </w:r>
    </w:p>
    <w:p>
      <w:pPr>
        <w:spacing w:after="160" w:line="276" w:lineRule="auto"/>
      </w:pPr>
      <w:r>
        <w:rPr>
          <w:rFonts w:ascii="Arial" w:hAnsi="Arial"/>
          <w:i w:val="0"/>
          <w:sz w:val="22"/>
        </w:rPr>
        <w:t>I use AI for the parts of prospecting where scale and synthesis help: building account briefs, summarizing annual reports, extracting stakeholder maps, identifying trigger signals, comparing proof points, drafting discovery questions, and preparing first-pass messages. But I keep human review on anything customer-facing. The output should be a better account thesis and a better next action, not more messages. AI should help me spend more time on judgment, not make me noisier.</w:t>
      </w:r>
    </w:p>
    <w:p>
      <w:pPr>
        <w:pStyle w:val="Heading3"/>
        <w:spacing w:before="320" w:after="80"/>
      </w:pPr>
      <w:r>
        <w:rPr>
          <w:rFonts w:ascii="Arial" w:hAnsi="Arial"/>
          <w:b w:val="0"/>
          <w:color w:val="434343"/>
          <w:sz w:val="28"/>
        </w:rPr>
        <w:t>APAC Nuance</w:t>
      </w:r>
    </w:p>
    <w:p>
      <w:pPr>
        <w:spacing w:after="160" w:line="276" w:lineRule="auto"/>
      </w:pPr>
      <w:r>
        <w:rPr>
          <w:rFonts w:ascii="Arial" w:hAnsi="Arial"/>
          <w:i w:val="0"/>
          <w:sz w:val="22"/>
        </w:rPr>
        <w:t>APAC is not one market; each country requires its own approach. I learned that at Boxo, where I worked across APAC selling to or partnering with major fintech and wallet platforms in different markets: MoMo and Zalo or ZaloPay in Vietnam, Touch 'n Go in Malaysia, DANA in Indonesia, TrueMoney in Thailand, GCash in the Philippines, and others. The biggest lesson was that product-market fit and sales motion do not travel cleanly from one market to another.</w:t>
      </w:r>
    </w:p>
    <w:p>
      <w:pPr>
        <w:spacing w:after="160" w:line="276" w:lineRule="auto"/>
      </w:pPr>
      <w:r>
        <w:rPr>
          <w:rFonts w:ascii="Arial" w:hAnsi="Arial"/>
          <w:i w:val="0"/>
          <w:sz w:val="22"/>
        </w:rPr>
        <w:t>Singapore and ANZ may be stronger for regulated enterprise readiness, regional HQ conversations, and governance-heavy buyers. In parts of SEA, the motion can be more relationship-driven. Vietnam, for example, can have very strong young technical talent, but senior-buyer access and channel strategy may require more local nuance because of language and local-network barriers. The Philippines is very strong on English and operational talent, but because labor is comparatively available, the value case for software sometimes needs to be especially concrete around generating more revenue or reducing painful errors, not just lower-cost automation.</w:t>
      </w:r>
    </w:p>
    <w:p>
      <w:pPr>
        <w:spacing w:after="160" w:line="276" w:lineRule="auto"/>
      </w:pPr>
      <w:r>
        <w:rPr>
          <w:rFonts w:ascii="Arial" w:hAnsi="Arial"/>
          <w:i w:val="0"/>
          <w:sz w:val="22"/>
        </w:rPr>
        <w:t>The bigger point is adoption curve. In the US, for some categories, you might be selling after the category has hit product-market fit and the market is already aware. In APAC, you may be earlier. You are not always selling to the majority yet; you are recruiting the first innovators and using that to build an APAC-specific reference base. Early adopters can be rarer, trust cycles are long, and references travel slowly.</w:t>
      </w:r>
    </w:p>
    <w:p>
      <w:pPr>
        <w:spacing w:after="160" w:line="276" w:lineRule="auto"/>
      </w:pPr>
      <w:r>
        <w:rPr>
          <w:rFonts w:ascii="Arial" w:hAnsi="Arial"/>
          <w:i w:val="0"/>
          <w:sz w:val="22"/>
        </w:rPr>
        <w:t>So I would not simply copy a US enterprise playbook. I would match the account strategy to buyer readiness to innovate. The sharper APAC motion is: "We are new here, but we have proof in the US. We are looking for the first few innovators in this region that want to define what AI-enabled work looks like in their industry." And I would focus a lot on trust: acting as a trusted advisor over time, asking good questions, and understanding the problems keeping that specific company up at night.</w:t>
      </w:r>
    </w:p>
    <w:p>
      <w:pPr>
        <w:pStyle w:val="Heading3"/>
        <w:spacing w:before="320" w:after="80"/>
      </w:pPr>
      <w:r>
        <w:rPr>
          <w:rFonts w:ascii="Arial" w:hAnsi="Arial"/>
          <w:b w:val="0"/>
          <w:color w:val="434343"/>
          <w:sz w:val="28"/>
        </w:rPr>
        <w:t>First APAC Market</w:t>
      </w:r>
    </w:p>
    <w:p>
      <w:pPr>
        <w:spacing w:after="160" w:line="276" w:lineRule="auto"/>
      </w:pPr>
      <w:r>
        <w:rPr>
          <w:rFonts w:ascii="Arial" w:hAnsi="Arial"/>
          <w:i w:val="0"/>
          <w:sz w:val="22"/>
        </w:rPr>
        <w:t>If I had to pick one APAC market to land in first, I would choose Singapore, but I would start from proof rather than geography alone. I would first look at OpenAI's strongest internal case studies and ask which Singapore or regional-HQ accounts are the best lookalikes: same workflow pressure, similar stakeholder map, similar governance need, and similar proof threshold.</w:t>
      </w:r>
    </w:p>
    <w:p>
      <w:pPr>
        <w:spacing w:after="160" w:line="276" w:lineRule="auto"/>
      </w:pPr>
      <w:r>
        <w:rPr>
          <w:rFonts w:ascii="Arial" w:hAnsi="Arial"/>
          <w:i w:val="0"/>
          <w:sz w:val="22"/>
        </w:rPr>
        <w:t>Singapore is still my default because the role is based there, and it gives OpenAI a dense cluster of regulated financial institutions, regional headquarters, digital infrastructure, public-sector AI ambition, and English-language enterprise buyers. It is also a strong reference market: if you can show a governed, high-impact deployment in Singapore, that story can travel into broader SEA, ANZ, and regional enterprise conversations.</w:t>
      </w:r>
    </w:p>
    <w:p>
      <w:pPr>
        <w:pStyle w:val="Heading1"/>
        <w:spacing w:before="400" w:after="120"/>
      </w:pPr>
      <w:r>
        <w:rPr>
          <w:rFonts w:ascii="Arial" w:hAnsi="Arial"/>
          <w:b w:val="0"/>
          <w:color w:val="000000"/>
          <w:sz w:val="40"/>
        </w:rPr>
        <w:t>Deal Cards</w:t>
      </w:r>
    </w:p>
    <w:p>
      <w:pPr>
        <w:pStyle w:val="Heading3"/>
        <w:spacing w:before="320" w:after="80"/>
      </w:pPr>
      <w:r>
        <w:rPr>
          <w:rFonts w:ascii="Arial" w:hAnsi="Arial"/>
          <w:b w:val="0"/>
          <w:color w:val="434343"/>
          <w:sz w:val="28"/>
        </w:rPr>
        <w:t>Deal 1: Boxo Enterprise Platform Sale</w:t>
      </w:r>
    </w:p>
    <w:p>
      <w:pPr>
        <w:spacing w:after="160" w:line="276" w:lineRule="auto"/>
      </w:pPr>
      <w:r>
        <w:rPr>
          <w:rFonts w:ascii="Arial" w:hAnsi="Arial"/>
          <w:i w:val="0"/>
          <w:sz w:val="22"/>
        </w:rPr>
        <w:t>Use for: complex sale, stakeholder mapping, multi-threading, trust-building, technical/compliance objections.</w:t>
      </w:r>
    </w:p>
    <w:p>
      <w:pPr>
        <w:spacing w:after="160" w:line="276" w:lineRule="auto"/>
      </w:pPr>
      <w:r>
        <w:rPr>
          <w:rFonts w:ascii="Arial" w:hAnsi="Arial"/>
          <w:i w:val="0"/>
          <w:sz w:val="22"/>
        </w:rPr>
        <w:t>One-line thesis:</w:t>
      </w:r>
    </w:p>
    <w:p>
      <w:pPr>
        <w:spacing w:after="160" w:line="276" w:lineRule="auto"/>
        <w:ind w:left="360"/>
      </w:pPr>
      <w:r>
        <w:rPr>
          <w:rFonts w:ascii="Arial" w:hAnsi="Arial"/>
          <w:i/>
          <w:sz w:val="22"/>
        </w:rPr>
        <w:t>At Boxo, I learned enterprise sales the hard way: selling an early technical platform to a serious fintech buyer by making the deal underwriteable across executive value, product fit, engineering feasibility, and legal/compliance risk.</w:t>
      </w:r>
    </w:p>
    <w:p>
      <w:pPr>
        <w:spacing w:after="160" w:line="276" w:lineRule="auto"/>
      </w:pPr>
      <w:r>
        <w:rPr>
          <w:rFonts w:ascii="Arial" w:hAnsi="Arial"/>
          <w:i w:val="0"/>
          <w:sz w:val="22"/>
        </w:rPr>
        <w:t>60-second walkthrough:</w:t>
      </w:r>
    </w:p>
    <w:p>
      <w:pPr>
        <w:spacing w:after="160" w:line="276" w:lineRule="auto"/>
      </w:pPr>
      <w:r>
        <w:rPr>
          <w:rFonts w:ascii="Arial" w:hAnsi="Arial"/>
          <w:i w:val="0"/>
          <w:sz w:val="22"/>
        </w:rPr>
        <w:t>At Boxo, the best enterprise deal example was a fintech platform sale. We were early and selling miniapp infrastructure to a serious buyer, so the deal was not just a commercial pitch. The CEO cared about strategic upside and faster service launches. The product leader cared about whether it would become a real product experience. Engineering cared about SDK/API feasibility, auth and payment flows, and support ownership. Legal and compliance cared about vendor risk, data flow, SLAs, and liability.</w:t>
      </w:r>
    </w:p>
    <w:p>
      <w:pPr>
        <w:spacing w:after="160" w:line="276" w:lineRule="auto"/>
      </w:pPr>
      <w:r>
        <w:rPr>
          <w:rFonts w:ascii="Arial" w:hAnsi="Arial"/>
          <w:i w:val="0"/>
          <w:sz w:val="22"/>
        </w:rPr>
        <w:t>My role was to hold those threads together: map stakeholders, translate objections back to product, keep the executive case tied to business value, and lead pricing plus legal/commercial negotiation. The result was a first enterprise proof point and the lesson that enterprise sales is risk removal, not just persuasion.</w:t>
      </w:r>
    </w:p>
    <w:p>
      <w:pPr>
        <w:spacing w:after="160" w:line="276" w:lineRule="auto"/>
      </w:pPr>
      <w:r>
        <w:rPr>
          <w:rFonts w:ascii="Arial" w:hAnsi="Arial"/>
          <w:i w:val="0"/>
          <w:sz w:val="22"/>
        </w:rPr>
        <w:t>What this proves:</w:t>
      </w:r>
    </w:p>
    <w:p>
      <w:pPr>
        <w:pStyle w:val="ListBullet"/>
        <w:spacing w:after="80" w:line="276" w:lineRule="auto"/>
      </w:pPr>
      <w:r>
        <w:rPr>
          <w:rFonts w:ascii="Arial" w:hAnsi="Arial"/>
          <w:sz w:val="22"/>
        </w:rPr>
        <w:t>Multi-threading across business, product, engineering, legal, and compliance.</w:t>
      </w:r>
    </w:p>
    <w:p>
      <w:pPr>
        <w:pStyle w:val="ListBullet"/>
        <w:spacing w:after="80" w:line="276" w:lineRule="auto"/>
      </w:pPr>
      <w:r>
        <w:rPr>
          <w:rFonts w:ascii="Arial" w:hAnsi="Arial"/>
          <w:sz w:val="22"/>
        </w:rPr>
        <w:t>Value-based selling in a technical platform context.</w:t>
      </w:r>
    </w:p>
    <w:p>
      <w:pPr>
        <w:pStyle w:val="ListBullet"/>
        <w:spacing w:after="80" w:line="276" w:lineRule="auto"/>
      </w:pPr>
      <w:r>
        <w:rPr>
          <w:rFonts w:ascii="Arial" w:hAnsi="Arial"/>
          <w:sz w:val="22"/>
        </w:rPr>
        <w:t>Honesty under enterprise buyer scrutiny.</w:t>
      </w:r>
    </w:p>
    <w:p>
      <w:pPr>
        <w:pStyle w:val="ListBullet"/>
        <w:spacing w:after="80" w:line="276" w:lineRule="auto"/>
      </w:pPr>
      <w:r>
        <w:rPr>
          <w:rFonts w:ascii="Arial" w:hAnsi="Arial"/>
          <w:sz w:val="22"/>
        </w:rPr>
        <w:t>Relevance to OpenAI: enterprise AI adoption also needs executive appetite, workflow fit, technical validation, governance, and risk removal.</w:t>
      </w:r>
    </w:p>
    <w:p>
      <w:pPr>
        <w:pStyle w:val="Heading3"/>
        <w:spacing w:before="320" w:after="80"/>
      </w:pPr>
      <w:r>
        <w:rPr>
          <w:rFonts w:ascii="Arial" w:hAnsi="Arial"/>
          <w:b w:val="0"/>
          <w:color w:val="434343"/>
          <w:sz w:val="28"/>
        </w:rPr>
        <w:t>Deal 2: Airwallex Singapore GTM</w:t>
      </w:r>
    </w:p>
    <w:p>
      <w:pPr>
        <w:spacing w:after="160" w:line="276" w:lineRule="auto"/>
      </w:pPr>
      <w:r>
        <w:rPr>
          <w:rFonts w:ascii="Arial" w:hAnsi="Arial"/>
          <w:i w:val="0"/>
          <w:sz w:val="22"/>
        </w:rPr>
        <w:t>Use for: quota, metrics, fintech workflow selling, disciplined outbound, coaching.</w:t>
      </w:r>
    </w:p>
    <w:p>
      <w:pPr>
        <w:spacing w:after="160" w:line="276" w:lineRule="auto"/>
      </w:pPr>
      <w:r>
        <w:rPr>
          <w:rFonts w:ascii="Arial" w:hAnsi="Arial"/>
          <w:i w:val="0"/>
          <w:sz w:val="22"/>
        </w:rPr>
        <w:t>One-line thesis:</w:t>
      </w:r>
    </w:p>
    <w:p>
      <w:pPr>
        <w:spacing w:after="160" w:line="276" w:lineRule="auto"/>
        <w:ind w:left="360"/>
      </w:pPr>
      <w:r>
        <w:rPr>
          <w:rFonts w:ascii="Arial" w:hAnsi="Arial"/>
          <w:i/>
          <w:sz w:val="22"/>
        </w:rPr>
        <w:t>Airwallex proved I could execute in a mature, target-driven fintech GTM environment: define ICPs, sell workflow pain, close logos, and coach a repeatable outbound cadence.</w:t>
      </w:r>
    </w:p>
    <w:p>
      <w:pPr>
        <w:spacing w:after="160" w:line="276" w:lineRule="auto"/>
      </w:pPr>
      <w:r>
        <w:rPr>
          <w:rFonts w:ascii="Arial" w:hAnsi="Arial"/>
          <w:i w:val="0"/>
          <w:sz w:val="22"/>
        </w:rPr>
        <w:t>Metrics:</w:t>
      </w:r>
    </w:p>
    <w:p>
      <w:pPr>
        <w:pStyle w:val="ListBullet"/>
        <w:spacing w:after="80" w:line="276" w:lineRule="auto"/>
      </w:pPr>
      <w:r>
        <w:rPr>
          <w:rFonts w:ascii="Arial" w:hAnsi="Arial"/>
          <w:sz w:val="22"/>
        </w:rPr>
        <w:t>200%+ annual quota attainment.</w:t>
      </w:r>
    </w:p>
    <w:p>
      <w:pPr>
        <w:pStyle w:val="ListBullet"/>
        <w:spacing w:after="80" w:line="276" w:lineRule="auto"/>
      </w:pPr>
      <w:r>
        <w:rPr>
          <w:rFonts w:ascii="Arial" w:hAnsi="Arial"/>
          <w:sz w:val="22"/>
        </w:rPr>
        <w:t>22 new logos.</w:t>
      </w:r>
    </w:p>
    <w:p>
      <w:pPr>
        <w:pStyle w:val="ListBullet"/>
        <w:spacing w:after="80" w:line="276" w:lineRule="auto"/>
      </w:pPr>
      <w:r>
        <w:rPr>
          <w:rFonts w:ascii="Arial" w:hAnsi="Arial"/>
          <w:sz w:val="22"/>
        </w:rPr>
        <w:t>Average annual deal size to confirm before quoting precisely.</w:t>
      </w:r>
    </w:p>
    <w:p>
      <w:pPr>
        <w:pStyle w:val="ListBullet"/>
        <w:spacing w:after="80" w:line="276" w:lineRule="auto"/>
      </w:pPr>
      <w:r>
        <w:rPr>
          <w:rFonts w:ascii="Arial" w:hAnsi="Arial"/>
          <w:sz w:val="22"/>
        </w:rPr>
        <w:t>Coached junior SDRs to around 150% target attainment.</w:t>
      </w:r>
    </w:p>
    <w:p>
      <w:pPr>
        <w:spacing w:after="160" w:line="276" w:lineRule="auto"/>
      </w:pPr>
      <w:r>
        <w:rPr>
          <w:rFonts w:ascii="Arial" w:hAnsi="Arial"/>
          <w:i w:val="0"/>
          <w:sz w:val="22"/>
        </w:rPr>
        <w:t>60-second walkthrough:</w:t>
      </w:r>
    </w:p>
    <w:p>
      <w:pPr>
        <w:spacing w:after="160" w:line="276" w:lineRule="auto"/>
      </w:pPr>
      <w:r>
        <w:rPr>
          <w:rFonts w:ascii="Arial" w:hAnsi="Arial"/>
          <w:i w:val="0"/>
          <w:sz w:val="22"/>
        </w:rPr>
        <w:t>At Airwallex, I joined as part of the Singapore outbound build-out. The core workflow pain was cross-border money movement: payments, FX, supplier payments, cards, spend, and finance operations. I built ICPs, account lists, messaging tests, discovery motion, follow-up discipline, and clean AE handoffs. The result was 200%+ annual quota attainment and 22 new logos. The bigger lesson was that GTM performance is an operating system: ICP, research, qualification, follow-up, CRM hygiene, coaching, and pipeline review.</w:t>
      </w:r>
    </w:p>
    <w:p>
      <w:pPr>
        <w:pStyle w:val="Heading3"/>
        <w:spacing w:before="320" w:after="80"/>
      </w:pPr>
      <w:r>
        <w:rPr>
          <w:rFonts w:ascii="Arial" w:hAnsi="Arial"/>
          <w:b w:val="0"/>
          <w:color w:val="434343"/>
          <w:sz w:val="28"/>
        </w:rPr>
        <w:t>Deal 3: Salescraft AI GTM Systems</w:t>
      </w:r>
    </w:p>
    <w:p>
      <w:pPr>
        <w:spacing w:after="160" w:line="276" w:lineRule="auto"/>
      </w:pPr>
      <w:r>
        <w:rPr>
          <w:rFonts w:ascii="Arial" w:hAnsi="Arial"/>
          <w:i w:val="0"/>
          <w:sz w:val="22"/>
        </w:rPr>
        <w:t>Use for: AI in prospecting, systems from scratch, playbook built, failure/learning.</w:t>
      </w:r>
    </w:p>
    <w:p>
      <w:pPr>
        <w:spacing w:after="160" w:line="276" w:lineRule="auto"/>
      </w:pPr>
      <w:r>
        <w:rPr>
          <w:rFonts w:ascii="Arial" w:hAnsi="Arial"/>
          <w:i w:val="0"/>
          <w:sz w:val="22"/>
        </w:rPr>
        <w:t>One-line thesis:</w:t>
      </w:r>
    </w:p>
    <w:p>
      <w:pPr>
        <w:spacing w:after="160" w:line="276" w:lineRule="auto"/>
        <w:ind w:left="360"/>
      </w:pPr>
      <w:r>
        <w:rPr>
          <w:rFonts w:ascii="Arial" w:hAnsi="Arial"/>
          <w:i/>
          <w:sz w:val="22"/>
        </w:rPr>
        <w:t>Salescraft was where I turned manual GTM work into AI-assisted account-intelligence systems: research, enrichment, scoring, outbound, CRM hygiene, and seller handoffs.</w:t>
      </w:r>
    </w:p>
    <w:p>
      <w:pPr>
        <w:spacing w:after="160" w:line="276" w:lineRule="auto"/>
      </w:pPr>
      <w:r>
        <w:rPr>
          <w:rFonts w:ascii="Arial" w:hAnsi="Arial"/>
          <w:i w:val="0"/>
          <w:sz w:val="22"/>
        </w:rPr>
        <w:t>Metrics:</w:t>
      </w:r>
    </w:p>
    <w:p>
      <w:pPr>
        <w:pStyle w:val="ListBullet"/>
        <w:spacing w:after="80" w:line="276" w:lineRule="auto"/>
      </w:pPr>
      <w:r>
        <w:rPr>
          <w:rFonts w:ascii="Arial" w:hAnsi="Arial"/>
          <w:sz w:val="22"/>
        </w:rPr>
        <w:t>8 tech startups.</w:t>
      </w:r>
    </w:p>
    <w:p>
      <w:pPr>
        <w:pStyle w:val="ListBullet"/>
        <w:spacing w:after="80" w:line="276" w:lineRule="auto"/>
      </w:pPr>
      <w:r>
        <w:rPr>
          <w:rFonts w:ascii="Arial" w:hAnsi="Arial"/>
          <w:sz w:val="22"/>
        </w:rPr>
        <w:t>USD 1M+ client pipeline.</w:t>
      </w:r>
    </w:p>
    <w:p>
      <w:pPr>
        <w:pStyle w:val="ListBullet"/>
        <w:spacing w:after="80" w:line="276" w:lineRule="auto"/>
      </w:pPr>
      <w:r>
        <w:rPr>
          <w:rFonts w:ascii="Arial" w:hAnsi="Arial"/>
          <w:sz w:val="22"/>
        </w:rPr>
        <w:t>USD 200K revenue in 12 months.</w:t>
      </w:r>
    </w:p>
    <w:p>
      <w:pPr>
        <w:spacing w:after="160" w:line="276" w:lineRule="auto"/>
      </w:pPr>
      <w:r>
        <w:rPr>
          <w:rFonts w:ascii="Arial" w:hAnsi="Arial"/>
          <w:i w:val="0"/>
          <w:sz w:val="22"/>
        </w:rPr>
        <w:t>Lesson:</w:t>
      </w:r>
    </w:p>
    <w:p>
      <w:pPr>
        <w:spacing w:after="160" w:line="276" w:lineRule="auto"/>
      </w:pPr>
      <w:r>
        <w:rPr>
          <w:rFonts w:ascii="Arial" w:hAnsi="Arial"/>
          <w:i w:val="0"/>
          <w:sz w:val="22"/>
        </w:rPr>
        <w:t>AI should scale seller judgment, not replace it. The useful system has source evidence, routing state, confidence labels, approved messaging lanes, and human review.</w:t>
      </w:r>
    </w:p>
    <w:p>
      <w:pPr>
        <w:pStyle w:val="Heading1"/>
        <w:spacing w:before="400" w:after="120"/>
      </w:pPr>
      <w:r>
        <w:rPr>
          <w:rFonts w:ascii="Arial" w:hAnsi="Arial"/>
          <w:b w:val="0"/>
          <w:color w:val="000000"/>
          <w:sz w:val="40"/>
        </w:rPr>
        <w:t>Career Narrative</w:t>
      </w:r>
    </w:p>
    <w:p>
      <w:pPr>
        <w:pStyle w:val="Heading3"/>
        <w:spacing w:before="320" w:after="80"/>
      </w:pPr>
      <w:r>
        <w:rPr>
          <w:rFonts w:ascii="Arial" w:hAnsi="Arial"/>
          <w:b w:val="0"/>
          <w:color w:val="434343"/>
          <w:sz w:val="28"/>
        </w:rPr>
        <w:t>Timeline</w:t>
      </w:r>
    </w:p>
    <w:tbl>
      <w:tblPr>
        <w:tblStyle w:val="TableGrid"/>
        <w:tblW w:type="auto" w:w="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tcMar>
              <w:top w:w="80" w:type="dxa"/>
              <w:start w:w="120" w:type="dxa"/>
              <w:bottom w:w="80" w:type="dxa"/>
              <w:end w:w="120" w:type="dxa"/>
            </w:tcMar>
            <w:vAlign w:val="center"/>
          </w:tcPr>
          <w:p>
            <w:pPr>
              <w:spacing w:after="0"/>
            </w:pPr>
            <w:r>
              <w:rPr>
                <w:rFonts w:ascii="Arial" w:hAnsi="Arial"/>
                <w:b/>
                <w:sz w:val="21"/>
              </w:rPr>
              <w:t>Chapter</w:t>
            </w:r>
          </w:p>
        </w:tc>
        <w:tc>
          <w:tcPr>
            <w:tcW w:type="dxa" w:w="6480"/>
            <w:tcMar>
              <w:top w:w="80" w:type="dxa"/>
              <w:start w:w="120" w:type="dxa"/>
              <w:bottom w:w="80" w:type="dxa"/>
              <w:end w:w="120" w:type="dxa"/>
            </w:tcMar>
            <w:vAlign w:val="center"/>
          </w:tcPr>
          <w:p>
            <w:pPr>
              <w:spacing w:after="0"/>
            </w:pPr>
            <w:r>
              <w:rPr>
                <w:rFonts w:ascii="Arial" w:hAnsi="Arial"/>
                <w:b/>
                <w:sz w:val="21"/>
              </w:rPr>
              <w:t>What it proves</w:t>
            </w:r>
          </w:p>
        </w:tc>
      </w:tr>
      <w:tr>
        <w:tc>
          <w:tcPr>
            <w:tcW w:type="dxa" w:w="2880"/>
            <w:tcMar>
              <w:top w:w="80" w:type="dxa"/>
              <w:start w:w="120" w:type="dxa"/>
              <w:bottom w:w="80" w:type="dxa"/>
              <w:end w:w="120" w:type="dxa"/>
            </w:tcMar>
            <w:vAlign w:val="center"/>
          </w:tcPr>
          <w:p>
            <w:pPr>
              <w:spacing w:after="0"/>
            </w:pPr>
            <w:r>
              <w:rPr>
                <w:rFonts w:ascii="Arial" w:hAnsi="Arial"/>
                <w:sz w:val="21"/>
              </w:rPr>
              <w:t>Law / Cambridge</w:t>
            </w:r>
          </w:p>
        </w:tc>
        <w:tc>
          <w:tcPr>
            <w:tcW w:type="dxa" w:w="6480"/>
            <w:tcMar>
              <w:top w:w="80" w:type="dxa"/>
              <w:start w:w="120" w:type="dxa"/>
              <w:bottom w:w="80" w:type="dxa"/>
              <w:end w:w="120" w:type="dxa"/>
            </w:tcMar>
            <w:vAlign w:val="center"/>
          </w:tcPr>
          <w:p>
            <w:pPr>
              <w:spacing w:after="0"/>
            </w:pPr>
            <w:r>
              <w:rPr>
                <w:rFonts w:ascii="Arial" w:hAnsi="Arial"/>
                <w:sz w:val="21"/>
              </w:rPr>
              <w:t>Systems lens, evidence discipline, institutional thinking.</w:t>
            </w:r>
          </w:p>
        </w:tc>
      </w:tr>
      <w:tr>
        <w:tc>
          <w:tcPr>
            <w:tcW w:type="dxa" w:w="2880"/>
            <w:tcMar>
              <w:top w:w="80" w:type="dxa"/>
              <w:start w:w="120" w:type="dxa"/>
              <w:bottom w:w="80" w:type="dxa"/>
              <w:end w:w="120" w:type="dxa"/>
            </w:tcMar>
            <w:vAlign w:val="center"/>
          </w:tcPr>
          <w:p>
            <w:pPr>
              <w:spacing w:after="0"/>
            </w:pPr>
            <w:r>
              <w:rPr>
                <w:rFonts w:ascii="Arial" w:hAnsi="Arial"/>
                <w:sz w:val="21"/>
              </w:rPr>
              <w:t>Boxo</w:t>
            </w:r>
          </w:p>
        </w:tc>
        <w:tc>
          <w:tcPr>
            <w:tcW w:type="dxa" w:w="6480"/>
            <w:tcMar>
              <w:top w:w="80" w:type="dxa"/>
              <w:start w:w="120" w:type="dxa"/>
              <w:bottom w:w="80" w:type="dxa"/>
              <w:end w:w="120" w:type="dxa"/>
            </w:tcMar>
            <w:vAlign w:val="center"/>
          </w:tcPr>
          <w:p>
            <w:pPr>
              <w:spacing w:after="0"/>
            </w:pPr>
            <w:r>
              <w:rPr>
                <w:rFonts w:ascii="Arial" w:hAnsi="Arial"/>
                <w:sz w:val="21"/>
              </w:rPr>
              <w:t>Enterprise risk removal, early-market selling, platform partnerships.</w:t>
            </w:r>
          </w:p>
        </w:tc>
      </w:tr>
      <w:tr>
        <w:tc>
          <w:tcPr>
            <w:tcW w:type="dxa" w:w="2880"/>
            <w:tcMar>
              <w:top w:w="80" w:type="dxa"/>
              <w:start w:w="120" w:type="dxa"/>
              <w:bottom w:w="80" w:type="dxa"/>
              <w:end w:w="120" w:type="dxa"/>
            </w:tcMar>
            <w:vAlign w:val="center"/>
          </w:tcPr>
          <w:p>
            <w:pPr>
              <w:spacing w:after="0"/>
            </w:pPr>
            <w:r>
              <w:rPr>
                <w:rFonts w:ascii="Arial" w:hAnsi="Arial"/>
                <w:sz w:val="21"/>
              </w:rPr>
              <w:t>Airwallex</w:t>
            </w:r>
          </w:p>
        </w:tc>
        <w:tc>
          <w:tcPr>
            <w:tcW w:type="dxa" w:w="6480"/>
            <w:tcMar>
              <w:top w:w="80" w:type="dxa"/>
              <w:start w:w="120" w:type="dxa"/>
              <w:bottom w:w="80" w:type="dxa"/>
              <w:end w:w="120" w:type="dxa"/>
            </w:tcMar>
            <w:vAlign w:val="center"/>
          </w:tcPr>
          <w:p>
            <w:pPr>
              <w:spacing w:after="0"/>
            </w:pPr>
            <w:r>
              <w:rPr>
                <w:rFonts w:ascii="Arial" w:hAnsi="Arial"/>
                <w:sz w:val="21"/>
              </w:rPr>
              <w:t>Quota discipline, mature fintech GTM, outbound cadence, coaching.</w:t>
            </w:r>
          </w:p>
        </w:tc>
      </w:tr>
      <w:tr>
        <w:tc>
          <w:tcPr>
            <w:tcW w:type="dxa" w:w="2880"/>
            <w:tcMar>
              <w:top w:w="80" w:type="dxa"/>
              <w:start w:w="120" w:type="dxa"/>
              <w:bottom w:w="80" w:type="dxa"/>
              <w:end w:w="120" w:type="dxa"/>
            </w:tcMar>
            <w:vAlign w:val="center"/>
          </w:tcPr>
          <w:p>
            <w:pPr>
              <w:spacing w:after="0"/>
            </w:pPr>
            <w:r>
              <w:rPr>
                <w:rFonts w:ascii="Arial" w:hAnsi="Arial"/>
                <w:sz w:val="21"/>
              </w:rPr>
              <w:t>Salescraft</w:t>
            </w:r>
          </w:p>
        </w:tc>
        <w:tc>
          <w:tcPr>
            <w:tcW w:type="dxa" w:w="6480"/>
            <w:tcMar>
              <w:top w:w="80" w:type="dxa"/>
              <w:start w:w="120" w:type="dxa"/>
              <w:bottom w:w="80" w:type="dxa"/>
              <w:end w:w="120" w:type="dxa"/>
            </w:tcMar>
            <w:vAlign w:val="center"/>
          </w:tcPr>
          <w:p>
            <w:pPr>
              <w:spacing w:after="0"/>
            </w:pPr>
            <w:r>
              <w:rPr>
                <w:rFonts w:ascii="Arial" w:hAnsi="Arial"/>
                <w:sz w:val="21"/>
              </w:rPr>
              <w:t>AI-native account intelligence and GTM systems.</w:t>
            </w:r>
          </w:p>
        </w:tc>
      </w:tr>
      <w:tr>
        <w:tc>
          <w:tcPr>
            <w:tcW w:type="dxa" w:w="2880"/>
            <w:tcMar>
              <w:top w:w="80" w:type="dxa"/>
              <w:start w:w="120" w:type="dxa"/>
              <w:bottom w:w="80" w:type="dxa"/>
              <w:end w:w="120" w:type="dxa"/>
            </w:tcMar>
            <w:vAlign w:val="center"/>
          </w:tcPr>
          <w:p>
            <w:pPr>
              <w:spacing w:after="0"/>
            </w:pPr>
            <w:r>
              <w:rPr>
                <w:rFonts w:ascii="Arial" w:hAnsi="Arial"/>
                <w:sz w:val="21"/>
              </w:rPr>
              <w:t>GTM Workspace / AI workflow builds</w:t>
            </w:r>
          </w:p>
        </w:tc>
        <w:tc>
          <w:tcPr>
            <w:tcW w:type="dxa" w:w="6480"/>
            <w:tcMar>
              <w:top w:w="80" w:type="dxa"/>
              <w:start w:w="120" w:type="dxa"/>
              <w:bottom w:w="80" w:type="dxa"/>
              <w:end w:w="120" w:type="dxa"/>
            </w:tcMar>
            <w:vAlign w:val="center"/>
          </w:tcPr>
          <w:p>
            <w:pPr>
              <w:spacing w:after="0"/>
            </w:pPr>
            <w:r>
              <w:rPr>
                <w:rFonts w:ascii="Arial" w:hAnsi="Arial"/>
                <w:sz w:val="21"/>
              </w:rPr>
              <w:t>Source-backed, review-first AI systems and workflow design.</w:t>
            </w:r>
          </w:p>
        </w:tc>
      </w:tr>
      <w:tr>
        <w:tc>
          <w:tcPr>
            <w:tcW w:type="dxa" w:w="2880"/>
            <w:tcMar>
              <w:top w:w="80" w:type="dxa"/>
              <w:start w:w="120" w:type="dxa"/>
              <w:bottom w:w="80" w:type="dxa"/>
              <w:end w:w="120" w:type="dxa"/>
            </w:tcMar>
            <w:vAlign w:val="center"/>
          </w:tcPr>
          <w:p>
            <w:pPr>
              <w:spacing w:after="0"/>
            </w:pPr>
            <w:r>
              <w:rPr>
                <w:rFonts w:ascii="Arial" w:hAnsi="Arial"/>
                <w:sz w:val="21"/>
              </w:rPr>
              <w:t>OpenAI</w:t>
            </w:r>
          </w:p>
        </w:tc>
        <w:tc>
          <w:tcPr>
            <w:tcW w:type="dxa" w:w="6480"/>
            <w:tcMar>
              <w:top w:w="80" w:type="dxa"/>
              <w:start w:w="120" w:type="dxa"/>
              <w:bottom w:w="80" w:type="dxa"/>
              <w:end w:w="120" w:type="dxa"/>
            </w:tcMar>
            <w:vAlign w:val="center"/>
          </w:tcPr>
          <w:p>
            <w:pPr>
              <w:spacing w:after="0"/>
            </w:pPr>
            <w:r>
              <w:rPr>
                <w:rFonts w:ascii="Arial" w:hAnsi="Arial"/>
                <w:sz w:val="21"/>
              </w:rPr>
              <w:t>Apply operator-builder arc to enterprise AI GTM at the frontier.</w:t>
            </w:r>
          </w:p>
        </w:tc>
      </w:tr>
    </w:tbl>
    <w:p>
      <w:pPr>
        <w:spacing w:after="120"/>
      </w:pPr>
    </w:p>
    <w:p>
      <w:pPr>
        <w:pStyle w:val="Heading3"/>
        <w:spacing w:before="320" w:after="80"/>
      </w:pPr>
      <w:r>
        <w:rPr>
          <w:rFonts w:ascii="Arial" w:hAnsi="Arial"/>
          <w:b w:val="0"/>
          <w:color w:val="434343"/>
          <w:sz w:val="28"/>
        </w:rPr>
        <w:t>Transition Answers</w:t>
      </w:r>
    </w:p>
    <w:tbl>
      <w:tblPr>
        <w:tblStyle w:val="TableGrid"/>
        <w:tblW w:type="auto" w:w="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tcMar>
              <w:top w:w="80" w:type="dxa"/>
              <w:start w:w="120" w:type="dxa"/>
              <w:bottom w:w="80" w:type="dxa"/>
              <w:end w:w="120" w:type="dxa"/>
            </w:tcMar>
            <w:vAlign w:val="center"/>
          </w:tcPr>
          <w:p>
            <w:pPr>
              <w:spacing w:after="0"/>
            </w:pPr>
            <w:r>
              <w:rPr>
                <w:rFonts w:ascii="Arial" w:hAnsi="Arial"/>
                <w:b/>
                <w:sz w:val="21"/>
              </w:rPr>
              <w:t>Move</w:t>
            </w:r>
          </w:p>
        </w:tc>
        <w:tc>
          <w:tcPr>
            <w:tcW w:type="dxa" w:w="6480"/>
            <w:tcMar>
              <w:top w:w="80" w:type="dxa"/>
              <w:start w:w="120" w:type="dxa"/>
              <w:bottom w:w="80" w:type="dxa"/>
              <w:end w:w="120" w:type="dxa"/>
            </w:tcMar>
            <w:vAlign w:val="center"/>
          </w:tcPr>
          <w:p>
            <w:pPr>
              <w:spacing w:after="0"/>
            </w:pPr>
            <w:r>
              <w:rPr>
                <w:rFonts w:ascii="Arial" w:hAnsi="Arial"/>
                <w:b/>
                <w:sz w:val="21"/>
              </w:rPr>
              <w:t>Clean answer</w:t>
            </w:r>
          </w:p>
        </w:tc>
      </w:tr>
      <w:tr>
        <w:tc>
          <w:tcPr>
            <w:tcW w:type="dxa" w:w="2880"/>
            <w:tcMar>
              <w:top w:w="80" w:type="dxa"/>
              <w:start w:w="120" w:type="dxa"/>
              <w:bottom w:w="80" w:type="dxa"/>
              <w:end w:w="120" w:type="dxa"/>
            </w:tcMar>
            <w:vAlign w:val="center"/>
          </w:tcPr>
          <w:p>
            <w:pPr>
              <w:spacing w:after="0"/>
            </w:pPr>
            <w:r>
              <w:rPr>
                <w:rFonts w:ascii="Arial" w:hAnsi="Arial"/>
                <w:sz w:val="21"/>
              </w:rPr>
              <w:t>Law to startups</w:t>
            </w:r>
          </w:p>
        </w:tc>
        <w:tc>
          <w:tcPr>
            <w:tcW w:type="dxa" w:w="6480"/>
            <w:tcMar>
              <w:top w:w="80" w:type="dxa"/>
              <w:start w:w="120" w:type="dxa"/>
              <w:bottom w:w="80" w:type="dxa"/>
              <w:end w:w="120" w:type="dxa"/>
            </w:tcMar>
            <w:vAlign w:val="center"/>
          </w:tcPr>
          <w:p>
            <w:pPr>
              <w:spacing w:after="0"/>
            </w:pPr>
            <w:r>
              <w:rPr>
                <w:rFonts w:ascii="Arial" w:hAnsi="Arial"/>
                <w:sz w:val="21"/>
              </w:rPr>
              <w:t>Law gave me a systems and evidence lens, but I wanted to work closer to products and operating systems that change behavior.</w:t>
            </w:r>
          </w:p>
        </w:tc>
      </w:tr>
      <w:tr>
        <w:tc>
          <w:tcPr>
            <w:tcW w:type="dxa" w:w="2880"/>
            <w:tcMar>
              <w:top w:w="80" w:type="dxa"/>
              <w:start w:w="120" w:type="dxa"/>
              <w:bottom w:w="80" w:type="dxa"/>
              <w:end w:w="120" w:type="dxa"/>
            </w:tcMar>
            <w:vAlign w:val="center"/>
          </w:tcPr>
          <w:p>
            <w:pPr>
              <w:spacing w:after="0"/>
            </w:pPr>
            <w:r>
              <w:rPr>
                <w:rFonts w:ascii="Arial" w:hAnsi="Arial"/>
                <w:sz w:val="21"/>
              </w:rPr>
              <w:t>Boxo to Airwallex</w:t>
            </w:r>
          </w:p>
        </w:tc>
        <w:tc>
          <w:tcPr>
            <w:tcW w:type="dxa" w:w="6480"/>
            <w:tcMar>
              <w:top w:w="80" w:type="dxa"/>
              <w:start w:w="120" w:type="dxa"/>
              <w:bottom w:w="80" w:type="dxa"/>
              <w:end w:w="120" w:type="dxa"/>
            </w:tcMar>
            <w:vAlign w:val="center"/>
          </w:tcPr>
          <w:p>
            <w:pPr>
              <w:spacing w:after="0"/>
            </w:pPr>
            <w:r>
              <w:rPr>
                <w:rFonts w:ascii="Arial" w:hAnsi="Arial"/>
                <w:sz w:val="21"/>
              </w:rPr>
              <w:t>Boxo taught me ambiguity. Airwallex let me test the same commercial muscles in a mature, quota-driven fintech environment.</w:t>
            </w:r>
          </w:p>
        </w:tc>
      </w:tr>
      <w:tr>
        <w:tc>
          <w:tcPr>
            <w:tcW w:type="dxa" w:w="2880"/>
            <w:tcMar>
              <w:top w:w="80" w:type="dxa"/>
              <w:start w:w="120" w:type="dxa"/>
              <w:bottom w:w="80" w:type="dxa"/>
              <w:end w:w="120" w:type="dxa"/>
            </w:tcMar>
            <w:vAlign w:val="center"/>
          </w:tcPr>
          <w:p>
            <w:pPr>
              <w:spacing w:after="0"/>
            </w:pPr>
            <w:r>
              <w:rPr>
                <w:rFonts w:ascii="Arial" w:hAnsi="Arial"/>
                <w:sz w:val="21"/>
              </w:rPr>
              <w:t>Airwallex to Salescraft</w:t>
            </w:r>
          </w:p>
        </w:tc>
        <w:tc>
          <w:tcPr>
            <w:tcW w:type="dxa" w:w="6480"/>
            <w:tcMar>
              <w:top w:w="80" w:type="dxa"/>
              <w:start w:w="120" w:type="dxa"/>
              <w:bottom w:w="80" w:type="dxa"/>
              <w:end w:w="120" w:type="dxa"/>
            </w:tcMar>
            <w:vAlign w:val="center"/>
          </w:tcPr>
          <w:p>
            <w:pPr>
              <w:spacing w:after="0"/>
            </w:pPr>
            <w:r>
              <w:rPr>
                <w:rFonts w:ascii="Arial" w:hAnsi="Arial"/>
                <w:sz w:val="21"/>
              </w:rPr>
              <w:t>I had lived the manual GTM loop and saw AI could turn it into systems: research, enrichment, scoring, outbound, CRM hygiene, and handoffs.</w:t>
            </w:r>
          </w:p>
        </w:tc>
      </w:tr>
      <w:tr>
        <w:tc>
          <w:tcPr>
            <w:tcW w:type="dxa" w:w="2880"/>
            <w:tcMar>
              <w:top w:w="80" w:type="dxa"/>
              <w:start w:w="120" w:type="dxa"/>
              <w:bottom w:w="80" w:type="dxa"/>
              <w:end w:w="120" w:type="dxa"/>
            </w:tcMar>
            <w:vAlign w:val="center"/>
          </w:tcPr>
          <w:p>
            <w:pPr>
              <w:spacing w:after="0"/>
            </w:pPr>
            <w:r>
              <w:rPr>
                <w:rFonts w:ascii="Arial" w:hAnsi="Arial"/>
                <w:sz w:val="21"/>
              </w:rPr>
              <w:t>Builder path to OpenAI SDR</w:t>
            </w:r>
          </w:p>
        </w:tc>
        <w:tc>
          <w:tcPr>
            <w:tcW w:type="dxa" w:w="6480"/>
            <w:tcMar>
              <w:top w:w="80" w:type="dxa"/>
              <w:start w:w="120" w:type="dxa"/>
              <w:bottom w:w="80" w:type="dxa"/>
              <w:end w:w="120" w:type="dxa"/>
            </w:tcMar>
            <w:vAlign w:val="center"/>
          </w:tcPr>
          <w:p>
            <w:pPr>
              <w:spacing w:after="0"/>
            </w:pPr>
            <w:r>
              <w:rPr>
                <w:rFonts w:ascii="Arial" w:hAnsi="Arial"/>
                <w:sz w:val="21"/>
              </w:rPr>
              <w:t>This is not abandoning building. It is choosing the highest-quality enterprise AI learning room, close to product signal, account strategy, and frontier deployment.</w:t>
            </w:r>
          </w:p>
        </w:tc>
      </w:tr>
    </w:tbl>
    <w:p>
      <w:pPr>
        <w:spacing w:after="120"/>
      </w:pPr>
    </w:p>
    <w:p>
      <w:pPr>
        <w:pStyle w:val="Heading3"/>
        <w:spacing w:before="320" w:after="80"/>
      </w:pPr>
      <w:r>
        <w:rPr>
          <w:rFonts w:ascii="Arial" w:hAnsi="Arial"/>
          <w:b w:val="0"/>
          <w:color w:val="434343"/>
          <w:sz w:val="28"/>
        </w:rPr>
        <w:t>What Playbook Did You Build?</w:t>
      </w:r>
    </w:p>
    <w:p>
      <w:pPr>
        <w:spacing w:after="160" w:line="276" w:lineRule="auto"/>
      </w:pPr>
      <w:r>
        <w:rPr>
          <w:rFonts w:ascii="Arial" w:hAnsi="Arial"/>
          <w:i w:val="0"/>
          <w:sz w:val="22"/>
        </w:rPr>
        <w:t>The most relevant playbook is my AI-native account-intelligence and enterprise outbound playbook. The premise is that in strategic accounts, every low-context touch spends trust, so the job is to find the few accounts and people where timing, workflow pain, and proof are strongest.</w:t>
      </w:r>
    </w:p>
    <w:p>
      <w:pPr>
        <w:spacing w:after="160" w:line="276" w:lineRule="auto"/>
      </w:pPr>
      <w:r>
        <w:rPr>
          <w:rFonts w:ascii="Arial" w:hAnsi="Arial"/>
          <w:i w:val="0"/>
          <w:sz w:val="22"/>
        </w:rPr>
        <w:t>The playbook has six parts: map the TAM, build the named account list, capture evidence and signals, decide whether the signal is actually messageable, map the stakeholders and proof gaps, and route the next best action to the seller. AI helps with research, enrichment, summarization, draft angles, and CRM hygiene, but humans own the commercial judgment and final outreach.</w:t>
      </w:r>
    </w:p>
    <w:p>
      <w:pPr>
        <w:pStyle w:val="Heading3"/>
        <w:spacing w:before="320" w:after="80"/>
      </w:pPr>
      <w:r>
        <w:rPr>
          <w:rFonts w:ascii="Arial" w:hAnsi="Arial"/>
          <w:b w:val="0"/>
          <w:color w:val="434343"/>
          <w:sz w:val="28"/>
        </w:rPr>
        <w:t>What Systems Did You Build From Scratch?</w:t>
      </w:r>
    </w:p>
    <w:p>
      <w:pPr>
        <w:spacing w:after="160" w:line="276" w:lineRule="auto"/>
      </w:pPr>
      <w:r>
        <w:rPr>
          <w:rFonts w:ascii="Arial" w:hAnsi="Arial"/>
          <w:i w:val="0"/>
          <w:sz w:val="22"/>
        </w:rPr>
        <w:t>There are two categories. On the sales side, I helped build outbound and account-intelligence systems: ICP definition, account lists, signal capture, enrichment, scoring, messaging tests, CRM hygiene, and seller handoffs.</w:t>
      </w:r>
    </w:p>
    <w:p>
      <w:pPr>
        <w:spacing w:after="160" w:line="276" w:lineRule="auto"/>
      </w:pPr>
      <w:r>
        <w:rPr>
          <w:rFonts w:ascii="Arial" w:hAnsi="Arial"/>
          <w:i w:val="0"/>
          <w:sz w:val="22"/>
        </w:rPr>
        <w:t>On the AI systems side, I built workflows around official sources, current state, durable memory, automations, and human review. The common theme is that I do not think of systems as dashboards. I think of them as operating loops: source, state, action, review, and learning.</w:t>
      </w:r>
    </w:p>
    <w:p>
      <w:pPr>
        <w:pStyle w:val="Heading3"/>
        <w:spacing w:before="320" w:after="80"/>
      </w:pPr>
      <w:r>
        <w:rPr>
          <w:rFonts w:ascii="Arial" w:hAnsi="Arial"/>
          <w:b w:val="0"/>
          <w:color w:val="434343"/>
          <w:sz w:val="28"/>
        </w:rPr>
        <w:t>What Worked / What Did Not</w:t>
      </w:r>
    </w:p>
    <w:tbl>
      <w:tblPr>
        <w:tblStyle w:val="TableGrid"/>
        <w:tblW w:type="auto" w:w="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1800"/>
            <w:tcMar>
              <w:top w:w="80" w:type="dxa"/>
              <w:start w:w="120" w:type="dxa"/>
              <w:bottom w:w="80" w:type="dxa"/>
              <w:end w:w="120" w:type="dxa"/>
            </w:tcMar>
            <w:vAlign w:val="center"/>
          </w:tcPr>
          <w:p>
            <w:pPr>
              <w:spacing w:after="0"/>
            </w:pPr>
            <w:r>
              <w:rPr>
                <w:rFonts w:ascii="Arial" w:hAnsi="Arial"/>
                <w:b/>
                <w:sz w:val="20"/>
              </w:rPr>
              <w:t>Area</w:t>
            </w:r>
          </w:p>
        </w:tc>
        <w:tc>
          <w:tcPr>
            <w:tcW w:type="dxa" w:w="2520"/>
            <w:tcMar>
              <w:top w:w="80" w:type="dxa"/>
              <w:start w:w="120" w:type="dxa"/>
              <w:bottom w:w="80" w:type="dxa"/>
              <w:end w:w="120" w:type="dxa"/>
            </w:tcMar>
            <w:vAlign w:val="center"/>
          </w:tcPr>
          <w:p>
            <w:pPr>
              <w:spacing w:after="0"/>
            </w:pPr>
            <w:r>
              <w:rPr>
                <w:rFonts w:ascii="Arial" w:hAnsi="Arial"/>
                <w:b/>
                <w:sz w:val="20"/>
              </w:rPr>
              <w:t>What worked</w:t>
            </w:r>
          </w:p>
        </w:tc>
        <w:tc>
          <w:tcPr>
            <w:tcW w:type="dxa" w:w="2592"/>
            <w:tcMar>
              <w:top w:w="80" w:type="dxa"/>
              <w:start w:w="120" w:type="dxa"/>
              <w:bottom w:w="80" w:type="dxa"/>
              <w:end w:w="120" w:type="dxa"/>
            </w:tcMar>
            <w:vAlign w:val="center"/>
          </w:tcPr>
          <w:p>
            <w:pPr>
              <w:spacing w:after="0"/>
            </w:pPr>
            <w:r>
              <w:rPr>
                <w:rFonts w:ascii="Arial" w:hAnsi="Arial"/>
                <w:b/>
                <w:sz w:val="20"/>
              </w:rPr>
              <w:t>What did not</w:t>
            </w:r>
          </w:p>
        </w:tc>
        <w:tc>
          <w:tcPr>
            <w:tcW w:type="dxa" w:w="2448"/>
            <w:tcMar>
              <w:top w:w="80" w:type="dxa"/>
              <w:start w:w="120" w:type="dxa"/>
              <w:bottom w:w="80" w:type="dxa"/>
              <w:end w:w="120" w:type="dxa"/>
            </w:tcMar>
            <w:vAlign w:val="center"/>
          </w:tcPr>
          <w:p>
            <w:pPr>
              <w:spacing w:after="0"/>
            </w:pPr>
            <w:r>
              <w:rPr>
                <w:rFonts w:ascii="Arial" w:hAnsi="Arial"/>
                <w:b/>
                <w:sz w:val="20"/>
              </w:rPr>
              <w:t>What changed</w:t>
            </w:r>
          </w:p>
        </w:tc>
      </w:tr>
      <w:tr>
        <w:tc>
          <w:tcPr>
            <w:tcW w:type="dxa" w:w="1800"/>
            <w:tcMar>
              <w:top w:w="80" w:type="dxa"/>
              <w:start w:w="120" w:type="dxa"/>
              <w:bottom w:w="80" w:type="dxa"/>
              <w:end w:w="120" w:type="dxa"/>
            </w:tcMar>
            <w:vAlign w:val="center"/>
          </w:tcPr>
          <w:p>
            <w:pPr>
              <w:spacing w:after="0"/>
            </w:pPr>
            <w:r>
              <w:rPr>
                <w:rFonts w:ascii="Arial" w:hAnsi="Arial"/>
                <w:sz w:val="20"/>
              </w:rPr>
              <w:t>Enterprise selling</w:t>
            </w:r>
          </w:p>
        </w:tc>
        <w:tc>
          <w:tcPr>
            <w:tcW w:type="dxa" w:w="2520"/>
            <w:tcMar>
              <w:top w:w="80" w:type="dxa"/>
              <w:start w:w="120" w:type="dxa"/>
              <w:bottom w:w="80" w:type="dxa"/>
              <w:end w:w="120" w:type="dxa"/>
            </w:tcMar>
            <w:vAlign w:val="center"/>
          </w:tcPr>
          <w:p>
            <w:pPr>
              <w:spacing w:after="0"/>
            </w:pPr>
            <w:r>
              <w:rPr>
                <w:rFonts w:ascii="Arial" w:hAnsi="Arial"/>
                <w:sz w:val="20"/>
              </w:rPr>
              <w:t>Mapping stakeholders and risk owners explicitly.</w:t>
            </w:r>
          </w:p>
        </w:tc>
        <w:tc>
          <w:tcPr>
            <w:tcW w:type="dxa" w:w="2592"/>
            <w:tcMar>
              <w:top w:w="80" w:type="dxa"/>
              <w:start w:w="120" w:type="dxa"/>
              <w:bottom w:w="80" w:type="dxa"/>
              <w:end w:w="120" w:type="dxa"/>
            </w:tcMar>
            <w:vAlign w:val="center"/>
          </w:tcPr>
          <w:p>
            <w:pPr>
              <w:spacing w:after="0"/>
            </w:pPr>
            <w:r>
              <w:rPr>
                <w:rFonts w:ascii="Arial" w:hAnsi="Arial"/>
                <w:sz w:val="20"/>
              </w:rPr>
              <w:t>Treating objections as persuasion problems.</w:t>
            </w:r>
          </w:p>
        </w:tc>
        <w:tc>
          <w:tcPr>
            <w:tcW w:type="dxa" w:w="2448"/>
            <w:tcMar>
              <w:top w:w="80" w:type="dxa"/>
              <w:start w:w="120" w:type="dxa"/>
              <w:bottom w:w="80" w:type="dxa"/>
              <w:end w:w="120" w:type="dxa"/>
            </w:tcMar>
            <w:vAlign w:val="center"/>
          </w:tcPr>
          <w:p>
            <w:pPr>
              <w:spacing w:after="0"/>
            </w:pPr>
            <w:r>
              <w:rPr>
                <w:rFonts w:ascii="Arial" w:hAnsi="Arial"/>
                <w:sz w:val="20"/>
              </w:rPr>
              <w:t>Treat objections as the actual work to solve.</w:t>
            </w:r>
          </w:p>
        </w:tc>
      </w:tr>
      <w:tr>
        <w:tc>
          <w:tcPr>
            <w:tcW w:type="dxa" w:w="1800"/>
            <w:tcMar>
              <w:top w:w="80" w:type="dxa"/>
              <w:start w:w="120" w:type="dxa"/>
              <w:bottom w:w="80" w:type="dxa"/>
              <w:end w:w="120" w:type="dxa"/>
            </w:tcMar>
            <w:vAlign w:val="center"/>
          </w:tcPr>
          <w:p>
            <w:pPr>
              <w:spacing w:after="0"/>
            </w:pPr>
            <w:r>
              <w:rPr>
                <w:rFonts w:ascii="Arial" w:hAnsi="Arial"/>
                <w:sz w:val="20"/>
              </w:rPr>
              <w:t>Outbound</w:t>
            </w:r>
          </w:p>
        </w:tc>
        <w:tc>
          <w:tcPr>
            <w:tcW w:type="dxa" w:w="2520"/>
            <w:tcMar>
              <w:top w:w="80" w:type="dxa"/>
              <w:start w:w="120" w:type="dxa"/>
              <w:bottom w:w="80" w:type="dxa"/>
              <w:end w:w="120" w:type="dxa"/>
            </w:tcMar>
            <w:vAlign w:val="center"/>
          </w:tcPr>
          <w:p>
            <w:pPr>
              <w:spacing w:after="0"/>
            </w:pPr>
            <w:r>
              <w:rPr>
                <w:rFonts w:ascii="Arial" w:hAnsi="Arial"/>
                <w:sz w:val="20"/>
              </w:rPr>
              <w:t>Source-backed, timing-led outreach.</w:t>
            </w:r>
          </w:p>
        </w:tc>
        <w:tc>
          <w:tcPr>
            <w:tcW w:type="dxa" w:w="2592"/>
            <w:tcMar>
              <w:top w:w="80" w:type="dxa"/>
              <w:start w:w="120" w:type="dxa"/>
              <w:bottom w:w="80" w:type="dxa"/>
              <w:end w:w="120" w:type="dxa"/>
            </w:tcMar>
            <w:vAlign w:val="center"/>
          </w:tcPr>
          <w:p>
            <w:pPr>
              <w:spacing w:after="0"/>
            </w:pPr>
            <w:r>
              <w:rPr>
                <w:rFonts w:ascii="Arial" w:hAnsi="Arial"/>
                <w:sz w:val="20"/>
              </w:rPr>
              <w:t>Generic AI-generated personalization.</w:t>
            </w:r>
          </w:p>
        </w:tc>
        <w:tc>
          <w:tcPr>
            <w:tcW w:type="dxa" w:w="2448"/>
            <w:tcMar>
              <w:top w:w="80" w:type="dxa"/>
              <w:start w:w="120" w:type="dxa"/>
              <w:bottom w:w="80" w:type="dxa"/>
              <w:end w:w="120" w:type="dxa"/>
            </w:tcMar>
            <w:vAlign w:val="center"/>
          </w:tcPr>
          <w:p>
            <w:pPr>
              <w:spacing w:after="0"/>
            </w:pPr>
            <w:r>
              <w:rPr>
                <w:rFonts w:ascii="Arial" w:hAnsi="Arial"/>
                <w:sz w:val="20"/>
              </w:rPr>
              <w:t>Fix the ICP, premise, and signal routing before writing copy.</w:t>
            </w:r>
          </w:p>
        </w:tc>
      </w:tr>
      <w:tr>
        <w:tc>
          <w:tcPr>
            <w:tcW w:type="dxa" w:w="1800"/>
            <w:tcMar>
              <w:top w:w="80" w:type="dxa"/>
              <w:start w:w="120" w:type="dxa"/>
              <w:bottom w:w="80" w:type="dxa"/>
              <w:end w:w="120" w:type="dxa"/>
            </w:tcMar>
            <w:vAlign w:val="center"/>
          </w:tcPr>
          <w:p>
            <w:pPr>
              <w:spacing w:after="0"/>
            </w:pPr>
            <w:r>
              <w:rPr>
                <w:rFonts w:ascii="Arial" w:hAnsi="Arial"/>
                <w:sz w:val="20"/>
              </w:rPr>
              <w:t>AI GTM</w:t>
            </w:r>
          </w:p>
        </w:tc>
        <w:tc>
          <w:tcPr>
            <w:tcW w:type="dxa" w:w="2520"/>
            <w:tcMar>
              <w:top w:w="80" w:type="dxa"/>
              <w:start w:w="120" w:type="dxa"/>
              <w:bottom w:w="80" w:type="dxa"/>
              <w:end w:w="120" w:type="dxa"/>
            </w:tcMar>
            <w:vAlign w:val="center"/>
          </w:tcPr>
          <w:p>
            <w:pPr>
              <w:spacing w:after="0"/>
            </w:pPr>
            <w:r>
              <w:rPr>
                <w:rFonts w:ascii="Arial" w:hAnsi="Arial"/>
                <w:sz w:val="20"/>
              </w:rPr>
              <w:t>Evidence labels, messageability thresholds, and human review.</w:t>
            </w:r>
          </w:p>
        </w:tc>
        <w:tc>
          <w:tcPr>
            <w:tcW w:type="dxa" w:w="2592"/>
            <w:tcMar>
              <w:top w:w="80" w:type="dxa"/>
              <w:start w:w="120" w:type="dxa"/>
              <w:bottom w:w="80" w:type="dxa"/>
              <w:end w:w="120" w:type="dxa"/>
            </w:tcMar>
            <w:vAlign w:val="center"/>
          </w:tcPr>
          <w:p>
            <w:pPr>
              <w:spacing w:after="0"/>
            </w:pPr>
            <w:r>
              <w:rPr>
                <w:rFonts w:ascii="Arial" w:hAnsi="Arial"/>
                <w:sz w:val="20"/>
              </w:rPr>
              <w:t>Trusting generic databases or black-box scores.</w:t>
            </w:r>
          </w:p>
        </w:tc>
        <w:tc>
          <w:tcPr>
            <w:tcW w:type="dxa" w:w="2448"/>
            <w:tcMar>
              <w:top w:w="80" w:type="dxa"/>
              <w:start w:w="120" w:type="dxa"/>
              <w:bottom w:w="80" w:type="dxa"/>
              <w:end w:w="120" w:type="dxa"/>
            </w:tcMar>
            <w:vAlign w:val="center"/>
          </w:tcPr>
          <w:p>
            <w:pPr>
              <w:spacing w:after="0"/>
            </w:pPr>
            <w:r>
              <w:rPr>
                <w:rFonts w:ascii="Arial" w:hAnsi="Arial"/>
                <w:sz w:val="20"/>
              </w:rPr>
              <w:t>Use source URLs, QA, confidence labels, and seller review.</w:t>
            </w:r>
          </w:p>
        </w:tc>
      </w:tr>
      <w:tr>
        <w:tc>
          <w:tcPr>
            <w:tcW w:type="dxa" w:w="1800"/>
            <w:tcMar>
              <w:top w:w="80" w:type="dxa"/>
              <w:start w:w="120" w:type="dxa"/>
              <w:bottom w:w="80" w:type="dxa"/>
              <w:end w:w="120" w:type="dxa"/>
            </w:tcMar>
            <w:vAlign w:val="center"/>
          </w:tcPr>
          <w:p>
            <w:pPr>
              <w:spacing w:after="0"/>
            </w:pPr>
            <w:r>
              <w:rPr>
                <w:rFonts w:ascii="Arial" w:hAnsi="Arial"/>
                <w:sz w:val="20"/>
              </w:rPr>
              <w:t>AI products</w:t>
            </w:r>
          </w:p>
        </w:tc>
        <w:tc>
          <w:tcPr>
            <w:tcW w:type="dxa" w:w="2520"/>
            <w:tcMar>
              <w:top w:w="80" w:type="dxa"/>
              <w:start w:w="120" w:type="dxa"/>
              <w:bottom w:w="80" w:type="dxa"/>
              <w:end w:w="120" w:type="dxa"/>
            </w:tcMar>
            <w:vAlign w:val="center"/>
          </w:tcPr>
          <w:p>
            <w:pPr>
              <w:spacing w:after="0"/>
            </w:pPr>
            <w:r>
              <w:rPr>
                <w:rFonts w:ascii="Arial" w:hAnsi="Arial"/>
                <w:sz w:val="20"/>
              </w:rPr>
              <w:t>Human review and schemas.</w:t>
            </w:r>
          </w:p>
        </w:tc>
        <w:tc>
          <w:tcPr>
            <w:tcW w:type="dxa" w:w="2592"/>
            <w:tcMar>
              <w:top w:w="80" w:type="dxa"/>
              <w:start w:w="120" w:type="dxa"/>
              <w:bottom w:w="80" w:type="dxa"/>
              <w:end w:w="120" w:type="dxa"/>
            </w:tcMar>
            <w:vAlign w:val="center"/>
          </w:tcPr>
          <w:p>
            <w:pPr>
              <w:spacing w:after="0"/>
            </w:pPr>
            <w:r>
              <w:rPr>
                <w:rFonts w:ascii="Arial" w:hAnsi="Arial"/>
                <w:sz w:val="20"/>
              </w:rPr>
              <w:t>Letting the model own too much ambiguity.</w:t>
            </w:r>
          </w:p>
        </w:tc>
        <w:tc>
          <w:tcPr>
            <w:tcW w:type="dxa" w:w="2448"/>
            <w:tcMar>
              <w:top w:w="80" w:type="dxa"/>
              <w:start w:w="120" w:type="dxa"/>
              <w:bottom w:w="80" w:type="dxa"/>
              <w:end w:w="120" w:type="dxa"/>
            </w:tcMar>
            <w:vAlign w:val="center"/>
          </w:tcPr>
          <w:p>
            <w:pPr>
              <w:spacing w:after="0"/>
            </w:pPr>
            <w:r>
              <w:rPr>
                <w:rFonts w:ascii="Arial" w:hAnsi="Arial"/>
                <w:sz w:val="20"/>
              </w:rPr>
              <w:t>Map workflow, edge cases, and trust boundaries before automating.</w:t>
            </w:r>
          </w:p>
        </w:tc>
      </w:tr>
    </w:tbl>
    <w:p>
      <w:pPr>
        <w:spacing w:after="120"/>
      </w:pPr>
    </w:p>
    <w:p>
      <w:pPr>
        <w:pStyle w:val="Heading3"/>
        <w:spacing w:before="320" w:after="80"/>
      </w:pPr>
      <w:r>
        <w:rPr>
          <w:rFonts w:ascii="Arial" w:hAnsi="Arial"/>
          <w:b w:val="0"/>
          <w:color w:val="434343"/>
          <w:sz w:val="28"/>
        </w:rPr>
        <w:t>What Do You Still Need To Learn?</w:t>
      </w:r>
    </w:p>
    <w:p>
      <w:pPr>
        <w:spacing w:after="160" w:line="276" w:lineRule="auto"/>
      </w:pPr>
      <w:r>
        <w:rPr>
          <w:rFonts w:ascii="Arial" w:hAnsi="Arial"/>
          <w:i w:val="0"/>
          <w:sz w:val="22"/>
        </w:rPr>
        <w:t>OpenAI's internal enterprise motion: how the best ADs define high-conviction opportunities, where deals stall, how product signal turns into durable deployment, and how technical, governance, and executive stakeholders are sequenced in the best accounts.</w:t>
      </w:r>
    </w:p>
    <w:p>
      <w:pPr>
        <w:pStyle w:val="Heading1"/>
        <w:spacing w:before="400" w:after="120"/>
      </w:pPr>
      <w:r>
        <w:rPr>
          <w:rFonts w:ascii="Arial" w:hAnsi="Arial"/>
          <w:b w:val="0"/>
          <w:color w:val="000000"/>
          <w:sz w:val="40"/>
        </w:rPr>
        <w:t>Behavioral Stories</w:t>
      </w:r>
    </w:p>
    <w:p>
      <w:pPr>
        <w:pStyle w:val="Heading3"/>
        <w:spacing w:before="320" w:after="80"/>
      </w:pPr>
      <w:r>
        <w:rPr>
          <w:rFonts w:ascii="Arial" w:hAnsi="Arial"/>
          <w:b w:val="0"/>
          <w:color w:val="434343"/>
          <w:sz w:val="28"/>
        </w:rPr>
        <w:t>Rapport / Trust</w:t>
      </w:r>
    </w:p>
    <w:p>
      <w:pPr>
        <w:spacing w:after="160" w:line="276" w:lineRule="auto"/>
      </w:pPr>
      <w:r>
        <w:rPr>
          <w:rFonts w:ascii="Arial" w:hAnsi="Arial"/>
          <w:i w:val="0"/>
          <w:sz w:val="22"/>
        </w:rPr>
        <w:t>Use the Boxo enterprise fintech sale.</w:t>
      </w:r>
    </w:p>
    <w:p>
      <w:pPr>
        <w:spacing w:after="160" w:line="276" w:lineRule="auto"/>
      </w:pPr>
      <w:r>
        <w:rPr>
          <w:rFonts w:ascii="Arial" w:hAnsi="Arial"/>
          <w:i w:val="0"/>
          <w:sz w:val="22"/>
        </w:rPr>
        <w:t>The rapport story is really a trust story. We were a young vendor selling to a serious fintech buyer. I had to show the executive sponsor that the business case was real, show the product leader that the experience could work, and make engineering feel their concerns were being handled rather than dismissed.</w:t>
      </w:r>
    </w:p>
    <w:p>
      <w:pPr>
        <w:spacing w:after="160" w:line="276" w:lineRule="auto"/>
      </w:pPr>
      <w:r>
        <w:rPr>
          <w:rFonts w:ascii="Arial" w:hAnsi="Arial"/>
          <w:i w:val="0"/>
          <w:sz w:val="22"/>
        </w:rPr>
        <w:t>The trust-building move was to get specific. I worked through objections, brought technical concerns back to our product team, and avoided pretending we were more mature than we were. That created enough trust for the buyer to underwrite the risk.</w:t>
      </w:r>
    </w:p>
    <w:p>
      <w:pPr>
        <w:pStyle w:val="Heading3"/>
        <w:spacing w:before="320" w:after="80"/>
      </w:pPr>
      <w:r>
        <w:rPr>
          <w:rFonts w:ascii="Arial" w:hAnsi="Arial"/>
          <w:b w:val="0"/>
          <w:color w:val="434343"/>
          <w:sz w:val="28"/>
        </w:rPr>
        <w:t>Failure / Miss</w:t>
      </w:r>
    </w:p>
    <w:p>
      <w:pPr>
        <w:spacing w:after="160" w:line="276" w:lineRule="auto"/>
      </w:pPr>
      <w:r>
        <w:rPr>
          <w:rFonts w:ascii="Arial" w:hAnsi="Arial"/>
          <w:i w:val="0"/>
          <w:sz w:val="22"/>
        </w:rPr>
        <w:t>Use Salescraft campaign learning.</w:t>
      </w:r>
    </w:p>
    <w:p>
      <w:pPr>
        <w:spacing w:after="160" w:line="276" w:lineRule="auto"/>
      </w:pPr>
      <w:r>
        <w:rPr>
          <w:rFonts w:ascii="Arial" w:hAnsi="Arial"/>
          <w:i w:val="0"/>
          <w:sz w:val="22"/>
        </w:rPr>
        <w:t>Early on, it was tempting to treat AI prospecting as a copywriting problem: better personalization, more messages, more automation. What I learned is that if the list, signal, offer, or timing is wrong, AI just makes the wrong motion faster.</w:t>
      </w:r>
    </w:p>
    <w:p>
      <w:pPr>
        <w:spacing w:after="160" w:line="276" w:lineRule="auto"/>
      </w:pPr>
      <w:r>
        <w:rPr>
          <w:rFonts w:ascii="Arial" w:hAnsi="Arial"/>
          <w:i w:val="0"/>
          <w:sz w:val="22"/>
        </w:rPr>
        <w:t>What changed afterward was my operating model. I started separating signal from scoring, requiring source evidence and confidence labels, routing weak signals to nurture instead of outbound, and diagnosing whether a miss came from list, offer, copy, deliverability, or timing before changing the message.</w:t>
      </w:r>
    </w:p>
    <w:p>
      <w:pPr>
        <w:pStyle w:val="Heading3"/>
        <w:spacing w:before="320" w:after="80"/>
      </w:pPr>
      <w:r>
        <w:rPr>
          <w:rFonts w:ascii="Arial" w:hAnsi="Arial"/>
          <w:b w:val="0"/>
          <w:color w:val="434343"/>
          <w:sz w:val="28"/>
        </w:rPr>
        <w:t>Ambiguity</w:t>
      </w:r>
    </w:p>
    <w:p>
      <w:pPr>
        <w:spacing w:after="160" w:line="276" w:lineRule="auto"/>
      </w:pPr>
      <w:r>
        <w:rPr>
          <w:rFonts w:ascii="Arial" w:hAnsi="Arial"/>
          <w:i w:val="0"/>
          <w:sz w:val="22"/>
        </w:rPr>
        <w:t>Use Boxo or early AI workflow builds.</w:t>
      </w:r>
    </w:p>
    <w:p>
      <w:pPr>
        <w:spacing w:after="160" w:line="276" w:lineRule="auto"/>
      </w:pPr>
      <w:r>
        <w:rPr>
          <w:rFonts w:ascii="Arial" w:hAnsi="Arial"/>
          <w:i w:val="0"/>
          <w:sz w:val="22"/>
        </w:rPr>
        <w:t>My default in ambiguity is to define the smallest useful system: what outcome matters, who owns it, what evidence exists, what is unknown, what next step creates learning, and what risk needs to be removed before we scale.</w:t>
      </w:r>
    </w:p>
    <w:p>
      <w:pPr>
        <w:pStyle w:val="Heading3"/>
        <w:spacing w:before="320" w:after="80"/>
      </w:pPr>
      <w:r>
        <w:rPr>
          <w:rFonts w:ascii="Arial" w:hAnsi="Arial"/>
          <w:b w:val="0"/>
          <w:color w:val="434343"/>
          <w:sz w:val="28"/>
        </w:rPr>
        <w:t>Speed And Quality</w:t>
      </w:r>
    </w:p>
    <w:p>
      <w:pPr>
        <w:spacing w:after="160" w:line="276" w:lineRule="auto"/>
      </w:pPr>
      <w:r>
        <w:rPr>
          <w:rFonts w:ascii="Arial" w:hAnsi="Arial"/>
          <w:i w:val="0"/>
          <w:sz w:val="22"/>
        </w:rPr>
        <w:t>I move fast on reversible work and slow down on external, legal, pricing, compliance, or customer-impacting work. In AI workflows, that means drafts and research can move quickly, but customer-facing messages, claims, pricing, and sensitive actions need review.</w:t>
      </w:r>
    </w:p>
    <w:p>
      <w:pPr>
        <w:pStyle w:val="Heading1"/>
        <w:spacing w:before="400" w:after="120"/>
      </w:pPr>
      <w:r>
        <w:rPr>
          <w:rFonts w:ascii="Arial" w:hAnsi="Arial"/>
          <w:b w:val="0"/>
          <w:color w:val="000000"/>
          <w:sz w:val="40"/>
        </w:rPr>
        <w:t>Loom / Case Study Prep</w:t>
      </w:r>
    </w:p>
    <w:p>
      <w:pPr>
        <w:spacing w:after="160" w:line="276" w:lineRule="auto"/>
      </w:pPr>
      <w:r>
        <w:rPr>
          <w:rFonts w:ascii="Arial" w:hAnsi="Arial"/>
          <w:i w:val="0"/>
          <w:sz w:val="22"/>
        </w:rPr>
        <w:t>Use this structure if assigned a strategic-customer project.</w:t>
      </w:r>
    </w:p>
    <w:p>
      <w:pPr>
        <w:pStyle w:val="Heading3"/>
        <w:spacing w:before="320" w:after="80"/>
      </w:pPr>
      <w:r>
        <w:rPr>
          <w:rFonts w:ascii="Arial" w:hAnsi="Arial"/>
          <w:b w:val="0"/>
          <w:color w:val="434343"/>
          <w:sz w:val="28"/>
        </w:rPr>
        <w:t>7-Minute Structure</w:t>
      </w:r>
    </w:p>
    <w:tbl>
      <w:tblPr>
        <w:tblStyle w:val="TableGrid"/>
        <w:tblW w:type="auto" w:w="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tcMar>
              <w:top w:w="80" w:type="dxa"/>
              <w:start w:w="120" w:type="dxa"/>
              <w:bottom w:w="80" w:type="dxa"/>
              <w:end w:w="120" w:type="dxa"/>
            </w:tcMar>
            <w:vAlign w:val="center"/>
          </w:tcPr>
          <w:p>
            <w:pPr>
              <w:spacing w:after="0"/>
            </w:pPr>
            <w:r>
              <w:rPr>
                <w:rFonts w:ascii="Arial" w:hAnsi="Arial"/>
                <w:b/>
                <w:sz w:val="21"/>
              </w:rPr>
              <w:t>Segment</w:t>
            </w:r>
          </w:p>
        </w:tc>
        <w:tc>
          <w:tcPr>
            <w:tcW w:type="dxa" w:w="6480"/>
            <w:tcMar>
              <w:top w:w="80" w:type="dxa"/>
              <w:start w:w="120" w:type="dxa"/>
              <w:bottom w:w="80" w:type="dxa"/>
              <w:end w:w="120" w:type="dxa"/>
            </w:tcMar>
            <w:vAlign w:val="center"/>
          </w:tcPr>
          <w:p>
            <w:pPr>
              <w:spacing w:after="0"/>
            </w:pPr>
            <w:r>
              <w:rPr>
                <w:rFonts w:ascii="Arial" w:hAnsi="Arial"/>
                <w:b/>
                <w:sz w:val="21"/>
              </w:rPr>
              <w:t>Time</w:t>
            </w:r>
          </w:p>
        </w:tc>
      </w:tr>
      <w:tr>
        <w:tc>
          <w:tcPr>
            <w:tcW w:type="dxa" w:w="2880"/>
            <w:tcMar>
              <w:top w:w="80" w:type="dxa"/>
              <w:start w:w="120" w:type="dxa"/>
              <w:bottom w:w="80" w:type="dxa"/>
              <w:end w:w="120" w:type="dxa"/>
            </w:tcMar>
            <w:vAlign w:val="center"/>
          </w:tcPr>
          <w:p>
            <w:pPr>
              <w:spacing w:after="0"/>
            </w:pPr>
            <w:r>
              <w:rPr>
                <w:rFonts w:ascii="Arial" w:hAnsi="Arial"/>
                <w:sz w:val="21"/>
              </w:rPr>
              <w:t>Why me / why OpenAI</w:t>
            </w:r>
          </w:p>
        </w:tc>
        <w:tc>
          <w:tcPr>
            <w:tcW w:type="dxa" w:w="6480"/>
            <w:tcMar>
              <w:top w:w="80" w:type="dxa"/>
              <w:start w:w="120" w:type="dxa"/>
              <w:bottom w:w="80" w:type="dxa"/>
              <w:end w:w="120" w:type="dxa"/>
            </w:tcMar>
            <w:vAlign w:val="center"/>
          </w:tcPr>
          <w:p>
            <w:pPr>
              <w:spacing w:after="0"/>
            </w:pPr>
            <w:r>
              <w:rPr>
                <w:rFonts w:ascii="Arial" w:hAnsi="Arial"/>
                <w:sz w:val="21"/>
              </w:rPr>
              <w:t>1:00-1:30</w:t>
            </w:r>
          </w:p>
        </w:tc>
      </w:tr>
      <w:tr>
        <w:tc>
          <w:tcPr>
            <w:tcW w:type="dxa" w:w="2880"/>
            <w:tcMar>
              <w:top w:w="80" w:type="dxa"/>
              <w:start w:w="120" w:type="dxa"/>
              <w:bottom w:w="80" w:type="dxa"/>
              <w:end w:w="120" w:type="dxa"/>
            </w:tcMar>
            <w:vAlign w:val="center"/>
          </w:tcPr>
          <w:p>
            <w:pPr>
              <w:spacing w:after="0"/>
            </w:pPr>
            <w:r>
              <w:rPr>
                <w:rFonts w:ascii="Arial" w:hAnsi="Arial"/>
                <w:sz w:val="21"/>
              </w:rPr>
              <w:t>Account point of view</w:t>
            </w:r>
          </w:p>
        </w:tc>
        <w:tc>
          <w:tcPr>
            <w:tcW w:type="dxa" w:w="6480"/>
            <w:tcMar>
              <w:top w:w="80" w:type="dxa"/>
              <w:start w:w="120" w:type="dxa"/>
              <w:bottom w:w="80" w:type="dxa"/>
              <w:end w:w="120" w:type="dxa"/>
            </w:tcMar>
            <w:vAlign w:val="center"/>
          </w:tcPr>
          <w:p>
            <w:pPr>
              <w:spacing w:after="0"/>
            </w:pPr>
            <w:r>
              <w:rPr>
                <w:rFonts w:ascii="Arial" w:hAnsi="Arial"/>
                <w:sz w:val="21"/>
              </w:rPr>
              <w:t>1:00</w:t>
            </w:r>
          </w:p>
        </w:tc>
      </w:tr>
      <w:tr>
        <w:tc>
          <w:tcPr>
            <w:tcW w:type="dxa" w:w="2880"/>
            <w:tcMar>
              <w:top w:w="80" w:type="dxa"/>
              <w:start w:w="120" w:type="dxa"/>
              <w:bottom w:w="80" w:type="dxa"/>
              <w:end w:w="120" w:type="dxa"/>
            </w:tcMar>
            <w:vAlign w:val="center"/>
          </w:tcPr>
          <w:p>
            <w:pPr>
              <w:spacing w:after="0"/>
            </w:pPr>
            <w:r>
              <w:rPr>
                <w:rFonts w:ascii="Arial" w:hAnsi="Arial"/>
                <w:sz w:val="21"/>
              </w:rPr>
              <w:t>One high-impact use case</w:t>
            </w:r>
          </w:p>
        </w:tc>
        <w:tc>
          <w:tcPr>
            <w:tcW w:type="dxa" w:w="6480"/>
            <w:tcMar>
              <w:top w:w="80" w:type="dxa"/>
              <w:start w:w="120" w:type="dxa"/>
              <w:bottom w:w="80" w:type="dxa"/>
              <w:end w:w="120" w:type="dxa"/>
            </w:tcMar>
            <w:vAlign w:val="center"/>
          </w:tcPr>
          <w:p>
            <w:pPr>
              <w:spacing w:after="0"/>
            </w:pPr>
            <w:r>
              <w:rPr>
                <w:rFonts w:ascii="Arial" w:hAnsi="Arial"/>
                <w:sz w:val="21"/>
              </w:rPr>
              <w:t>1:30</w:t>
            </w:r>
          </w:p>
        </w:tc>
      </w:tr>
      <w:tr>
        <w:tc>
          <w:tcPr>
            <w:tcW w:type="dxa" w:w="2880"/>
            <w:tcMar>
              <w:top w:w="80" w:type="dxa"/>
              <w:start w:w="120" w:type="dxa"/>
              <w:bottom w:w="80" w:type="dxa"/>
              <w:end w:w="120" w:type="dxa"/>
            </w:tcMar>
            <w:vAlign w:val="center"/>
          </w:tcPr>
          <w:p>
            <w:pPr>
              <w:spacing w:after="0"/>
            </w:pPr>
            <w:r>
              <w:rPr>
                <w:rFonts w:ascii="Arial" w:hAnsi="Arial"/>
                <w:sz w:val="21"/>
              </w:rPr>
              <w:t>How it could work technically</w:t>
            </w:r>
          </w:p>
        </w:tc>
        <w:tc>
          <w:tcPr>
            <w:tcW w:type="dxa" w:w="6480"/>
            <w:tcMar>
              <w:top w:w="80" w:type="dxa"/>
              <w:start w:w="120" w:type="dxa"/>
              <w:bottom w:w="80" w:type="dxa"/>
              <w:end w:w="120" w:type="dxa"/>
            </w:tcMar>
            <w:vAlign w:val="center"/>
          </w:tcPr>
          <w:p>
            <w:pPr>
              <w:spacing w:after="0"/>
            </w:pPr>
            <w:r>
              <w:rPr>
                <w:rFonts w:ascii="Arial" w:hAnsi="Arial"/>
                <w:sz w:val="21"/>
              </w:rPr>
              <w:t>1:00</w:t>
            </w:r>
          </w:p>
        </w:tc>
      </w:tr>
      <w:tr>
        <w:tc>
          <w:tcPr>
            <w:tcW w:type="dxa" w:w="2880"/>
            <w:tcMar>
              <w:top w:w="80" w:type="dxa"/>
              <w:start w:w="120" w:type="dxa"/>
              <w:bottom w:w="80" w:type="dxa"/>
              <w:end w:w="120" w:type="dxa"/>
            </w:tcMar>
            <w:vAlign w:val="center"/>
          </w:tcPr>
          <w:p>
            <w:pPr>
              <w:spacing w:after="0"/>
            </w:pPr>
            <w:r>
              <w:rPr>
                <w:rFonts w:ascii="Arial" w:hAnsi="Arial"/>
                <w:sz w:val="21"/>
              </w:rPr>
              <w:t>30-day engagement plan</w:t>
            </w:r>
          </w:p>
        </w:tc>
        <w:tc>
          <w:tcPr>
            <w:tcW w:type="dxa" w:w="6480"/>
            <w:tcMar>
              <w:top w:w="80" w:type="dxa"/>
              <w:start w:w="120" w:type="dxa"/>
              <w:bottom w:w="80" w:type="dxa"/>
              <w:end w:w="120" w:type="dxa"/>
            </w:tcMar>
            <w:vAlign w:val="center"/>
          </w:tcPr>
          <w:p>
            <w:pPr>
              <w:spacing w:after="0"/>
            </w:pPr>
            <w:r>
              <w:rPr>
                <w:rFonts w:ascii="Arial" w:hAnsi="Arial"/>
                <w:sz w:val="21"/>
              </w:rPr>
              <w:t>1:00</w:t>
            </w:r>
          </w:p>
        </w:tc>
      </w:tr>
      <w:tr>
        <w:tc>
          <w:tcPr>
            <w:tcW w:type="dxa" w:w="2880"/>
            <w:tcMar>
              <w:top w:w="80" w:type="dxa"/>
              <w:start w:w="120" w:type="dxa"/>
              <w:bottom w:w="80" w:type="dxa"/>
              <w:end w:w="120" w:type="dxa"/>
            </w:tcMar>
            <w:vAlign w:val="center"/>
          </w:tcPr>
          <w:p>
            <w:pPr>
              <w:spacing w:after="0"/>
            </w:pPr>
            <w:r>
              <w:rPr>
                <w:rFonts w:ascii="Arial" w:hAnsi="Arial"/>
                <w:sz w:val="21"/>
              </w:rPr>
              <w:t>Outbound message and standout close</w:t>
            </w:r>
          </w:p>
        </w:tc>
        <w:tc>
          <w:tcPr>
            <w:tcW w:type="dxa" w:w="6480"/>
            <w:tcMar>
              <w:top w:w="80" w:type="dxa"/>
              <w:start w:w="120" w:type="dxa"/>
              <w:bottom w:w="80" w:type="dxa"/>
              <w:end w:w="120" w:type="dxa"/>
            </w:tcMar>
            <w:vAlign w:val="center"/>
          </w:tcPr>
          <w:p>
            <w:pPr>
              <w:spacing w:after="0"/>
            </w:pPr>
            <w:r>
              <w:rPr>
                <w:rFonts w:ascii="Arial" w:hAnsi="Arial"/>
                <w:sz w:val="21"/>
              </w:rPr>
              <w:t>1:00</w:t>
            </w:r>
          </w:p>
        </w:tc>
      </w:tr>
    </w:tbl>
    <w:p>
      <w:pPr>
        <w:spacing w:after="120"/>
      </w:pPr>
    </w:p>
    <w:p>
      <w:pPr>
        <w:pStyle w:val="Heading3"/>
        <w:spacing w:before="320" w:after="80"/>
      </w:pPr>
      <w:r>
        <w:rPr>
          <w:rFonts w:ascii="Arial" w:hAnsi="Arial"/>
          <w:b w:val="0"/>
          <w:color w:val="434343"/>
          <w:sz w:val="28"/>
        </w:rPr>
        <w:t>Case Answer Spine</w:t>
      </w:r>
    </w:p>
    <w:p>
      <w:pPr>
        <w:numPr>
          <w:ilvl w:val="0"/>
          <w:numId w:val="14"/>
        </w:numPr>
        <w:spacing w:after="80" w:line="276" w:lineRule="auto"/>
      </w:pPr>
      <w:r>
        <w:rPr>
          <w:rFonts w:ascii="Arial" w:hAnsi="Arial"/>
          <w:sz w:val="22"/>
        </w:rPr>
        <w:t>Account strategy: why this company, why now, what business priority matters.</w:t>
      </w:r>
    </w:p>
    <w:p>
      <w:pPr>
        <w:numPr>
          <w:ilvl w:val="0"/>
          <w:numId w:val="14"/>
        </w:numPr>
        <w:spacing w:after="80" w:line="276" w:lineRule="auto"/>
      </w:pPr>
      <w:r>
        <w:rPr>
          <w:rFonts w:ascii="Arial" w:hAnsi="Arial"/>
          <w:sz w:val="22"/>
        </w:rPr>
        <w:t>One use case: specific workflow, target user, pain, measurable value.</w:t>
      </w:r>
    </w:p>
    <w:p>
      <w:pPr>
        <w:numPr>
          <w:ilvl w:val="0"/>
          <w:numId w:val="14"/>
        </w:numPr>
        <w:spacing w:after="80" w:line="276" w:lineRule="auto"/>
      </w:pPr>
      <w:r>
        <w:rPr>
          <w:rFonts w:ascii="Arial" w:hAnsi="Arial"/>
          <w:sz w:val="22"/>
        </w:rPr>
        <w:t>Technical plausibility: channels, agent/workflow layer, tools/actions, customer systems, OpenAI surface, permissions, audit trail, human escalation.</w:t>
      </w:r>
    </w:p>
    <w:p>
      <w:pPr>
        <w:numPr>
          <w:ilvl w:val="0"/>
          <w:numId w:val="14"/>
        </w:numPr>
        <w:spacing w:after="80" w:line="276" w:lineRule="auto"/>
      </w:pPr>
      <w:r>
        <w:rPr>
          <w:rFonts w:ascii="Arial" w:hAnsi="Arial"/>
          <w:sz w:val="22"/>
        </w:rPr>
        <w:t>Commercial plan: first champion, economic buyer, technical/governance validator, executive path.</w:t>
      </w:r>
    </w:p>
    <w:p>
      <w:pPr>
        <w:numPr>
          <w:ilvl w:val="0"/>
          <w:numId w:val="14"/>
        </w:numPr>
        <w:spacing w:after="80" w:line="276" w:lineRule="auto"/>
      </w:pPr>
      <w:r>
        <w:rPr>
          <w:rFonts w:ascii="Arial" w:hAnsi="Arial"/>
          <w:sz w:val="22"/>
        </w:rPr>
        <w:t>Outbound: short, specific, tied to account evidence.</w:t>
      </w:r>
    </w:p>
    <w:p>
      <w:pPr>
        <w:numPr>
          <w:ilvl w:val="0"/>
          <w:numId w:val="14"/>
        </w:numPr>
        <w:spacing w:after="80" w:line="276" w:lineRule="auto"/>
      </w:pPr>
      <w:r>
        <w:rPr>
          <w:rFonts w:ascii="Arial" w:hAnsi="Arial"/>
          <w:sz w:val="22"/>
        </w:rPr>
        <w:t>Risk: integration, data/security/privacy, adoption, accountability, incumbent vendors.</w:t>
      </w:r>
    </w:p>
    <w:p>
      <w:pPr>
        <w:numPr>
          <w:ilvl w:val="0"/>
          <w:numId w:val="14"/>
        </w:numPr>
        <w:spacing w:after="80" w:line="276" w:lineRule="auto"/>
      </w:pPr>
      <w:r>
        <w:rPr>
          <w:rFonts w:ascii="Arial" w:hAnsi="Arial"/>
          <w:sz w:val="22"/>
        </w:rPr>
        <w:t>Why OpenAI: product breadth, quality, developer surface, enterprise controls, evals, and ability to scale from workflow wedge.</w:t>
      </w:r>
    </w:p>
    <w:p>
      <w:pPr>
        <w:pStyle w:val="Heading3"/>
        <w:spacing w:before="320" w:after="80"/>
      </w:pPr>
      <w:r>
        <w:rPr>
          <w:rFonts w:ascii="Arial" w:hAnsi="Arial"/>
          <w:b w:val="0"/>
          <w:color w:val="434343"/>
          <w:sz w:val="28"/>
        </w:rPr>
        <w:t>30-Day Engagement Plan</w:t>
      </w:r>
    </w:p>
    <w:tbl>
      <w:tblPr>
        <w:tblStyle w:val="TableGrid"/>
        <w:tblW w:type="auto" w:w="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tcMar>
              <w:top w:w="80" w:type="dxa"/>
              <w:start w:w="120" w:type="dxa"/>
              <w:bottom w:w="80" w:type="dxa"/>
              <w:end w:w="120" w:type="dxa"/>
            </w:tcMar>
            <w:vAlign w:val="center"/>
          </w:tcPr>
          <w:p>
            <w:pPr>
              <w:spacing w:after="0"/>
            </w:pPr>
            <w:r>
              <w:rPr>
                <w:rFonts w:ascii="Arial" w:hAnsi="Arial"/>
                <w:b/>
                <w:sz w:val="21"/>
              </w:rPr>
              <w:t>Week</w:t>
            </w:r>
          </w:p>
        </w:tc>
        <w:tc>
          <w:tcPr>
            <w:tcW w:type="dxa" w:w="6480"/>
            <w:tcMar>
              <w:top w:w="80" w:type="dxa"/>
              <w:start w:w="120" w:type="dxa"/>
              <w:bottom w:w="80" w:type="dxa"/>
              <w:end w:w="120" w:type="dxa"/>
            </w:tcMar>
            <w:vAlign w:val="center"/>
          </w:tcPr>
          <w:p>
            <w:pPr>
              <w:spacing w:after="0"/>
            </w:pPr>
            <w:r>
              <w:rPr>
                <w:rFonts w:ascii="Arial" w:hAnsi="Arial"/>
                <w:b/>
                <w:sz w:val="21"/>
              </w:rPr>
              <w:t>Goal</w:t>
            </w:r>
          </w:p>
        </w:tc>
      </w:tr>
      <w:tr>
        <w:tc>
          <w:tcPr>
            <w:tcW w:type="dxa" w:w="2880"/>
            <w:tcMar>
              <w:top w:w="80" w:type="dxa"/>
              <w:start w:w="120" w:type="dxa"/>
              <w:bottom w:w="80" w:type="dxa"/>
              <w:end w:w="120" w:type="dxa"/>
            </w:tcMar>
            <w:vAlign w:val="center"/>
          </w:tcPr>
          <w:p>
            <w:pPr>
              <w:spacing w:after="0"/>
            </w:pPr>
            <w:r>
              <w:rPr>
                <w:rFonts w:ascii="Arial" w:hAnsi="Arial"/>
                <w:sz w:val="21"/>
              </w:rPr>
              <w:t>1</w:t>
            </w:r>
          </w:p>
        </w:tc>
        <w:tc>
          <w:tcPr>
            <w:tcW w:type="dxa" w:w="6480"/>
            <w:tcMar>
              <w:top w:w="80" w:type="dxa"/>
              <w:start w:w="120" w:type="dxa"/>
              <w:bottom w:w="80" w:type="dxa"/>
              <w:end w:w="120" w:type="dxa"/>
            </w:tcMar>
            <w:vAlign w:val="center"/>
          </w:tcPr>
          <w:p>
            <w:pPr>
              <w:spacing w:after="0"/>
            </w:pPr>
            <w:r>
              <w:rPr>
                <w:rFonts w:ascii="Arial" w:hAnsi="Arial"/>
                <w:sz w:val="21"/>
              </w:rPr>
              <w:t>Validate account hypothesis with first champion and current AI/workflow priorities.</w:t>
            </w:r>
          </w:p>
        </w:tc>
      </w:tr>
      <w:tr>
        <w:tc>
          <w:tcPr>
            <w:tcW w:type="dxa" w:w="2880"/>
            <w:tcMar>
              <w:top w:w="80" w:type="dxa"/>
              <w:start w:w="120" w:type="dxa"/>
              <w:bottom w:w="80" w:type="dxa"/>
              <w:end w:w="120" w:type="dxa"/>
            </w:tcMar>
            <w:vAlign w:val="center"/>
          </w:tcPr>
          <w:p>
            <w:pPr>
              <w:spacing w:after="0"/>
            </w:pPr>
            <w:r>
              <w:rPr>
                <w:rFonts w:ascii="Arial" w:hAnsi="Arial"/>
                <w:sz w:val="21"/>
              </w:rPr>
              <w:t>2</w:t>
            </w:r>
          </w:p>
        </w:tc>
        <w:tc>
          <w:tcPr>
            <w:tcW w:type="dxa" w:w="6480"/>
            <w:tcMar>
              <w:top w:w="80" w:type="dxa"/>
              <w:start w:w="120" w:type="dxa"/>
              <w:bottom w:w="80" w:type="dxa"/>
              <w:end w:w="120" w:type="dxa"/>
            </w:tcMar>
            <w:vAlign w:val="center"/>
          </w:tcPr>
          <w:p>
            <w:pPr>
              <w:spacing w:after="0"/>
            </w:pPr>
            <w:r>
              <w:rPr>
                <w:rFonts w:ascii="Arial" w:hAnsi="Arial"/>
                <w:sz w:val="21"/>
              </w:rPr>
              <w:t>Map economic buyer, technical/security validator, governance owner, and business owner.</w:t>
            </w:r>
          </w:p>
        </w:tc>
      </w:tr>
      <w:tr>
        <w:tc>
          <w:tcPr>
            <w:tcW w:type="dxa" w:w="2880"/>
            <w:tcMar>
              <w:top w:w="80" w:type="dxa"/>
              <w:start w:w="120" w:type="dxa"/>
              <w:bottom w:w="80" w:type="dxa"/>
              <w:end w:w="120" w:type="dxa"/>
            </w:tcMar>
            <w:vAlign w:val="center"/>
          </w:tcPr>
          <w:p>
            <w:pPr>
              <w:spacing w:after="0"/>
            </w:pPr>
            <w:r>
              <w:rPr>
                <w:rFonts w:ascii="Arial" w:hAnsi="Arial"/>
                <w:sz w:val="21"/>
              </w:rPr>
              <w:t>3</w:t>
            </w:r>
          </w:p>
        </w:tc>
        <w:tc>
          <w:tcPr>
            <w:tcW w:type="dxa" w:w="6480"/>
            <w:tcMar>
              <w:top w:w="80" w:type="dxa"/>
              <w:start w:w="120" w:type="dxa"/>
              <w:bottom w:w="80" w:type="dxa"/>
              <w:end w:w="120" w:type="dxa"/>
            </w:tcMar>
            <w:vAlign w:val="center"/>
          </w:tcPr>
          <w:p>
            <w:pPr>
              <w:spacing w:after="0"/>
            </w:pPr>
            <w:r>
              <w:rPr>
                <w:rFonts w:ascii="Arial" w:hAnsi="Arial"/>
                <w:sz w:val="21"/>
              </w:rPr>
              <w:t>Run workflow discovery around current process, data sources, risks, success metric, and pilot scope.</w:t>
            </w:r>
          </w:p>
        </w:tc>
      </w:tr>
      <w:tr>
        <w:tc>
          <w:tcPr>
            <w:tcW w:type="dxa" w:w="2880"/>
            <w:tcMar>
              <w:top w:w="80" w:type="dxa"/>
              <w:start w:w="120" w:type="dxa"/>
              <w:bottom w:w="80" w:type="dxa"/>
              <w:end w:w="120" w:type="dxa"/>
            </w:tcMar>
            <w:vAlign w:val="center"/>
          </w:tcPr>
          <w:p>
            <w:pPr>
              <w:spacing w:after="0"/>
            </w:pPr>
            <w:r>
              <w:rPr>
                <w:rFonts w:ascii="Arial" w:hAnsi="Arial"/>
                <w:sz w:val="21"/>
              </w:rPr>
              <w:t>4</w:t>
            </w:r>
          </w:p>
        </w:tc>
        <w:tc>
          <w:tcPr>
            <w:tcW w:type="dxa" w:w="6480"/>
            <w:tcMar>
              <w:top w:w="80" w:type="dxa"/>
              <w:start w:w="120" w:type="dxa"/>
              <w:bottom w:w="80" w:type="dxa"/>
              <w:end w:w="120" w:type="dxa"/>
            </w:tcMar>
            <w:vAlign w:val="center"/>
          </w:tcPr>
          <w:p>
            <w:pPr>
              <w:spacing w:after="0"/>
            </w:pPr>
            <w:r>
              <w:rPr>
                <w:rFonts w:ascii="Arial" w:hAnsi="Arial"/>
                <w:sz w:val="21"/>
              </w:rPr>
              <w:t>Package a sharp AD handoff: business problem, stakeholder map, pilot use case, risks, proof gaps, next meeting.</w:t>
            </w:r>
          </w:p>
        </w:tc>
      </w:tr>
    </w:tbl>
    <w:p>
      <w:pPr>
        <w:spacing w:after="120"/>
      </w:pPr>
    </w:p>
    <w:p>
      <w:pPr>
        <w:pStyle w:val="Heading3"/>
        <w:spacing w:before="320" w:after="80"/>
      </w:pPr>
      <w:r>
        <w:rPr>
          <w:rFonts w:ascii="Arial" w:hAnsi="Arial"/>
          <w:b w:val="0"/>
          <w:color w:val="434343"/>
          <w:sz w:val="28"/>
        </w:rPr>
        <w:t>Outbound Message Template</w:t>
      </w:r>
    </w:p>
    <w:p>
      <w:pPr>
        <w:spacing w:after="160" w:line="276" w:lineRule="auto"/>
      </w:pPr>
      <w:r>
        <w:rPr>
          <w:rFonts w:ascii="Arial" w:hAnsi="Arial"/>
          <w:i w:val="0"/>
          <w:sz w:val="22"/>
        </w:rPr>
        <w:t>Subject: AI workflow idea for [business priority]</w:t>
      </w:r>
    </w:p>
    <w:p>
      <w:pPr>
        <w:spacing w:after="160" w:line="276" w:lineRule="auto"/>
      </w:pPr>
      <w:r>
        <w:rPr>
          <w:rFonts w:ascii="Arial" w:hAnsi="Arial"/>
          <w:i w:val="0"/>
          <w:sz w:val="22"/>
        </w:rPr>
        <w:t>Hi [Name], I noticed [current company signal]. It made me wonder whether your team is already looking at how AI could improve [specific workflow] without creating a governance headache.</w:t>
      </w:r>
    </w:p>
    <w:p>
      <w:pPr>
        <w:spacing w:after="160" w:line="276" w:lineRule="auto"/>
      </w:pPr>
      <w:r>
        <w:rPr>
          <w:rFonts w:ascii="Arial" w:hAnsi="Arial"/>
          <w:i w:val="0"/>
          <w:sz w:val="22"/>
        </w:rPr>
        <w:t>One practical starting point could be [specific use case], where the goal is [business metric] while keeping [risk/control] explicit.</w:t>
      </w:r>
    </w:p>
    <w:p>
      <w:pPr>
        <w:spacing w:after="160" w:line="276" w:lineRule="auto"/>
      </w:pPr>
      <w:r>
        <w:rPr>
          <w:rFonts w:ascii="Arial" w:hAnsi="Arial"/>
          <w:i w:val="0"/>
          <w:sz w:val="22"/>
        </w:rPr>
        <w:t>Worth a short conversation on whether this is a live priority for [team/company]?</w:t>
      </w:r>
    </w:p>
    <w:p>
      <w:pPr>
        <w:spacing w:after="160" w:line="276" w:lineRule="auto"/>
      </w:pPr>
      <w:r>
        <w:rPr>
          <w:rFonts w:ascii="Arial" w:hAnsi="Arial"/>
          <w:i w:val="0"/>
          <w:sz w:val="22"/>
        </w:rPr>
        <w:t>Best,</w:t>
      </w:r>
    </w:p>
    <w:p>
      <w:pPr>
        <w:spacing w:after="160" w:line="276" w:lineRule="auto"/>
      </w:pPr>
      <w:r>
        <w:rPr>
          <w:rFonts w:ascii="Arial" w:hAnsi="Arial"/>
          <w:i w:val="0"/>
          <w:sz w:val="22"/>
        </w:rPr>
        <w:t>Seth</w:t>
      </w:r>
    </w:p>
    <w:p>
      <w:pPr>
        <w:pStyle w:val="Heading1"/>
        <w:spacing w:before="400" w:after="120"/>
      </w:pPr>
      <w:r>
        <w:rPr>
          <w:rFonts w:ascii="Arial" w:hAnsi="Arial"/>
          <w:b w:val="0"/>
          <w:color w:val="000000"/>
          <w:sz w:val="40"/>
        </w:rPr>
        <w:t>Questions To Ask</w:t>
      </w:r>
    </w:p>
    <w:p>
      <w:pPr>
        <w:pStyle w:val="Heading3"/>
        <w:spacing w:before="320" w:after="80"/>
      </w:pPr>
      <w:r>
        <w:rPr>
          <w:rFonts w:ascii="Arial" w:hAnsi="Arial"/>
          <w:b w:val="0"/>
          <w:color w:val="434343"/>
          <w:sz w:val="28"/>
        </w:rPr>
        <w:t>Recruiter / HR</w:t>
      </w:r>
    </w:p>
    <w:p>
      <w:pPr>
        <w:pStyle w:val="ListBullet"/>
        <w:spacing w:after="80" w:line="276" w:lineRule="auto"/>
      </w:pPr>
      <w:r>
        <w:rPr>
          <w:rFonts w:ascii="Arial" w:hAnsi="Arial"/>
          <w:sz w:val="22"/>
        </w:rPr>
        <w:t>What does great performance in this role look like in the first 90 days?</w:t>
      </w:r>
    </w:p>
    <w:p>
      <w:pPr>
        <w:pStyle w:val="ListBullet"/>
        <w:spacing w:after="80" w:line="276" w:lineRule="auto"/>
      </w:pPr>
      <w:r>
        <w:rPr>
          <w:rFonts w:ascii="Arial" w:hAnsi="Arial"/>
          <w:sz w:val="22"/>
        </w:rPr>
        <w:t>Which parts of the role are most important early: account strategy, discovery quality, outbound quality, product fluency, or AD partnership?</w:t>
      </w:r>
    </w:p>
    <w:p>
      <w:pPr>
        <w:pStyle w:val="ListBullet"/>
        <w:spacing w:after="80" w:line="276" w:lineRule="auto"/>
      </w:pPr>
      <w:r>
        <w:rPr>
          <w:rFonts w:ascii="Arial" w:hAnsi="Arial"/>
          <w:sz w:val="22"/>
        </w:rPr>
        <w:t>Are there any specific areas you would recommend I prepare more deeply for the next round?</w:t>
      </w:r>
    </w:p>
    <w:p>
      <w:pPr>
        <w:pStyle w:val="Heading3"/>
        <w:spacing w:before="320" w:after="80"/>
      </w:pPr>
      <w:r>
        <w:rPr>
          <w:rFonts w:ascii="Arial" w:hAnsi="Arial"/>
          <w:b w:val="0"/>
          <w:color w:val="434343"/>
          <w:sz w:val="28"/>
        </w:rPr>
        <w:t>SDR Manager</w:t>
      </w:r>
    </w:p>
    <w:p>
      <w:pPr>
        <w:pStyle w:val="ListBullet"/>
        <w:spacing w:after="80" w:line="276" w:lineRule="auto"/>
      </w:pPr>
      <w:r>
        <w:rPr>
          <w:rFonts w:ascii="Arial" w:hAnsi="Arial"/>
          <w:sz w:val="22"/>
        </w:rPr>
        <w:t>What separates a strong Strategic BDR here from someone who is just good at activity volume?</w:t>
      </w:r>
    </w:p>
    <w:p>
      <w:pPr>
        <w:pStyle w:val="ListBullet"/>
        <w:spacing w:after="80" w:line="276" w:lineRule="auto"/>
      </w:pPr>
      <w:r>
        <w:rPr>
          <w:rFonts w:ascii="Arial" w:hAnsi="Arial"/>
          <w:sz w:val="22"/>
        </w:rPr>
        <w:t>Where do the best BDRs add the most value to Account Directors?</w:t>
      </w:r>
    </w:p>
    <w:p>
      <w:pPr>
        <w:pStyle w:val="ListBullet"/>
        <w:spacing w:after="80" w:line="276" w:lineRule="auto"/>
      </w:pPr>
      <w:r>
        <w:rPr>
          <w:rFonts w:ascii="Arial" w:hAnsi="Arial"/>
          <w:sz w:val="22"/>
        </w:rPr>
        <w:t>Which customer signals usually turn into the highest-quality opportunities?</w:t>
      </w:r>
    </w:p>
    <w:p>
      <w:pPr>
        <w:pStyle w:val="Heading3"/>
        <w:spacing w:before="320" w:after="80"/>
      </w:pPr>
      <w:r>
        <w:rPr>
          <w:rFonts w:ascii="Arial" w:hAnsi="Arial"/>
          <w:b w:val="0"/>
          <w:color w:val="434343"/>
          <w:sz w:val="28"/>
        </w:rPr>
        <w:t>AE / Commercial</w:t>
      </w:r>
    </w:p>
    <w:p>
      <w:pPr>
        <w:pStyle w:val="ListBullet"/>
        <w:spacing w:after="80" w:line="276" w:lineRule="auto"/>
      </w:pPr>
      <w:r>
        <w:rPr>
          <w:rFonts w:ascii="Arial" w:hAnsi="Arial"/>
          <w:sz w:val="22"/>
        </w:rPr>
        <w:t>What makes a BDR handoff genuinely useful to you?</w:t>
      </w:r>
    </w:p>
    <w:p>
      <w:pPr>
        <w:pStyle w:val="ListBullet"/>
        <w:spacing w:after="80" w:line="276" w:lineRule="auto"/>
      </w:pPr>
      <w:r>
        <w:rPr>
          <w:rFonts w:ascii="Arial" w:hAnsi="Arial"/>
          <w:sz w:val="22"/>
        </w:rPr>
        <w:t>Where do early OpenAI enterprise opportunities most often stall?</w:t>
      </w:r>
    </w:p>
    <w:p>
      <w:pPr>
        <w:pStyle w:val="ListBullet"/>
        <w:spacing w:after="80" w:line="276" w:lineRule="auto"/>
      </w:pPr>
      <w:r>
        <w:rPr>
          <w:rFonts w:ascii="Arial" w:hAnsi="Arial"/>
          <w:sz w:val="22"/>
        </w:rPr>
        <w:t>What customer questions separate casual AI curiosity from real buying intent?</w:t>
      </w:r>
    </w:p>
    <w:p>
      <w:pPr>
        <w:pStyle w:val="Heading3"/>
        <w:spacing w:before="320" w:after="80"/>
      </w:pPr>
      <w:r>
        <w:rPr>
          <w:rFonts w:ascii="Arial" w:hAnsi="Arial"/>
          <w:b w:val="0"/>
          <w:color w:val="434343"/>
          <w:sz w:val="28"/>
        </w:rPr>
        <w:t>Product / Technical</w:t>
      </w:r>
    </w:p>
    <w:p>
      <w:pPr>
        <w:pStyle w:val="ListBullet"/>
        <w:spacing w:after="80" w:line="276" w:lineRule="auto"/>
      </w:pPr>
      <w:r>
        <w:rPr>
          <w:rFonts w:ascii="Arial" w:hAnsi="Arial"/>
          <w:sz w:val="22"/>
        </w:rPr>
        <w:t>What level of product fluency do you expect from the best BDRs?</w:t>
      </w:r>
    </w:p>
    <w:p>
      <w:pPr>
        <w:pStyle w:val="ListBullet"/>
        <w:spacing w:after="80" w:line="276" w:lineRule="auto"/>
      </w:pPr>
      <w:r>
        <w:rPr>
          <w:rFonts w:ascii="Arial" w:hAnsi="Arial"/>
          <w:sz w:val="22"/>
        </w:rPr>
        <w:t>Where do non-technical sellers usually overstate or misunderstand OpenAI's product surface?</w:t>
      </w:r>
    </w:p>
    <w:p>
      <w:pPr>
        <w:pStyle w:val="ListBullet"/>
        <w:spacing w:after="80" w:line="276" w:lineRule="auto"/>
      </w:pPr>
      <w:r>
        <w:rPr>
          <w:rFonts w:ascii="Arial" w:hAnsi="Arial"/>
          <w:sz w:val="22"/>
        </w:rPr>
        <w:t>What customer governance questions should a BDR qualify before bringing in deeper technical resources?</w:t>
      </w:r>
    </w:p>
    <w:p>
      <w:pPr>
        <w:pStyle w:val="Heading3"/>
        <w:spacing w:before="320" w:after="80"/>
      </w:pPr>
      <w:r>
        <w:rPr>
          <w:rFonts w:ascii="Arial" w:hAnsi="Arial"/>
          <w:b w:val="0"/>
          <w:color w:val="434343"/>
          <w:sz w:val="28"/>
        </w:rPr>
        <w:t>Final Round</w:t>
      </w:r>
    </w:p>
    <w:p>
      <w:pPr>
        <w:pStyle w:val="ListBullet"/>
        <w:spacing w:after="80" w:line="276" w:lineRule="auto"/>
      </w:pPr>
      <w:r>
        <w:rPr>
          <w:rFonts w:ascii="Arial" w:hAnsi="Arial"/>
          <w:sz w:val="22"/>
        </w:rPr>
        <w:t>What behaviors separate future OpenAI enterprise sellers from people who are just good at activity volume?</w:t>
      </w:r>
    </w:p>
    <w:p>
      <w:pPr>
        <w:pStyle w:val="ListBullet"/>
        <w:spacing w:after="80" w:line="276" w:lineRule="auto"/>
      </w:pPr>
      <w:r>
        <w:rPr>
          <w:rFonts w:ascii="Arial" w:hAnsi="Arial"/>
          <w:sz w:val="22"/>
        </w:rPr>
        <w:t>What would you want this cohort to standardize in the first six months?</w:t>
      </w:r>
    </w:p>
    <w:p>
      <w:pPr>
        <w:pStyle w:val="ListBullet"/>
        <w:spacing w:after="80" w:line="276" w:lineRule="auto"/>
      </w:pPr>
      <w:r>
        <w:rPr>
          <w:rFonts w:ascii="Arial" w:hAnsi="Arial"/>
          <w:sz w:val="22"/>
        </w:rPr>
        <w:t>Where have strong candidates underestimated the role?</w:t>
      </w:r>
    </w:p>
    <w:p>
      <w:pPr>
        <w:pStyle w:val="Heading1"/>
        <w:spacing w:before="400" w:after="120"/>
      </w:pPr>
      <w:r>
        <w:rPr>
          <w:rFonts w:ascii="Arial" w:hAnsi="Arial"/>
          <w:b w:val="0"/>
          <w:color w:val="000000"/>
          <w:sz w:val="40"/>
        </w:rPr>
        <w:t>Final Rehearsal Checklist</w:t>
      </w:r>
    </w:p>
    <w:p>
      <w:pPr>
        <w:pStyle w:val="ListBullet"/>
        <w:spacing w:after="80" w:line="276" w:lineRule="auto"/>
      </w:pPr>
      <w:r>
        <w:rPr>
          <w:rFonts w:ascii="Arial" w:hAnsi="Arial"/>
          <w:sz w:val="22"/>
        </w:rPr>
        <w:t>[ ] Long-form sales story is natural when spoken aloud.</w:t>
      </w:r>
    </w:p>
    <w:p>
      <w:pPr>
        <w:pStyle w:val="ListBullet"/>
        <w:spacing w:after="80" w:line="276" w:lineRule="auto"/>
      </w:pPr>
      <w:r>
        <w:rPr>
          <w:rFonts w:ascii="Arial" w:hAnsi="Arial"/>
          <w:sz w:val="22"/>
        </w:rPr>
        <w:t>[ ] Same story can be shortened live without switching scripts.</w:t>
      </w:r>
    </w:p>
    <w:p>
      <w:pPr>
        <w:pStyle w:val="ListBullet"/>
        <w:spacing w:after="80" w:line="276" w:lineRule="auto"/>
      </w:pPr>
      <w:r>
        <w:rPr>
          <w:rFonts w:ascii="Arial" w:hAnsi="Arial"/>
          <w:sz w:val="22"/>
        </w:rPr>
        <w:t>[ ] Why OpenAI does not sound like brand worship.</w:t>
      </w:r>
    </w:p>
    <w:p>
      <w:pPr>
        <w:pStyle w:val="ListBullet"/>
        <w:spacing w:after="80" w:line="276" w:lineRule="auto"/>
      </w:pPr>
      <w:r>
        <w:rPr>
          <w:rFonts w:ascii="Arial" w:hAnsi="Arial"/>
          <w:sz w:val="22"/>
        </w:rPr>
        <w:t>[ ] Why SDR sounds deliberate, humble, and high-conviction.</w:t>
      </w:r>
    </w:p>
    <w:p>
      <w:pPr>
        <w:pStyle w:val="ListBullet"/>
        <w:spacing w:after="80" w:line="276" w:lineRule="auto"/>
      </w:pPr>
      <w:r>
        <w:rPr>
          <w:rFonts w:ascii="Arial" w:hAnsi="Arial"/>
          <w:sz w:val="22"/>
        </w:rPr>
        <w:t>[ ] RAG answer is clear in 30 seconds.</w:t>
      </w:r>
    </w:p>
    <w:p>
      <w:pPr>
        <w:pStyle w:val="ListBullet"/>
        <w:spacing w:after="80" w:line="276" w:lineRule="auto"/>
      </w:pPr>
      <w:r>
        <w:rPr>
          <w:rFonts w:ascii="Arial" w:hAnsi="Arial"/>
          <w:sz w:val="22"/>
        </w:rPr>
        <w:t>[ ] Hallucination answer defines unsupported output, then explains reliability design and containment.</w:t>
      </w:r>
    </w:p>
    <w:p>
      <w:pPr>
        <w:pStyle w:val="ListBullet"/>
        <w:spacing w:after="80" w:line="276" w:lineRule="auto"/>
      </w:pPr>
      <w:r>
        <w:rPr>
          <w:rFonts w:ascii="Arial" w:hAnsi="Arial"/>
          <w:sz w:val="22"/>
        </w:rPr>
        <w:t>[ ] Copilot and Anthropic answers are respectful and land-and-expand.</w:t>
      </w:r>
    </w:p>
    <w:p>
      <w:pPr>
        <w:pStyle w:val="ListBullet"/>
        <w:spacing w:after="80" w:line="276" w:lineRule="auto"/>
      </w:pPr>
      <w:r>
        <w:rPr>
          <w:rFonts w:ascii="Arial" w:hAnsi="Arial"/>
          <w:sz w:val="22"/>
        </w:rPr>
        <w:t>[ ] Boxo deal card is under 3 minutes.</w:t>
      </w:r>
    </w:p>
    <w:p>
      <w:pPr>
        <w:pStyle w:val="ListBullet"/>
        <w:spacing w:after="80" w:line="276" w:lineRule="auto"/>
      </w:pPr>
      <w:r>
        <w:rPr>
          <w:rFonts w:ascii="Arial" w:hAnsi="Arial"/>
          <w:sz w:val="22"/>
        </w:rPr>
        <w:t>[ ] Airwallex metrics are clean and exact enough.</w:t>
      </w:r>
    </w:p>
    <w:p>
      <w:pPr>
        <w:pStyle w:val="ListBullet"/>
        <w:spacing w:after="80" w:line="276" w:lineRule="auto"/>
      </w:pPr>
      <w:r>
        <w:rPr>
          <w:rFonts w:ascii="Arial" w:hAnsi="Arial"/>
          <w:sz w:val="22"/>
        </w:rPr>
        <w:t>[ ] Salescraft AI GTM proof is concrete.</w:t>
      </w:r>
    </w:p>
    <w:p>
      <w:pPr>
        <w:pStyle w:val="ListBullet"/>
        <w:spacing w:after="80" w:line="276" w:lineRule="auto"/>
      </w:pPr>
      <w:r>
        <w:rPr>
          <w:rFonts w:ascii="Arial" w:hAnsi="Arial"/>
          <w:sz w:val="22"/>
        </w:rPr>
        <w:t>[ ] Prospecting motion is signal-led, not volume-led.</w:t>
      </w:r>
    </w:p>
    <w:p>
      <w:pPr>
        <w:pStyle w:val="ListBullet"/>
        <w:spacing w:after="80" w:line="276" w:lineRule="auto"/>
      </w:pPr>
      <w:r>
        <w:rPr>
          <w:rFonts w:ascii="Arial" w:hAnsi="Arial"/>
          <w:sz w:val="22"/>
        </w:rPr>
        <w:t>[ ] APAC answer avoids treating the region as one market.</w:t>
      </w:r>
    </w:p>
    <w:p>
      <w:pPr>
        <w:pStyle w:val="ListBullet"/>
        <w:spacing w:after="80" w:line="276" w:lineRule="auto"/>
      </w:pPr>
      <w:r>
        <w:rPr>
          <w:rFonts w:ascii="Arial" w:hAnsi="Arial"/>
          <w:sz w:val="22"/>
        </w:rPr>
        <w:t>[ ] Case-study skeleton can be delivered in 7 minutes.</w:t>
      </w:r>
    </w:p>
    <w:p>
      <w:pPr>
        <w:pStyle w:val="ListBullet"/>
        <w:spacing w:after="80" w:line="276" w:lineRule="auto"/>
      </w:pPr>
      <w:r>
        <w:rPr>
          <w:rFonts w:ascii="Arial" w:hAnsi="Arial"/>
          <w:sz w:val="22"/>
        </w:rPr>
        <w:t>[ ] No private notes, raw transcripts, recruiting-source notes, or internal repositories are visible.</w:t>
      </w:r>
    </w:p>
    <w:p>
      <w:pPr>
        <w:pStyle w:val="Heading1"/>
        <w:spacing w:before="400" w:after="120"/>
      </w:pPr>
      <w:r>
        <w:rPr>
          <w:rFonts w:ascii="Arial" w:hAnsi="Arial"/>
          <w:b w:val="0"/>
          <w:color w:val="000000"/>
          <w:sz w:val="40"/>
        </w:rPr>
        <w:t>Claims To Verify Before Live Use</w:t>
      </w:r>
    </w:p>
    <w:p>
      <w:pPr>
        <w:pStyle w:val="ListBullet"/>
        <w:spacing w:after="80" w:line="276" w:lineRule="auto"/>
      </w:pPr>
      <w:r>
        <w:rPr>
          <w:rFonts w:ascii="Arial" w:hAnsi="Arial"/>
          <w:sz w:val="22"/>
        </w:rPr>
        <w:t>Current OpenAI product names, packaging, model names, security/privacy claims, and enterprise controls.</w:t>
      </w:r>
    </w:p>
    <w:p>
      <w:pPr>
        <w:pStyle w:val="ListBullet"/>
        <w:spacing w:after="80" w:line="276" w:lineRule="auto"/>
      </w:pPr>
      <w:r>
        <w:rPr>
          <w:rFonts w:ascii="Arial" w:hAnsi="Arial"/>
          <w:sz w:val="22"/>
        </w:rPr>
        <w:t>Exact account facts for any named target company.</w:t>
      </w:r>
    </w:p>
    <w:p>
      <w:pPr>
        <w:pStyle w:val="ListBullet"/>
        <w:spacing w:after="80" w:line="276" w:lineRule="auto"/>
      </w:pPr>
      <w:r>
        <w:rPr>
          <w:rFonts w:ascii="Arial" w:hAnsi="Arial"/>
          <w:sz w:val="22"/>
        </w:rPr>
        <w:t>Exact Airwallex average deal size, monthly close cadence, run-rate pipeline, close rate, and cycle length if asked.</w:t>
      </w:r>
    </w:p>
    <w:p>
      <w:pPr>
        <w:pStyle w:val="ListBullet"/>
        <w:spacing w:after="80" w:line="276" w:lineRule="auto"/>
      </w:pPr>
      <w:r>
        <w:rPr>
          <w:rFonts w:ascii="Arial" w:hAnsi="Arial"/>
          <w:sz w:val="22"/>
        </w:rPr>
        <w:t>Which client names and metrics are comfortable to say aloud.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