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73" w:rsidRPr="006610B9" w:rsidRDefault="00640A73" w:rsidP="00640A7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6610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ТЕХНИЧЕСКОЕ ЗАДАНИЕ</w:t>
      </w:r>
    </w:p>
    <w:p w:rsidR="00640A73" w:rsidRPr="006610B9" w:rsidRDefault="00640A73" w:rsidP="00640A7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6610B9">
        <w:rPr>
          <w:rFonts w:ascii="Times New Roman" w:eastAsia="Times New Roman" w:hAnsi="Times New Roman" w:cs="Times New Roman"/>
          <w:b/>
          <w:szCs w:val="21"/>
          <w:lang w:eastAsia="ar-SA"/>
        </w:rPr>
        <w:t>Выполнение работ по разработке проектно-сметной документации по объекту: "Капитальный ремонт сельского клуба по адресу: ул. Северо-Крымская 35, с. Пятихатка Красноперекопского района Республики Крым"</w:t>
      </w:r>
      <w:r w:rsidRPr="006610B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9"/>
        <w:gridCol w:w="6656"/>
        <w:gridCol w:w="6"/>
      </w:tblGrid>
      <w:tr w:rsidR="00640A73" w:rsidRPr="006610B9" w:rsidTr="00DF3914">
        <w:tc>
          <w:tcPr>
            <w:tcW w:w="567" w:type="dxa"/>
            <w:vAlign w:val="center"/>
          </w:tcPr>
          <w:p w:rsidR="00640A73" w:rsidRPr="006610B9" w:rsidRDefault="00640A73" w:rsidP="00DF3914">
            <w:pPr>
              <w:spacing w:after="0" w:line="240" w:lineRule="auto"/>
              <w:ind w:right="1276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2269" w:type="dxa"/>
            <w:vAlign w:val="center"/>
          </w:tcPr>
          <w:p w:rsidR="00640A73" w:rsidRPr="006610B9" w:rsidRDefault="00640A73" w:rsidP="00DF3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Перечень основных данных и требований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b/>
                <w:sz w:val="23"/>
                <w:szCs w:val="23"/>
                <w:lang w:eastAsia="ru-RU"/>
              </w:rPr>
              <w:t>Основные данные и требования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Название 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Капитальный ремонт сельского клуба по адресу: ул. Северо-Крымская , 35,  с. Пятихатка Красноперекопского района Республики Крым</w:t>
            </w:r>
            <w:r w:rsidRPr="006610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40A73" w:rsidRPr="006610B9" w:rsidTr="00DF3914">
        <w:trPr>
          <w:trHeight w:val="316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Местонахождение объекта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ул. Северо-Крымская , 35,  с. Пятихатка Красноперекопского района Республики Крым</w:t>
            </w:r>
          </w:p>
        </w:tc>
      </w:tr>
      <w:tr w:rsidR="00640A73" w:rsidRPr="006610B9" w:rsidTr="00DF3914">
        <w:trPr>
          <w:trHeight w:val="762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6610B9">
              <w:rPr>
                <w:rFonts w:ascii="Times New Roman" w:eastAsia="Calibri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Основание и основные исходные данные для проектирования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Исходные данные от Заказчика.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Исходные данные для проектирования капитального ремонта здания</w:t>
            </w:r>
          </w:p>
        </w:tc>
      </w:tr>
      <w:tr w:rsidR="00640A73" w:rsidRPr="006610B9" w:rsidTr="00DF3914">
        <w:trPr>
          <w:trHeight w:val="427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Заказчик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Администрация Почетненского сельского поселения Красноперекопского района Республики Крым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640A73" w:rsidRPr="006610B9" w:rsidTr="00DF3914">
        <w:trPr>
          <w:trHeight w:val="41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Требование к исполнителю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Обязательно наличие Свидетельства о допуске СРО на проектирование по следующим видам работ : разд.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II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: п.п.:1.1;2;3;4.1;4.2;4.5;4.6;6.2;10;11;12;13( пр. МРР РФ №624  от. 30.12.2009 с изм. 14.11.2011.).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40A73" w:rsidRPr="006610B9" w:rsidTr="00DF3914">
        <w:trPr>
          <w:trHeight w:val="390"/>
        </w:trPr>
        <w:tc>
          <w:tcPr>
            <w:tcW w:w="567" w:type="dxa"/>
            <w:vAlign w:val="center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sz w:val="23"/>
                <w:szCs w:val="23"/>
              </w:rPr>
            </w:pPr>
            <w:r w:rsidRPr="006610B9"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Вид строительства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Капитальный ремонт 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Calibri" w:eastAsia="Calibri" w:hAnsi="Calibri" w:cs="Times New Roman"/>
                <w:sz w:val="23"/>
                <w:szCs w:val="23"/>
              </w:rPr>
              <w:t>Основные технико–экономические показатели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Этажность –  1эт.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Общая площадь помещений составляет 545.5 кв.м.</w:t>
            </w:r>
          </w:p>
          <w:p w:rsidR="00640A73" w:rsidRPr="006610B9" w:rsidRDefault="00640A73" w:rsidP="00DF391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Вместимость - 185 мест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Особые условия строительства (градостроит. условия и краткая характеристика участка, наличие зон охраны объектов культурного наследия и др.)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Сейсмичность площадки – неизвестно(по результату технического обследования).</w:t>
            </w:r>
          </w:p>
          <w:p w:rsidR="00640A73" w:rsidRPr="006610B9" w:rsidRDefault="00640A73" w:rsidP="00DF3914">
            <w:pPr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Капитальный ремонт без вывода здания из эксплуатации.</w:t>
            </w:r>
          </w:p>
          <w:p w:rsidR="00640A73" w:rsidRPr="006610B9" w:rsidRDefault="00640A73" w:rsidP="00DF3914">
            <w:pPr>
              <w:spacing w:after="0" w:line="240" w:lineRule="auto"/>
              <w:ind w:left="5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Выполнение обмеров помещений в затрудненных условиях.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Проектная и исполнительная документация по зданию частично отсутствует.</w:t>
            </w:r>
          </w:p>
          <w:p w:rsidR="00640A73" w:rsidRPr="006610B9" w:rsidRDefault="00640A73" w:rsidP="00DF3914">
            <w:pPr>
              <w:widowControl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  <w:t>По результатам разработанной проектно-сметной документации Проектировщик предоставляет Заказчику положительное заключение проверки  достоверности определения сметной стоимости объекта.</w:t>
            </w:r>
          </w:p>
          <w:p w:rsidR="00640A73" w:rsidRPr="006610B9" w:rsidRDefault="00640A73" w:rsidP="00DF3914">
            <w:pPr>
              <w:widowControl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 w:bidi="ru-RU"/>
              </w:rPr>
              <w:t xml:space="preserve"> </w:t>
            </w:r>
          </w:p>
        </w:tc>
      </w:tr>
      <w:tr w:rsidR="00640A73" w:rsidRPr="006610B9" w:rsidTr="00DF3914">
        <w:trPr>
          <w:trHeight w:val="73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sz w:val="23"/>
                <w:szCs w:val="23"/>
              </w:rPr>
            </w:pPr>
            <w:r w:rsidRPr="006610B9"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Источник финансирования</w:t>
            </w:r>
          </w:p>
          <w:p w:rsidR="00640A73" w:rsidRPr="006610B9" w:rsidRDefault="00640A73" w:rsidP="00DF3914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Calibri" w:eastAsia="Calibri" w:hAnsi="Calibri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(собственные средства, бюджетные средства, иное)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widowControl w:val="0"/>
              <w:tabs>
                <w:tab w:val="right" w:pos="6019"/>
                <w:tab w:val="center" w:pos="6715"/>
                <w:tab w:val="left" w:pos="7454"/>
              </w:tabs>
              <w:spacing w:after="0"/>
              <w:rPr>
                <w:rFonts w:ascii="Calibri" w:eastAsia="Calibri" w:hAnsi="Calibri" w:cs="Times New Roman"/>
                <w:bCs/>
                <w:sz w:val="23"/>
                <w:szCs w:val="23"/>
              </w:rPr>
            </w:pPr>
            <w:r w:rsidRPr="006610B9">
              <w:rPr>
                <w:rFonts w:ascii="Calibri" w:eastAsia="Calibri" w:hAnsi="Calibri" w:cs="Times New Roman"/>
                <w:bCs/>
                <w:sz w:val="23"/>
                <w:szCs w:val="23"/>
              </w:rPr>
              <w:t>Местный бюджет.</w:t>
            </w:r>
          </w:p>
        </w:tc>
      </w:tr>
      <w:tr w:rsidR="00640A73" w:rsidRPr="006610B9" w:rsidTr="00DF3914">
        <w:trPr>
          <w:trHeight w:val="336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Стадийность проектирования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Проектная документация.</w:t>
            </w:r>
          </w:p>
        </w:tc>
      </w:tr>
      <w:tr w:rsidR="00640A73" w:rsidRPr="006610B9" w:rsidTr="00DF3914">
        <w:trPr>
          <w:trHeight w:val="336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Предпроектные работы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 начала разработки проектно-сметной документации предусмотреть проведение технического экспертного обследования строительных конструкций и здания. В связи с отсутствием полного пакета проектной документации техническое  исследование и обмеры помещений провести непосредственно специалистами на объекте, выполнить в соответствии с требованиями МДС 13-20-2004 «Комплексная 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методика по обследованию и энергоаудиту реконструируемых зданий». По результатам обследования оформить акт и заключение о техническом состоянии и пригодности здания и помещений для проведения капитального ремонта.                                                       </w:t>
            </w:r>
            <w:r w:rsidRPr="006610B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Разработать график производства проектных  работ и согласовать его с заказчиком.   Выполнить обмеры помещений и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конструкций с выявлением их состава, с узлами примыкания и сопряжения конструкций между собой, с определением армирования железобетонных конструкций, с замером высот помещений:</w:t>
            </w:r>
          </w:p>
          <w:p w:rsidR="00640A73" w:rsidRPr="006610B9" w:rsidRDefault="00640A73" w:rsidP="00DF3914">
            <w:pPr>
              <w:snapToGrid w:val="0"/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– устройство конструкций и связей;</w:t>
            </w:r>
          </w:p>
          <w:p w:rsidR="00640A73" w:rsidRPr="006610B9" w:rsidRDefault="00640A73" w:rsidP="00DF3914">
            <w:pPr>
              <w:snapToGrid w:val="0"/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– планы полов с определением состава;</w:t>
            </w:r>
          </w:p>
          <w:p w:rsidR="00640A73" w:rsidRPr="006610B9" w:rsidRDefault="00640A73" w:rsidP="00DF3914">
            <w:pPr>
              <w:snapToGrid w:val="0"/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– поперечные и продольные разрезы;</w:t>
            </w:r>
          </w:p>
          <w:p w:rsidR="00640A73" w:rsidRPr="006610B9" w:rsidRDefault="00640A73" w:rsidP="00DF3914">
            <w:pPr>
              <w:snapToGrid w:val="0"/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– фасады, окна; </w:t>
            </w:r>
          </w:p>
          <w:p w:rsidR="00640A73" w:rsidRPr="006610B9" w:rsidRDefault="00640A73" w:rsidP="00DF3914">
            <w:pPr>
              <w:snapToGrid w:val="0"/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Выполнить обмерные чертежи.</w:t>
            </w:r>
          </w:p>
          <w:p w:rsidR="00640A73" w:rsidRPr="006610B9" w:rsidRDefault="00640A73" w:rsidP="00DF3914">
            <w:pPr>
              <w:snapToGrid w:val="0"/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Для обмерных работ принять:</w:t>
            </w:r>
          </w:p>
          <w:p w:rsidR="00640A73" w:rsidRPr="006610B9" w:rsidRDefault="00640A73" w:rsidP="00DF3914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  - категория сложности здания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 – 2;</w:t>
            </w:r>
          </w:p>
          <w:p w:rsidR="00640A73" w:rsidRPr="006610B9" w:rsidRDefault="00640A73" w:rsidP="00DF3914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  - категория сложности работ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 –2.</w:t>
            </w:r>
          </w:p>
        </w:tc>
      </w:tr>
      <w:tr w:rsidR="00640A73" w:rsidRPr="006610B9" w:rsidTr="00DF3914">
        <w:trPr>
          <w:trHeight w:val="841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12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Объемы выполняемых разделов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 соответствии с постановлением Правительства  РФ №87 от 16.02.2008 г. ( ред. от 12.11.2016 , с изм. от 28.01.2017) "О составе разделов проектной документации и   требованиях к их содержанию" (в части выполнения требований по содержанию разделов проекта на объекты капитального ремонта).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Проектно-сметную документацию выполнить на капитальный ремонт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Обследование помещений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Обмерные работы помещений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Проектные решения принимать по результатам обследования, на основании выводов и рекомендаций ,также соответственно СанПиН 2.1.3..2630-10 (с изм.от 10.06.2016 г.) пп. 3-7 , 10 , прил. 1.</w:t>
            </w:r>
          </w:p>
          <w:p w:rsidR="00640A73" w:rsidRPr="006610B9" w:rsidRDefault="00640A73" w:rsidP="00DF391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Проект выполнить в составе: обмерные чертежи, архитектурно-строительные и объемно-планировочные решения, технологические решения, инженерно-технические сети (отопление, вентиляция и кондиционирование, водоснабжение, канализация, электроснабжение, электроосвещение, 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Электроснабжение предусмотреть в соответствии с требованиями СниП 3.05.06-85 «Электротехнические устройства» и правил ПУЭ «Правила устройства электроустановок», издание 7, глава 2.</w:t>
            </w:r>
          </w:p>
          <w:p w:rsidR="00640A73" w:rsidRPr="006610B9" w:rsidRDefault="00640A73" w:rsidP="00DF3914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Искусственное освещение предусмотреть в соответствии с требованиями СанПиН 2.1.3.2630-10 «Искусственное освещение», СП 158.13330.2014».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Наименование  работ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eastAsia="ru-RU"/>
              </w:rPr>
              <w:t>Капитальным ремонтом предусмотреть следующие виды работ :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 ремонт, усиление, частичная замена стен и перегородок;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- ремонт,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усиление перекрытия;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- 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замена окон и дверей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;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- 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ремонт полов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;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- ремонт стен и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потолков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;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- устройство системы  отопления;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- ремонт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 замена оборудования системы вентиляции, 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кондиционирования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;                                           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- ремонт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системы водоснабжения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 xml:space="preserve"> и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канализации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- ремонт систем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энергообеспечения и электроснабжения</w:t>
            </w: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val="uk-UA" w:eastAsia="ru-RU"/>
              </w:rPr>
              <w:t>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 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сметная документация.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благоустройство прилегающей территории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- замена окон на окна ПВХ (конструкция и  исполнение – по согласованию с заказчиком);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>- замена отливов, ремонт откосов, монтаж пластиковых подоконных досок;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Calibri"/>
                <w:color w:val="000000"/>
                <w:sz w:val="24"/>
                <w:szCs w:val="24"/>
                <w:lang w:eastAsia="ru-RU"/>
              </w:rPr>
              <w:t xml:space="preserve"> - замена деревянных дверей на двери из МДФ (конструкция и  исполнение – по согласованию с заказчиком).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по разработке инженерно-технических мероприятий ГО и ЧС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2269" w:type="dxa"/>
            <w:vAlign w:val="center"/>
          </w:tcPr>
          <w:p w:rsidR="00640A73" w:rsidRPr="006610B9" w:rsidRDefault="00640A73" w:rsidP="00DF391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Отнесение объекта к особо опасным, технически сложным и уникальным объектам, к объектам культурного наследия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принадлежит</w:t>
            </w:r>
          </w:p>
        </w:tc>
      </w:tr>
      <w:tr w:rsidR="00640A73" w:rsidRPr="006610B9" w:rsidTr="00DF3914">
        <w:trPr>
          <w:trHeight w:val="293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 xml:space="preserve">Основные требования по капитальному ремонту  здания 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Предусмотреть капитальный ремонт здания по следующим видам работ: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производства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Общестроительные работы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Вентиляция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Отопление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Холодное и горячее водоснабжение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Канализация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Электрооборудование 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Сметная документация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Выполнить сметную документацию по всем видам работ капитального ремонта.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сводном сметном расчете предусмотреть: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Непредвиденные затраты – 2% - МДС 81-35.2004 п.4.96;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НДС – 18% - МДС 81-35.2004 п.4.100.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17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Требования к конструктивным решениям, к материалам несущих и ограждающих конструкций</w:t>
            </w:r>
          </w:p>
        </w:tc>
        <w:tc>
          <w:tcPr>
            <w:tcW w:w="6662" w:type="dxa"/>
            <w:gridSpan w:val="2"/>
            <w:vAlign w:val="center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Качество применяемых материалов, конструкций, изделий, оборудования должно соответствовать санитарным, противопожарным и техническим характеристикам и подтверждаться сертификатами /паспортами/ качества, сертификатами соответствия, гигиеническими сертификатами и другими документами, установленными техническим регламентом и санитарными правилами РФ.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 соответствии с выводами и рекомендациями технического обследования помещений.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Несущая способность перегородок, пола, потолка должна обеспечивать крепление применяемого оборудования.</w:t>
            </w: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Требования к разделу </w:t>
            </w: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«Мероприятия по обеспечению доступности инвалидов»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hd w:val="clear" w:color="auto" w:fill="FFFFFF"/>
              <w:tabs>
                <w:tab w:val="left" w:pos="570"/>
              </w:tabs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Требуется.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19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Требования к разработке раздела «Перечень мероприятий по охране окружающей среды»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требуется.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разделу «Мероприятия по обеспечению пожарной безопасности»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Требования настоящего раздела распространяются на объемно-планировочные, конструктивные и инженерные  решения направлены на обеспечение нераспространения пожара и своевременную эвакуацию персонала. 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 СП 10.13130.2009 «Системы противопожарной защиты. Внутренний противопожарный водопровод. Требования пожарной безопасности»;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 6.13130.2013 «Системы противопожарной защиты, электрооборудование. Требования пожарной безопасности»;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 1.13130.2009 «Системы противопожарной защиты. Эвакуационные пути и выходы»;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СП 4.13130.2013 «Системы противопожарной защиты. Ограничение распространения пожара на объектах защиты. Требования к объёмно-планировочным и конструктивным решениям»;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 материалы, имеющие сертификаты соответствия. В соответствии с требованиями СНиП, технических регламентов, государственных стандартов в области пожарной безопасности.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Предусмотреть необходимые средства пожарных мероприятий в зоне проектирования.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Выдать рекомендации по  необходимым мероприятиям в помещениях, граничащих с помещениями зоны проектирования.</w:t>
            </w:r>
          </w:p>
          <w:p w:rsidR="00640A73" w:rsidRPr="006610B9" w:rsidRDefault="00640A73" w:rsidP="00DF3914">
            <w:pPr>
              <w:tabs>
                <w:tab w:val="left" w:pos="5250"/>
                <w:tab w:val="left" w:pos="585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Пожарный водопровод выполнить с заменой поэтажных шкафов.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обеспечению энергоэффективности объекта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Энергосберегающий режим.</w:t>
            </w: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Требования к архитектурно-строительным  и объемно-планировочным решениям, к внутренней и наружной отделке здания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Объемно-планировочные решения выполнить в соответствии с техническим заданием и техническим паспортом, с учетом поточности и класса чистоты без изменения функционального назначения.  Объемно-планировочные решения согласовать с Заказчиком.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 проекте предусмотреть: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Основные и вспомогательные помещения согласно медико-технического задания и нормативной документации. 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Предусмотреть замену напольных покрытий, отделку стен и потолков в соответствии с классификацией помещений.  При необходимости в помещениях организовать трапы для водостока.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 xml:space="preserve"> Отделочные материалы должны иметь необходимые эпидемиологические заключения, сертификаты противопожарной безопасности.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Ведомость отделочных материалов согласовать с Заказчиком отдельным документом.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Предусмотреть замену дверных блоков и оконных.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ind w:left="30" w:right="15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Предусмотреть ремонт и прочие работы по фасадам  .</w:t>
            </w: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решениям по подключению объекта к сетям инженерно-технического обеспечения, присоединения к сетям связи, требования к инженерному оборудованию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Проектом предусмотреть ремонт и замену инженерного оборудования. Инженерные сети подключить к существующим вводам и магистралям.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Предусмотреть ремонт системы электроснабжения и освещения с заменой кабельных линий, установку и ремонт распределительных шкафов, розеток для технологического и вспомогательного оборудования. Подключение выполнить к главному распределительному щиту (при необходимости его отремонтировать) в существующей щитовой  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Заземление подключить к существующему контуру заземления (при необходимости его отремонтировать).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сетей водоснабжения и канализации выполнить с учетом функционального назначения помещений. На основании обследования и дефектной ведомости предусмотреть замену стояков. 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Системы отопления, вентиляции и кондиционирования воздуха выполнить в соответствии с функциональным назначением помещений, регламентируемые СанПин 2.1.3.2630-10. </w:t>
            </w:r>
          </w:p>
          <w:p w:rsidR="00640A73" w:rsidRPr="006610B9" w:rsidRDefault="00640A73" w:rsidP="00DF39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проекту организации работ по сносу и демонтажу объектов капитального строительства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</w:t>
            </w: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trHeight w:val="140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сметной документации с указанием метода определения стоимости строительства и порядка пересчета в текущий уровень цен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Сметную документацию разработать в соответствии с   МДС 81-35.2004 и МДС 81-25-2001.  </w:t>
            </w:r>
          </w:p>
        </w:tc>
      </w:tr>
      <w:tr w:rsidR="00640A73" w:rsidRPr="006610B9" w:rsidTr="00DF3914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224"/>
        </w:trPr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порядку предоставления документации</w:t>
            </w:r>
          </w:p>
        </w:tc>
        <w:tc>
          <w:tcPr>
            <w:tcW w:w="6656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гражданско-правовым договором.  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Исполнитель представляет Заказчику по накладной для приемки проектно-сметной документации  в 4 экземплярах в сброшюрованном виде, кроме того, 1 экз. на электронных носителях, прилагая к ней акт сдачи-приемки технического обследования объекта.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Текстовая часть – в среде «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Word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», сметная документация – в 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формате программы «Сметный калькулятор», графическая часть – в среде «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t>AutoCAD</w:t>
            </w:r>
            <w:r w:rsidRPr="006610B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». 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lastRenderedPageBreak/>
              <w:t>27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Количество экземпляров ПСД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 завершении работ Исполнитель предоставляет Заказчику акт сдачи-приемки работ с приложением к нему проектно-сметной документации в 4-х экземплярах на бумажном носителе и один экземпляр в электронном виде.</w:t>
            </w: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Требования о необходимости проведения авторского надзора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Согласно отдельному договору на проведение авторского надзора.</w:t>
            </w: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640A73" w:rsidRPr="006610B9" w:rsidTr="00DF3914">
        <w:tc>
          <w:tcPr>
            <w:tcW w:w="567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29</w:t>
            </w:r>
          </w:p>
        </w:tc>
        <w:tc>
          <w:tcPr>
            <w:tcW w:w="2269" w:type="dxa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</w:pPr>
            <w:r w:rsidRPr="006610B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eastAsia="ru-RU" w:bidi="ru-RU"/>
              </w:rPr>
              <w:t>Особые условия</w:t>
            </w:r>
          </w:p>
        </w:tc>
        <w:tc>
          <w:tcPr>
            <w:tcW w:w="6662" w:type="dxa"/>
            <w:gridSpan w:val="2"/>
          </w:tcPr>
          <w:p w:rsidR="00640A73" w:rsidRPr="006610B9" w:rsidRDefault="00640A73" w:rsidP="00DF3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610B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Исполнитель в отношении разработанной проектно-сметной документации получает положительное заключение о достоверности сметной стоимости работ. Расходы по получению положительного заключения о достоверности сметной стоимости несет Исполнитель. Нормативно-правовые акты, указанные в настоящем Техническом задании, должны действовать в редакции, действительной на момент заключения Договора.</w:t>
            </w:r>
          </w:p>
        </w:tc>
      </w:tr>
    </w:tbl>
    <w:p w:rsidR="00C84D9E" w:rsidRDefault="00C84D9E">
      <w:bookmarkStart w:id="0" w:name="_GoBack"/>
      <w:bookmarkEnd w:id="0"/>
    </w:p>
    <w:sectPr w:rsidR="00C8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BB"/>
    <w:rsid w:val="002B25BB"/>
    <w:rsid w:val="00640A73"/>
    <w:rsid w:val="00C8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1724</Words>
  <Characters>9830</Characters>
  <Application>Microsoft Office Word</Application>
  <DocSecurity>0</DocSecurity>
  <Lines>81</Lines>
  <Paragraphs>23</Paragraphs>
  <ScaleCrop>false</ScaleCrop>
  <Company>SPecialiST RePack</Company>
  <LinksUpToDate>false</LinksUpToDate>
  <CharactersWithSpaces>11531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2017-09-19T08:27:00Z</dcterms:created>
  <dcterms:modified xsi:type="dcterms:W3CDTF">2017-09-19T08:29:00Z</dcterms:modified>
</cp:coreProperties>
</file>