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IT PROJECT MANAGEMENT DEVELOPMENT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Group Name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Healthioneers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 Title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KLINIKAID: AN AI-ASSISTED WEB AND MOBILE PLATFORM FOR AUTOMATED INQUIRY AND RECORD MANAGEMENT FOR BLOODCARE MEDICAL LABORATORY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Group Members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Garcia, Ralph Andre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Manlangit, Lawrence Andrei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Rieza, Jason Fortune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Simpao, Jonrick Gabriel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 Name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Bloodcare Medical Laboratory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 Details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Name: Bloodcare Medical Laboratory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Brief Description: Established on April 20, 2013, Bloodcare Medical Laboratory is a Department of Health (DOH) licensed clinic operating as a sole proprietorship. They offer diagnostic services including general checkups, laboratory tests, X-rays, drug tests, ultrasounds, electrocardiograms (ECG), and 2D echoes.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Address: Conistra Bldg. A. Mabini St. corner Montania Village, Burgos, Rodriguez, Rizal</w:t>
            </w:r>
          </w:p>
        </w:tc>
      </w:tr>
    </w:tbl>
    <w:p>
      <w:pPr>
        <w:spacing w:after="200"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DOCUMENT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1560"/>
        <w:gridCol w:w="2040"/>
      </w:tblGrid>
      <w:tr>
        <w:trPr>
          <w:tblHeader/>
        </w:trPr>
        <w:tc>
          <w:tcPr>
            <w:tcW w:type="dxa" w:w="5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 MODULES / TASKS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Percentage</w:t>
            </w:r>
          </w:p>
        </w:tc>
        <w:tc>
          <w:tcPr>
            <w:tcW w:type="dxa" w:w="20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Remarks</w:t>
            </w:r>
          </w:p>
        </w:tc>
      </w:tr>
      <w:tr>
        <w:tc>
          <w:tcPr>
            <w:tcW w:type="dxa" w:w="5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Preliminaries (8%)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 Capstone Title Page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 Grant Permission Page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 Certification Form &amp; Approval Sheet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 Acknowledgement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 Table of Contents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 List of Tables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 List of Figures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 List of Abbreviations &amp; Abstract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1%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Chapter 1 (15%)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 Purpose and Description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 Project Context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 General Objectives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 Scope and Delimitations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 Significance of the Study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 Conceptual Framework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 Definition of Terms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2%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Chapter 2 (10%)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 Related Literature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 Related Studies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 Similar Titles in the Market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 Synthesis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2%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Chapter 3 (20%)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 Requirement Analysis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 Project Design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 Project Development / Agile Scrum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 Software Testing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 Software Evaluation Model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 Data Gathering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 Sampling Technique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 Respondents of the Study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 Statistical Treatment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1%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Chapter 4 (15%)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 Results and Discussion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Chapter 5 (5%)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 Conclusion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5%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Chapter 6 (5%)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 Recommendations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5%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Bibliography &amp; Appendices (21%)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 Bibliography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 Appendix A - Communication Letters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 Appendix B - Sample Evaluation Instrument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 Appendix C - Sample Input/Output/Reports/Storyboard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 Appendix D - Other Documents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 Appendix E - Curriculum Vitae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1%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100%</w:t>
            </w:r>
          </w:p>
        </w:tc>
        <w:tc>
          <w:tcPr>
            <w:tcW w:type="dxa" w:w="20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4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WEB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1560"/>
        <w:gridCol w:w="2040"/>
      </w:tblGrid>
      <w:tr>
        <w:trPr>
          <w:tblHeader/>
        </w:trPr>
        <w:tc>
          <w:tcPr>
            <w:tcW w:type="dxa" w:w="5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 MODULES / TASKS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Percentage</w:t>
            </w:r>
          </w:p>
        </w:tc>
        <w:tc>
          <w:tcPr>
            <w:tcW w:type="dxa" w:w="20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Remarks</w:t>
            </w:r>
          </w:p>
        </w:tc>
      </w:tr>
      <w:tr>
        <w:tc>
          <w:tcPr>
            <w:tcW w:type="dxa" w:w="5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Module 1.0: Account &amp; Access Management (15%)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1.1 Patient Authentication &amp; Registration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      1.1.1 Patient self-registration form with validation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      1.1.2 Data Privacy Agreement (RA 10173) acceptance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      1.1.3 Patient login and dashboard redirect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1.2 Staff &amp; Specialist Authentication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      1.2.1 Staff login with TOTP multi-factor authentication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      1.2.2 Role-based dashboard redirect (5 roles)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1.3 Personnel Management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      1.3.1 Staff account list and search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      1.3.2 Create new staff account with role assignment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      1.3.3 Edit staff role and department assignment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      1.3.4 Deactivate and reactivate staff account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1%</w:t>
            </w:r>
          </w:p>
        </w:tc>
        <w:tc>
          <w:tcPr>
            <w:tcW w:type="dxa" w:w="20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Module 2.0: Patient Inquiry &amp; Reception (20%)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2.1 AI Chatbot Handling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      2.1.1 Patient-facing chatbot web interface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      2.1.2 RAG knowledge retrieval and response generation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      2.1.3 Chatbot session rate limiting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      2.1.4 Chatbot query audit logging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2.2 Centralized Reception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      2.2.1 5-column Kanban reception queue board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      2.2.2 Real-time queue updates (Supabase Realtime)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5%</w:t>
            </w:r>
          </w:p>
        </w:tc>
        <w:tc>
          <w:tcPr>
            <w:tcW w:type="dxa" w:w="20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Module 3.0: Document Processing &amp; Review (20%)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3.1 Document Template Submission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      3.1.1 Web document upload form (patient-facing)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      3.1.2 Document status tracking (5-stage pipeline)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3.2 Edge OCR Scanning — Web Display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      3.2.1 OCR confidence score display per field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      3.2.2 Flagged field highlighting in approval screen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3.3 Staff Document Review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      3.3.1 3-panel document approval screen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      3.3.2 Patient triage routing and queue assignment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5%</w:t>
            </w:r>
          </w:p>
        </w:tc>
        <w:tc>
          <w:tcPr>
            <w:tcW w:type="dxa" w:w="20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Module 4.0: Medical Records &amp; Analytics (30%)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4.1 Departmental Records Management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      4.1.1 Department patient queue display with queue numbers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      4.1.2 Dynamic record entry form (per-department fields)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      4.1.3 Automatic out-of-range value flagging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      4.1.4 Records history table with search and pagination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4.2 Physician Descriptive Analysis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      4.2.1 Patient search and filter by department and date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      4.2.2 Longitudinal analytics chart (line chart vs time)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      4.2.3 Reference range band visualization (normal range overlay)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5%</w:t>
            </w:r>
          </w:p>
        </w:tc>
        <w:tc>
          <w:tcPr>
            <w:tcW w:type="dxa" w:w="20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Module 5.0: System Administration (15%)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5.1 RAG Knowledge Base Management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      5.1.1 Policy document upload and text extraction (Gemini)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      5.1.2 Embedding pipeline and pgvector indexing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      5.1.3 Knowledge base document activation management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5.2 Reporting &amp; Workflow Tracking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      5.2.1 System event log viewer with search and filters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3%</w:t>
            </w:r>
          </w:p>
        </w:tc>
        <w:tc>
          <w:tcPr>
            <w:tcW w:type="dxa" w:w="20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100%</w:t>
            </w:r>
          </w:p>
        </w:tc>
        <w:tc>
          <w:tcPr>
            <w:tcW w:type="dxa" w:w="20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4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MOBILE</w:t>
      </w:r>
    </w:p>
    <w:p>
      <w:r>
        <w:rPr>
          <w:rFonts w:ascii="Arial" w:cs="Arial" w:eastAsia="Arial" w:hAnsi="Arial"/>
          <w:i/>
          <w:iCs/>
          <w:sz w:val="20"/>
          <w:szCs w:val="20"/>
        </w:rPr>
        <w:t xml:space="preserve">(To be completed by the Mobile Development Team)</w:t>
      </w:r>
    </w:p>
    <w:p>
      <w:pPr>
        <w:spacing w:before="600"/>
      </w:pPr>
      <w:r>
        <w:rPr>
          <w:rFonts w:ascii="Arial" w:cs="Arial" w:eastAsia="Arial" w:hAnsi="Arial"/>
          <w:sz w:val="20"/>
          <w:szCs w:val="20"/>
        </w:rPr>
        <w:t xml:space="preserve">Approved by:</w:t>
      </w:r>
    </w:p>
    <w:p>
      <w:pPr>
        <w:spacing w:before="40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</w:t>
      </w:r>
    </w:p>
    <w:p>
      <w:r>
        <w:rPr>
          <w:rFonts w:ascii="Arial" w:cs="Arial" w:eastAsia="Arial" w:hAnsi="Arial"/>
          <w:sz w:val="20"/>
          <w:szCs w:val="20"/>
        </w:rPr>
        <w:t xml:space="preserve">Project Adviser</w:t>
      </w:r>
    </w:p>
    <w:p>
      <w:pPr>
        <w:spacing w:before="200"/>
      </w:pPr>
      <w:r>
        <w:rPr>
          <w:rFonts w:ascii="Arial" w:cs="Arial" w:eastAsia="Arial" w:hAnsi="Arial"/>
          <w:sz w:val="20"/>
          <w:szCs w:val="20"/>
        </w:rPr>
        <w:t xml:space="preserve">Noted by:</w:t>
      </w:r>
    </w:p>
    <w:p>
      <w:pPr>
        <w:spacing w:before="40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</w:t>
      </w:r>
    </w:p>
    <w:p>
      <w:r>
        <w:rPr>
          <w:rFonts w:ascii="Arial" w:cs="Arial" w:eastAsia="Arial" w:hAnsi="Arial"/>
          <w:sz w:val="20"/>
          <w:szCs w:val="20"/>
        </w:rPr>
        <w:t xml:space="preserve">Project Manager</w:t>
      </w:r>
    </w:p>
    <w:p>
      <w:pPr>
        <w:spacing w:before="40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</w:t>
      </w:r>
    </w:p>
    <w:p>
      <w:r>
        <w:rPr>
          <w:rFonts w:ascii="Arial" w:cs="Arial" w:eastAsia="Arial" w:hAnsi="Arial"/>
          <w:sz w:val="20"/>
          <w:szCs w:val="20"/>
        </w:rPr>
        <w:t xml:space="preserve">Course Adviser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2026-05-22T05:13:41.364Z</dcterms:created>
  <dcterms:modified xsi:type="dcterms:W3CDTF">2026-05-22T05:13:41.364Z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