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center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tl w:val="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  <wp:simplePos x="0" y="0"/>
                <wp:positionH relativeFrom="column">
                  <wp:posOffset>1730375</wp:posOffset>
                </wp:positionH>
                <wp:positionV relativeFrom="paragraph">
                  <wp:posOffset>-570229</wp:posOffset>
                </wp:positionV>
                <wp:extent cx="2492828" cy="570393"/>
                <wp:effectExtent l="0" t="0" r="0" b="0"/>
                <wp:wrapNone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/>
                        <pic:nvPr/>
                      </pic:nvPicPr>
                      <pic:blipFill rotWithShape="1">
                        <a:blip r:embed="rId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2492828" cy="57039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0;o:allowoverlap:true;o:allowincell:true;mso-position-horizontal-relative:text;margin-left:136.25pt;mso-position-horizontal:absolute;mso-position-vertical-relative:text;margin-top:-44.90pt;mso-position-vertical:absolute;width:196.29pt;height:44.91pt;mso-wrap-distance-left:9.00pt;mso-wrap-distance-top:0.00pt;mso-wrap-distance-right:9.00pt;mso-wrap-distance-bottom:0.00pt;z-index:1;">
                <v:imagedata r:id="rId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 w14:paraId="00000002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center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IT PROJECT MANAGEMENT DEVELOPMENT CHECKLIST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 w14:paraId="00000003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04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18"/>
        <w:tblW w:w="9350" w:type="dxa"/>
        <w:tblBorders>
          <w:top w:val="single" w:color="006600" w:sz="4" w:space="0"/>
          <w:left w:val="single" w:color="006600" w:sz="4" w:space="0"/>
          <w:bottom w:val="single" w:color="006600" w:sz="4" w:space="0"/>
          <w:right w:val="single" w:color="006600" w:sz="4" w:space="0"/>
          <w:insideH w:val="single" w:color="006600" w:sz="4" w:space="0"/>
          <w:insideV w:val="single" w:color="006600" w:sz="4" w:space="0"/>
        </w:tblBorders>
        <w:tblLayout w:type="fixed"/>
        <w:tblLook w:val="0400" w:firstRow="0" w:lastRow="0" w:firstColumn="0" w:lastColumn="0" w:noHBand="0" w:noVBand="1"/>
      </w:tblPr>
      <w:tblGrid>
        <w:gridCol w:w="2315"/>
        <w:gridCol w:w="7035"/>
        <w:tblGridChange w:id="0">
          <w:tblGrid>
            <w:gridCol w:w="2315"/>
            <w:gridCol w:w="7035"/>
          </w:tblGrid>
        </w:tblGridChange>
      </w:tblGrid>
      <w:tr>
        <w:trPr>
          <w:cantSplit w:val="false"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0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 xml:space="preserve">Group Name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06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b/>
                <w:bCs/>
                <w:rtl w:val="0"/>
              </w:rPr>
              <w:t xml:space="preserve">Healthioneers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07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 xml:space="preserve">Project Title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0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b/>
                <w:bCs/>
                <w:rtl w:val="0"/>
              </w:rPr>
              <w:t xml:space="preserve">KLINIKAID: AN AI-ASSISTED WEB AND MOBILE PLATFORM FOR AUTOMATED INQUIRY AND RECORD MANAGEMENT FOR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09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 xml:space="preserve">Group Members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0A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1. Garcia, Ralph And</w:t>
            </w:r>
            <w:r>
              <w:rPr>
                <w:b/>
                <w:bCs/>
                <w:rtl w:val="0"/>
              </w:rPr>
              <w:t xml:space="preserve">re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0B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2. Man</w:t>
            </w:r>
            <w:r>
              <w:rPr>
                <w:b/>
                <w:bCs/>
                <w:rtl w:val="0"/>
              </w:rPr>
              <w:t xml:space="preserve">langit, Lawrence Andrei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0C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3. Rieza, Jason Fortune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0D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4. Sim</w:t>
            </w:r>
            <w:r>
              <w:rPr>
                <w:b/>
                <w:bCs/>
                <w:rtl w:val="0"/>
              </w:rPr>
              <w:t xml:space="preserve">pao, Jonrick Gabriel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0E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 xml:space="preserve">Client Name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0F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b/>
                <w:bCs/>
                <w:rtl w:val="0"/>
              </w:rPr>
              <w:t xml:space="preserve">Bloodcare Medical Laboratory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10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 xml:space="preserve">Client Details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1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Company Name: Bloodcare Medical Laboratory Company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 w14:paraId="0000001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Brief Description: Established on April 20, 2013, Bloodcare</w:t>
            </w:r>
            <w:r>
              <w:rPr>
                <w:b/>
                <w:bCs/>
                <w:rtl w:val="0"/>
              </w:rPr>
              <w:t xml:space="preserve"> Medical Laboratory is a Department of Health (DOH) licensed clinic operating as a sole proprietorship . They offer diagnostic services including general checkups, laboratory tests, X-rays, drug tests, ultrasounds, electrocardiograms (ECG), and 2D echoes .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 w14:paraId="0000001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b/>
                <w:bCs/>
                <w:rtl w:val="0"/>
              </w:rPr>
              <w:t xml:space="preserve">Address: Conistra Bldg. A. Mabini St. corner Montania Village, Burgos, Rodriguez, Rizal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</w:tbl>
    <w:p w14:paraId="00000014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r>
    </w:p>
    <w:p w14:paraId="00000015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  <w:rtl w:val="0"/>
        </w:rPr>
        <w:t xml:space="preserve">DOCUMENT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r>
    </w:p>
    <w:tbl>
      <w:tblPr>
        <w:tblStyle w:val="919"/>
        <w:tblW w:w="9350" w:type="dxa"/>
        <w:tblBorders>
          <w:top w:val="single" w:color="006600" w:sz="4" w:space="0"/>
          <w:left w:val="single" w:color="006600" w:sz="4" w:space="0"/>
          <w:bottom w:val="single" w:color="006600" w:sz="4" w:space="0"/>
          <w:right w:val="single" w:color="006600" w:sz="4" w:space="0"/>
          <w:insideH w:val="single" w:color="006600" w:sz="4" w:space="0"/>
          <w:insideV w:val="single" w:color="006600" w:sz="4" w:space="0"/>
        </w:tblBorders>
        <w:tblLayout w:type="fixed"/>
        <w:tblLook w:val="0400" w:firstRow="0" w:lastRow="0" w:firstColumn="0" w:lastColumn="0" w:noHBand="0" w:noVBand="1"/>
      </w:tblPr>
      <w:tblGrid>
        <w:gridCol w:w="6478"/>
        <w:gridCol w:w="1259"/>
        <w:gridCol w:w="1613"/>
        <w:tblGridChange w:id="1">
          <w:tblGrid>
            <w:gridCol w:w="6478"/>
            <w:gridCol w:w="1259"/>
            <w:gridCol w:w="1613"/>
          </w:tblGrid>
        </w:tblGridChange>
      </w:tblGrid>
      <w:tr>
        <w:trPr>
          <w:cantSplit w:val="false"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16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SPECIFIC MODULES / TASKS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17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Percentage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1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Remarks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19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Preliminaries (8%</w:t>
            </w:r>
            <w:r>
              <w:rPr>
                <w:b/>
                <w:bCs/>
                <w:rtl w:val="0"/>
              </w:rPr>
              <w:t xml:space="preserve">)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 w14:paraId="0000001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Capstone Title Page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  <w:p w14:paraId="0000001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Grant Permission Page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  <w:p w14:paraId="0000001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Certification Form &amp; Approval Sheet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  <w:p w14:paraId="0000001D">
            <w:pPr>
              <w:numPr>
                <w:ilvl w:val="0"/>
                <w:numId w:val="3"/>
              </w:numPr>
              <w:pBdr/>
              <w:spacing/>
              <w:ind w:hanging="360" w:left="72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Acknowledgement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 w14:paraId="0000001E">
            <w:pPr>
              <w:numPr>
                <w:ilvl w:val="0"/>
                <w:numId w:val="3"/>
              </w:numPr>
              <w:pBdr/>
              <w:spacing/>
              <w:ind w:hanging="360" w:left="720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Table of Contents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  <w:p w14:paraId="0000001F">
            <w:pPr>
              <w:numPr>
                <w:ilvl w:val="0"/>
                <w:numId w:val="3"/>
              </w:numPr>
              <w:pBdr/>
              <w:spacing/>
              <w:ind w:hanging="360" w:left="720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List of Tables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  <w:p w14:paraId="00000020">
            <w:pPr>
              <w:numPr>
                <w:ilvl w:val="0"/>
                <w:numId w:val="3"/>
              </w:numPr>
              <w:pBdr/>
              <w:spacing/>
              <w:ind w:hanging="360" w:left="720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List of Figures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  <w:p w14:paraId="00000021">
            <w:pPr>
              <w:numPr>
                <w:ilvl w:val="0"/>
                <w:numId w:val="3"/>
              </w:numPr>
              <w:pBdr/>
              <w:spacing/>
              <w:ind w:hanging="360" w:left="720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List of Abbreviations &amp; Abstract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  <w:p w14:paraId="0000002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108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2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24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w:t xml:space="preserve">1%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25">
            <w:pPr>
              <w:pBdr/>
              <w:spacing/>
              <w:ind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w:t xml:space="preserve">1%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26">
            <w:pPr>
              <w:pBdr/>
              <w:spacing/>
              <w:ind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w:t xml:space="preserve">1%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27">
            <w:pPr>
              <w:pBdr/>
              <w:spacing/>
              <w:ind/>
              <w:jc w:val="right"/>
              <w:rPr/>
            </w:pPr>
            <w:r>
              <w:rPr>
                <w:rtl w:val="0"/>
              </w:rPr>
              <w:t xml:space="preserve">1%</w:t>
            </w:r>
            <w:r/>
          </w:p>
          <w:p w14:paraId="00000028">
            <w:pPr>
              <w:pBdr/>
              <w:spacing/>
              <w:ind/>
              <w:jc w:val="right"/>
              <w:rPr/>
            </w:pPr>
            <w:r>
              <w:rPr>
                <w:rtl w:val="0"/>
              </w:rPr>
              <w:t xml:space="preserve">1%</w:t>
            </w:r>
            <w:r/>
          </w:p>
          <w:p w14:paraId="00000029">
            <w:pPr>
              <w:pBdr/>
              <w:spacing/>
              <w:ind/>
              <w:jc w:val="right"/>
              <w:rPr/>
            </w:pPr>
            <w:r>
              <w:rPr>
                <w:rtl w:val="0"/>
              </w:rPr>
              <w:t xml:space="preserve">1%</w:t>
            </w:r>
            <w:r/>
          </w:p>
          <w:p w14:paraId="0000002A">
            <w:pPr>
              <w:pBdr/>
              <w:spacing/>
              <w:ind/>
              <w:jc w:val="right"/>
              <w:rPr/>
            </w:pPr>
            <w:r>
              <w:rPr>
                <w:rtl w:val="0"/>
              </w:rPr>
              <w:t xml:space="preserve">1%</w:t>
            </w:r>
            <w:r/>
          </w:p>
          <w:p w14:paraId="0000002B">
            <w:pPr>
              <w:pBdr/>
              <w:spacing/>
              <w:ind/>
              <w:jc w:val="right"/>
              <w:rPr/>
            </w:pPr>
            <w:r>
              <w:rPr>
                <w:rtl w:val="0"/>
              </w:rPr>
              <w:t xml:space="preserve">1%</w:t>
            </w:r>
            <w:r/>
          </w:p>
          <w:p w14:paraId="0000002C">
            <w:pPr>
              <w:pBdr/>
              <w:spacing/>
              <w:ind/>
              <w:jc w:val="right"/>
              <w:rPr/>
            </w:pPr>
            <w:r>
              <w:rPr>
                <w:rtl w:val="0"/>
              </w:rPr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2D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2E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Chapter 1 (15%)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2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7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Purpose and Description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  <w:p w14:paraId="0000003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7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Project Context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  <w:p w14:paraId="0000003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7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General Objectives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  <w:p w14:paraId="0000003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7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Scope and Delimitations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  <w:p w14:paraId="0000003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7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Significance of the Study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  <w:p w14:paraId="0000003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7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Conceptual Framework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  <w:p w14:paraId="0000003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7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Definition of Terms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  <w:p w14:paraId="00000036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108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37">
            <w:pPr>
              <w:pBdr/>
              <w:spacing/>
              <w:ind/>
              <w:jc w:val="right"/>
              <w:rPr/>
            </w:pPr>
            <w:r>
              <w:rPr>
                <w:rtl w:val="0"/>
              </w:rPr>
            </w:r>
            <w:r/>
          </w:p>
          <w:p w14:paraId="00000038">
            <w:pPr>
              <w:pBdr/>
              <w:spacing/>
              <w:ind/>
              <w:jc w:val="right"/>
              <w:rPr/>
            </w:pPr>
            <w:r>
              <w:rPr>
                <w:rtl w:val="0"/>
              </w:rPr>
              <w:t xml:space="preserve">2%</w:t>
            </w:r>
            <w:r/>
          </w:p>
          <w:p w14:paraId="00000039">
            <w:pPr>
              <w:pBdr/>
              <w:spacing/>
              <w:ind/>
              <w:jc w:val="right"/>
              <w:rPr/>
            </w:pPr>
            <w:r>
              <w:rPr>
                <w:rtl w:val="0"/>
              </w:rPr>
              <w:t xml:space="preserve">2%</w:t>
            </w:r>
            <w:r/>
          </w:p>
          <w:p w14:paraId="0000003A">
            <w:pPr>
              <w:pBdr/>
              <w:spacing/>
              <w:ind/>
              <w:jc w:val="right"/>
              <w:rPr/>
            </w:pPr>
            <w:r>
              <w:rPr>
                <w:rtl w:val="0"/>
              </w:rPr>
              <w:t xml:space="preserve">3%</w:t>
            </w:r>
            <w:r/>
          </w:p>
          <w:p w14:paraId="0000003B">
            <w:pPr>
              <w:pBdr/>
              <w:spacing/>
              <w:ind/>
              <w:jc w:val="right"/>
              <w:rPr/>
            </w:pPr>
            <w:r>
              <w:rPr>
                <w:rtl w:val="0"/>
              </w:rPr>
              <w:t xml:space="preserve">2%</w:t>
            </w:r>
            <w:r/>
          </w:p>
          <w:p w14:paraId="0000003C">
            <w:pPr>
              <w:pBdr/>
              <w:spacing/>
              <w:ind/>
              <w:jc w:val="right"/>
              <w:rPr/>
            </w:pPr>
            <w:r>
              <w:rPr>
                <w:rtl w:val="0"/>
              </w:rPr>
              <w:t xml:space="preserve">2%</w:t>
            </w:r>
            <w:r/>
          </w:p>
          <w:p w14:paraId="0000003D">
            <w:pPr>
              <w:pBdr/>
              <w:spacing/>
              <w:ind/>
              <w:jc w:val="right"/>
              <w:rPr/>
            </w:pPr>
            <w:r>
              <w:rPr>
                <w:rtl w:val="0"/>
              </w:rPr>
              <w:t xml:space="preserve">2%</w:t>
            </w:r>
            <w:r/>
          </w:p>
          <w:p w14:paraId="0000003E">
            <w:pPr>
              <w:pBdr/>
              <w:spacing/>
              <w:ind/>
              <w:jc w:val="right"/>
              <w:rPr/>
            </w:pPr>
            <w:r>
              <w:rPr>
                <w:rtl w:val="0"/>
              </w:rPr>
              <w:t xml:space="preserve">2%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3F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40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Chapter 2 </w:t>
            </w:r>
            <w:r>
              <w:rPr>
                <w:b/>
                <w:bCs/>
                <w:rtl w:val="0"/>
              </w:rPr>
              <w:t xml:space="preserve">(10%)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4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b/>
                <w:bCs/>
                <w:rtl w:val="0"/>
              </w:rPr>
              <w:t xml:space="preserve">Related Literature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4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Related Studies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  <w:p w14:paraId="0000004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Similar Titles in the Market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  <w:p w14:paraId="0000004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Synthesis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4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/>
            </w:pPr>
            <w:r>
              <w:rPr>
                <w:rtl w:val="0"/>
              </w:rPr>
            </w:r>
            <w:r/>
          </w:p>
          <w:p w14:paraId="00000046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/>
            </w:pPr>
            <w:r>
              <w:rPr>
                <w:rtl w:val="0"/>
              </w:rPr>
              <w:t xml:space="preserve">4%</w:t>
            </w:r>
            <w:r/>
          </w:p>
          <w:p w14:paraId="00000047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/>
            </w:pPr>
            <w:r>
              <w:rPr>
                <w:rtl w:val="0"/>
              </w:rPr>
              <w:t xml:space="preserve">2%</w:t>
            </w:r>
            <w:r/>
          </w:p>
          <w:p w14:paraId="0000004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/>
            </w:pPr>
            <w:r>
              <w:rPr>
                <w:rtl w:val="0"/>
              </w:rPr>
              <w:t xml:space="preserve">2%</w:t>
            </w:r>
            <w:r/>
          </w:p>
          <w:p w14:paraId="00000049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/>
            </w:pPr>
            <w:r>
              <w:rPr>
                <w:rtl w:val="0"/>
              </w:rPr>
              <w:t xml:space="preserve">2%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4A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4B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Chapter 3 (20%)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4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Requirement Analysis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  <w:p w14:paraId="0000004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Project Design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  <w:p w14:paraId="0000004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Project Development / Agile Scrum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  <w:p w14:paraId="0000004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Software Testing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  <w:p w14:paraId="0000005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Software Evaluation Model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  <w:p w14:paraId="0000005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Data Gathering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  <w:p w14:paraId="0000005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Sampling Technique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  <w:p w14:paraId="0000005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Respondents of the Study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  <w:p w14:paraId="0000005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Statistical Treatment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5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/>
            </w:pPr>
            <w:r>
              <w:rPr>
                <w:rtl w:val="0"/>
              </w:rPr>
            </w:r>
            <w:r/>
          </w:p>
          <w:p w14:paraId="00000056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/>
            </w:pPr>
            <w:r>
              <w:rPr>
                <w:rtl w:val="0"/>
              </w:rPr>
              <w:t xml:space="preserve">3%</w:t>
            </w:r>
            <w:r/>
          </w:p>
          <w:p w14:paraId="00000057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/>
            </w:pPr>
            <w:r>
              <w:rPr>
                <w:rtl w:val="0"/>
              </w:rPr>
              <w:t xml:space="preserve">5%</w:t>
            </w:r>
            <w:r/>
          </w:p>
          <w:p w14:paraId="0000005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/>
            </w:pPr>
            <w:r>
              <w:rPr>
                <w:rtl w:val="0"/>
              </w:rPr>
              <w:t xml:space="preserve">2%</w:t>
            </w:r>
            <w:r/>
          </w:p>
          <w:p w14:paraId="00000059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/>
            </w:pPr>
            <w:r>
              <w:rPr>
                <w:rtl w:val="0"/>
              </w:rPr>
              <w:t xml:space="preserve">2%</w:t>
            </w:r>
            <w:r/>
          </w:p>
          <w:p w14:paraId="0000005A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/>
            </w:pPr>
            <w:r>
              <w:rPr>
                <w:rtl w:val="0"/>
              </w:rPr>
              <w:t xml:space="preserve">2%</w:t>
            </w:r>
            <w:r/>
          </w:p>
          <w:p w14:paraId="0000005B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/>
            </w:pPr>
            <w:r>
              <w:rPr>
                <w:rtl w:val="0"/>
              </w:rPr>
              <w:t xml:space="preserve">2%</w:t>
            </w:r>
            <w:r/>
          </w:p>
          <w:p w14:paraId="0000005C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/>
            </w:pPr>
            <w:r>
              <w:rPr>
                <w:rtl w:val="0"/>
              </w:rPr>
              <w:t xml:space="preserve">2%</w:t>
            </w:r>
            <w:r/>
          </w:p>
          <w:p w14:paraId="0000005D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/>
            </w:pPr>
            <w:r>
              <w:rPr>
                <w:rtl w:val="0"/>
              </w:rPr>
              <w:t xml:space="preserve">1%</w:t>
            </w:r>
            <w:r/>
          </w:p>
          <w:p w14:paraId="0000005E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/>
            </w:pPr>
            <w:r>
              <w:rPr>
                <w:rtl w:val="0"/>
              </w:rPr>
              <w:t xml:space="preserve">1%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5F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60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Chapter 4 (15%)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6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8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Results and Discussion</w:t>
              <w:tab/>
              <w:tab/>
              <w:tab/>
              <w:tab/>
              <w:tab/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6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/>
            </w:pPr>
            <w:r>
              <w:rPr>
                <w:rtl w:val="0"/>
              </w:rPr>
            </w:r>
            <w:r/>
          </w:p>
          <w:p w14:paraId="0000006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/>
            </w:pPr>
            <w:r>
              <w:rPr>
                <w:rtl w:val="0"/>
              </w:rPr>
              <w:t xml:space="preserve">15%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64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6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Chapter 5 (5%</w:t>
            </w:r>
            <w:r>
              <w:rPr>
                <w:b/>
                <w:bCs/>
                <w:rtl w:val="0"/>
              </w:rPr>
              <w:t xml:space="preserve">)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6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4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b/>
                <w:bCs/>
                <w:rtl w:val="0"/>
              </w:rPr>
              <w:t xml:space="preserve">Conclusion 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67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/>
            </w:pPr>
            <w:r>
              <w:rPr>
                <w:rtl w:val="0"/>
              </w:rPr>
            </w:r>
            <w:r/>
          </w:p>
          <w:p w14:paraId="0000006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/>
            </w:pPr>
            <w:r>
              <w:rPr>
                <w:rtl w:val="0"/>
              </w:rPr>
              <w:t xml:space="preserve">5%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69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6A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Chapter 6 (5%)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6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2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b/>
                <w:bCs/>
                <w:rtl w:val="0"/>
              </w:rPr>
              <w:t xml:space="preserve">Recommendations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6C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/>
            </w:pPr>
            <w:r>
              <w:rPr>
                <w:rtl w:val="0"/>
              </w:rPr>
            </w:r>
            <w:r/>
          </w:p>
          <w:p w14:paraId="0000006D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/>
            </w:pPr>
            <w:r>
              <w:rPr>
                <w:rtl w:val="0"/>
              </w:rPr>
              <w:t xml:space="preserve">5%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6E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6F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BIBLIOGRAPHY &amp; APPENDICES (2</w:t>
            </w:r>
            <w:r>
              <w:rPr>
                <w:b/>
                <w:bCs/>
                <w:rtl w:val="0"/>
              </w:rPr>
              <w:t xml:space="preserve">1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%)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7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9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Bibliography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  <w:p w14:paraId="0000007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9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Appendix A - Communication Letters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  <w:p w14:paraId="0000007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9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Appendix B - Sample Evaluation Instrument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  <w:p w14:paraId="0000007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9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Appendix C - Sample Input/Output/Reports/Storyboard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  <w:p w14:paraId="0000007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9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Appendix D - Other Documents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  <w:p w14:paraId="0000007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9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b/>
                <w:bCs/>
                <w:u w:val="none"/>
              </w:rPr>
            </w:pPr>
            <w:r>
              <w:rPr>
                <w:b/>
                <w:bCs/>
                <w:rtl w:val="0"/>
              </w:rPr>
              <w:t xml:space="preserve">Appendix E - Curriculum Vitae</w:t>
            </w:r>
            <w:r>
              <w:rPr>
                <w:b/>
                <w:bCs/>
                <w:u w:val="none"/>
              </w:rPr>
            </w:r>
            <w:r>
              <w:rPr>
                <w:b/>
                <w:bCs/>
                <w:u w:val="none"/>
              </w:rPr>
            </w:r>
          </w:p>
          <w:p w14:paraId="00000076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77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/>
            </w:pPr>
            <w:r>
              <w:rPr>
                <w:rtl w:val="0"/>
              </w:rPr>
            </w:r>
            <w:r/>
          </w:p>
          <w:p w14:paraId="0000007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/>
            </w:pPr>
            <w:r>
              <w:rPr>
                <w:rtl w:val="0"/>
              </w:rPr>
              <w:t xml:space="preserve">4%</w:t>
            </w:r>
            <w:r/>
          </w:p>
          <w:p w14:paraId="00000079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/>
            </w:pPr>
            <w:r>
              <w:rPr>
                <w:rtl w:val="0"/>
              </w:rPr>
              <w:t xml:space="preserve">5%</w:t>
            </w:r>
            <w:r/>
          </w:p>
          <w:p w14:paraId="0000007A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/>
            </w:pPr>
            <w:r>
              <w:rPr>
                <w:rtl w:val="0"/>
              </w:rPr>
              <w:t xml:space="preserve">3%</w:t>
            </w:r>
            <w:r/>
          </w:p>
          <w:p w14:paraId="0000007B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/>
            </w:pPr>
            <w:r>
              <w:rPr>
                <w:rtl w:val="0"/>
              </w:rPr>
              <w:t xml:space="preserve">2%</w:t>
            </w:r>
            <w:r/>
          </w:p>
          <w:p w14:paraId="0000007C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/>
            </w:pPr>
            <w:r>
              <w:rPr>
                <w:rtl w:val="0"/>
              </w:rPr>
              <w:t xml:space="preserve">6%</w:t>
            </w:r>
            <w:r/>
          </w:p>
          <w:p w14:paraId="0000007D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/>
            </w:pPr>
            <w:r>
              <w:rPr>
                <w:rtl w:val="0"/>
              </w:rPr>
              <w:t xml:space="preserve">1%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7E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7F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80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100%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8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8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8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84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</w:tbl>
    <w:p w14:paraId="00000085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r>
    </w:p>
    <w:p w14:paraId="00000086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  <w:rtl w:val="0"/>
        </w:rPr>
        <w:t xml:space="preserve">WEB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r>
    </w:p>
    <w:tbl>
      <w:tblPr>
        <w:tblStyle w:val="920"/>
        <w:tblW w:w="9350" w:type="dxa"/>
        <w:tblBorders>
          <w:top w:val="single" w:color="006600" w:sz="4" w:space="0"/>
          <w:left w:val="single" w:color="006600" w:sz="4" w:space="0"/>
          <w:bottom w:val="single" w:color="006600" w:sz="4" w:space="0"/>
          <w:right w:val="single" w:color="006600" w:sz="4" w:space="0"/>
          <w:insideH w:val="single" w:color="006600" w:sz="4" w:space="0"/>
          <w:insideV w:val="single" w:color="006600" w:sz="4" w:space="0"/>
        </w:tblBorders>
        <w:tblLayout w:type="fixed"/>
        <w:tblLook w:val="0400" w:firstRow="0" w:lastRow="0" w:firstColumn="0" w:lastColumn="0" w:noHBand="0" w:noVBand="1"/>
      </w:tblPr>
      <w:tblGrid>
        <w:gridCol w:w="6497"/>
        <w:gridCol w:w="1249"/>
        <w:gridCol w:w="1604"/>
        <w:tblGridChange w:id="2">
          <w:tblGrid>
            <w:gridCol w:w="6487"/>
            <w:gridCol w:w="1259"/>
            <w:gridCol w:w="1604"/>
          </w:tblGrid>
        </w:tblGridChange>
      </w:tblGrid>
      <w:tr>
        <w:trPr>
          <w:cantSplit w:val="false"/>
          <w:trHeight w:val="545"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87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SPECIFIC MODULES / TASKS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8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Percentage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89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Remarks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  <w:trHeight w:val="2676"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46AEE3FC">
            <w:pPr>
              <w:pBdr/>
              <w:spacing/>
              <w:ind/>
              <w:rPr>
                <w:rFonts w:ascii="Arial" w:hAnsi="Arial" w:eastAsia="Arial" w:cs="Arial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Module 1.0: Account &amp; Access Management (15%)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  <w:highlight w:val="none"/>
              </w:rPr>
            </w:r>
          </w:p>
          <w:p w14:paraId="39EADB9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1.1 Patient Authentication &amp; Registration</w:t>
            </w:r>
            <w:r/>
          </w:p>
          <w:p w14:paraId="338BDA9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1.1.1 Patient self-registration form with validation</w:t>
            </w:r>
            <w:r/>
          </w:p>
          <w:p w14:paraId="5F2066A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1.1.2 Data Privacy Agreement (RA 10173) acceptance</w:t>
            </w:r>
            <w:r/>
          </w:p>
          <w:p w14:paraId="7FA96D2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1.1.3 Patient login and dashboard redirect</w:t>
            </w:r>
            <w:r/>
          </w:p>
          <w:p w14:paraId="17524E6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1.2 Staff &amp; Specialist Authentication</w:t>
            </w:r>
            <w:r/>
          </w:p>
          <w:p w14:paraId="58CA606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1.2.1 Staff login with TOTP multi-factor authentication</w:t>
            </w:r>
            <w:r/>
          </w:p>
          <w:p w14:paraId="6FD79A4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1.2.2 Role-based dashboard redirect (5 roles)</w:t>
            </w:r>
            <w:r/>
          </w:p>
          <w:p w14:paraId="148D534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1.3 Personnel Management</w:t>
            </w:r>
            <w:r/>
          </w:p>
          <w:p w14:paraId="47E35C7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1.3.1 Staff account list and search</w:t>
            </w:r>
            <w:r/>
          </w:p>
          <w:p w14:paraId="59A6F11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1.3.2 Create new staff account with role assignment</w:t>
            </w:r>
            <w:r/>
          </w:p>
          <w:p w14:paraId="15A2151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1.3.3 Edit staff role and department assignment</w:t>
            </w:r>
            <w:r/>
          </w:p>
          <w:p w14:paraId="4077E91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1.3.4 Deactivate and reactivate staff account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7565741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05F39A9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1758FCC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2%</w:t>
            </w:r>
            <w:r/>
          </w:p>
          <w:p w14:paraId="7FCF13D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1%</w:t>
            </w:r>
            <w:r/>
          </w:p>
          <w:p w14:paraId="25DBBF9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2%</w:t>
            </w:r>
            <w:r/>
          </w:p>
          <w:p w14:paraId="7965FE4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3BE1ACC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3%</w:t>
            </w:r>
            <w:r/>
          </w:p>
          <w:p w14:paraId="54A84B2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2%</w:t>
            </w:r>
            <w:r/>
          </w:p>
          <w:p w14:paraId="5902FE6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3BDB926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2%</w:t>
            </w:r>
            <w:r/>
          </w:p>
          <w:p w14:paraId="5CDB787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1%</w:t>
            </w:r>
            <w:r/>
          </w:p>
          <w:p w14:paraId="2800DB9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1%</w:t>
            </w:r>
            <w:r/>
          </w:p>
          <w:p w14:paraId="2112C4A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1%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9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  <w:trHeight w:val="1111"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4306FE2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Module 2.0: Patient Inquiry &amp; Reception (20%)</w:t>
            </w:r>
            <w:r/>
          </w:p>
          <w:p w14:paraId="0D15A82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2.1 AI Chatbot Handling</w:t>
            </w:r>
            <w:r/>
          </w:p>
          <w:p w14:paraId="426C771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2.1.1 Patient-facing chatbot web interface</w:t>
            </w:r>
            <w:r/>
          </w:p>
          <w:p w14:paraId="50F5BF3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2.1.2 RAG knowledge retrieval and response generation</w:t>
            </w:r>
            <w:r/>
          </w:p>
          <w:p w14:paraId="740E68C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2.1.3 Chatbot session rate limiting</w:t>
            </w:r>
            <w:r/>
          </w:p>
          <w:p w14:paraId="36E74A2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2.1.4 Chatbot query audit logging</w:t>
            </w:r>
            <w:r/>
          </w:p>
          <w:p w14:paraId="2F08E0D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2.2 Centralized Reception</w:t>
            </w:r>
            <w:r/>
          </w:p>
          <w:p w14:paraId="124B161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2.2.1 5-column Kanban reception queue board</w:t>
            </w:r>
            <w:r/>
          </w:p>
          <w:p w14:paraId="7EFE0B8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2.2.2 Real-time queue updates (Supabase Realtime)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7009364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124CF26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33B9CFA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2%</w:t>
            </w:r>
            <w:r/>
          </w:p>
          <w:p w14:paraId="2634830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5%</w:t>
            </w:r>
            <w:r/>
          </w:p>
          <w:p w14:paraId="2435526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1%</w:t>
            </w:r>
            <w:r/>
          </w:p>
          <w:p w14:paraId="2A70D95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2%</w:t>
            </w:r>
            <w:r/>
          </w:p>
          <w:p w14:paraId="65470CD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7596DB7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5%</w:t>
            </w:r>
            <w:r/>
          </w:p>
          <w:p w14:paraId="5F30909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5%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578D2F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6618648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2E766C9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7F4A489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</w:tc>
      </w:tr>
      <w:tr>
        <w:trPr>
          <w:cantSplit w:val="false"/>
          <w:trHeight w:val="2601"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79F8FE9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Module 3.0: Document Processing &amp; Review (20%)</w:t>
            </w:r>
            <w:r/>
          </w:p>
          <w:p w14:paraId="1216D49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3.1 Document Template Submission</w:t>
            </w:r>
            <w:r/>
          </w:p>
          <w:p w14:paraId="384CBAA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3.1.1 Web document upload form (patient-facing)</w:t>
            </w:r>
            <w:r/>
          </w:p>
          <w:p w14:paraId="08AA444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3.1.2 Document status tracking (5-stage pipeline)</w:t>
            </w:r>
            <w:r/>
          </w:p>
          <w:p w14:paraId="42CD58E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3.2 Edge OCR Scanning — Web Display</w:t>
            </w:r>
            <w:r/>
          </w:p>
          <w:p w14:paraId="4540BB1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3.2.1 OCR confidence score display per field</w:t>
            </w:r>
            <w:r/>
          </w:p>
          <w:p w14:paraId="720148E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3.2.2 Flagged field highlighting in approval screen</w:t>
            </w:r>
            <w:r/>
          </w:p>
          <w:p w14:paraId="100E794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3.3 Staff Document Review</w:t>
            </w:r>
            <w:r/>
          </w:p>
          <w:p w14:paraId="15DD9FE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3.3.1 3-panel document approval screen</w:t>
            </w:r>
            <w:r/>
          </w:p>
          <w:p w14:paraId="590142B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3.3.2 Patient triage routing and queue assignment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10D53A0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2EB73F9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436379F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3%</w:t>
            </w:r>
            <w:r/>
          </w:p>
          <w:p w14:paraId="1C210DE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2%</w:t>
            </w:r>
            <w:r/>
          </w:p>
          <w:p w14:paraId="242F83F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6A7581A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3%</w:t>
            </w:r>
            <w:r/>
          </w:p>
          <w:p w14:paraId="39C507E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2%</w:t>
            </w:r>
            <w:r/>
          </w:p>
          <w:p w14:paraId="50F7510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40414D5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5%</w:t>
            </w:r>
            <w:r/>
          </w:p>
          <w:p w14:paraId="62C36BE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5%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52E3D77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</w:tc>
      </w:tr>
      <w:tr>
        <w:trPr>
          <w:cantSplit w:val="false"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6917852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Module 4.0: Medical Records &amp; Analytics (30%)</w:t>
            </w:r>
            <w:r/>
          </w:p>
          <w:p w14:paraId="23C95A4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4.1 Departmental Records Management</w:t>
            </w:r>
            <w:r/>
          </w:p>
          <w:p w14:paraId="4F85C10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4.1.1 Department patient queue display with queue numbers</w:t>
            </w:r>
            <w:r/>
          </w:p>
          <w:p w14:paraId="3B34D6A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4.1.2 Dynamic record entry form (per-department fields)</w:t>
            </w:r>
            <w:r/>
          </w:p>
          <w:p w14:paraId="4DE6837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4.1.3 Automatic out-of-range value flagging</w:t>
            </w:r>
            <w:r/>
          </w:p>
          <w:p w14:paraId="68FB4A3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4.1.4 Records history table with search and pagination</w:t>
            </w:r>
            <w:r/>
          </w:p>
          <w:p w14:paraId="27624E0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4.2 Physician Descriptive Analysis</w:t>
            </w:r>
            <w:r/>
          </w:p>
          <w:p w14:paraId="4BFE2C0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4.2.1 Patient search and filter by department and date</w:t>
            </w:r>
            <w:r/>
          </w:p>
          <w:p w14:paraId="0D0FD7C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4.2.2 Longitudinal analytics chart (line chart vs time)</w:t>
            </w:r>
            <w:r/>
          </w:p>
          <w:p w14:paraId="4940CA1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4.2.3 Reference range band visualization (normal range overlay)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7B6B04B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699A156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2A33117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3%</w:t>
            </w:r>
            <w:r/>
          </w:p>
          <w:p w14:paraId="2CEDE0D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5%</w:t>
            </w:r>
            <w:r/>
          </w:p>
          <w:p w14:paraId="6DA078D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5%</w:t>
            </w:r>
            <w:r/>
          </w:p>
          <w:p w14:paraId="29AE1DD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2%</w:t>
            </w:r>
            <w:r/>
          </w:p>
          <w:p w14:paraId="7EB8217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440BD42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5%</w:t>
            </w:r>
            <w:r/>
          </w:p>
          <w:p w14:paraId="31B3711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5%</w:t>
            </w:r>
            <w:r/>
          </w:p>
          <w:p w14:paraId="4F3A9DD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5%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75CA917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00E276E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4C1E6F7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4AB3FE0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6E6818D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181DDE7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5CAFC35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18BB0BB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2967F1D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501252C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</w:tc>
      </w:tr>
      <w:tr>
        <w:trPr>
          <w:cantSplit w:val="false"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172F9B6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Module 5.0: System Administration (15%)</w:t>
            </w:r>
            <w:r/>
          </w:p>
          <w:p w14:paraId="31BB4B2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5.1 RAG Knowledge Base Management</w:t>
            </w:r>
            <w:r/>
          </w:p>
          <w:p w14:paraId="17C2EE6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5.1.1 Policy document upload and text extraction (Gemini)</w:t>
            </w:r>
            <w:r/>
          </w:p>
          <w:p w14:paraId="0C25A65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5.1.2 Embedding pipeline and pgvector indexing</w:t>
            </w:r>
            <w:r/>
          </w:p>
          <w:p w14:paraId="6AD9F5E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5.1.3 Knowledge base document activation management</w:t>
            </w:r>
            <w:r/>
          </w:p>
          <w:p w14:paraId="0E1A42D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5.2 Reporting &amp; Workflow Tracking</w:t>
            </w:r>
            <w:r/>
          </w:p>
          <w:p w14:paraId="48308B5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5.2.1 System event log viewer with search and filters</w:t>
            </w:r>
            <w:r/>
          </w:p>
          <w:p w14:paraId="000000B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3F02B957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br/>
            </w:r>
            <w:r/>
          </w:p>
          <w:p w14:paraId="480917C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5%</w:t>
            </w:r>
            <w:r/>
          </w:p>
          <w:p w14:paraId="049FEAE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5%</w:t>
            </w:r>
            <w:r/>
          </w:p>
          <w:p w14:paraId="451A481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2%</w:t>
            </w:r>
            <w:r/>
          </w:p>
          <w:p w14:paraId="6907E65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31DAA63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3%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32F41F7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081A000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3F27640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3FD8C81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3DDD367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5AC62DB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  <w:p w14:paraId="7B48313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</w:tc>
      </w:tr>
    </w:tbl>
    <w:p w14:paraId="000000B6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B7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r>
    </w:p>
    <w:p w14:paraId="000000B8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r>
    </w:p>
    <w:p w14:paraId="000000B9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r>
    </w:p>
    <w:p w14:paraId="000000BA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r>
    </w:p>
    <w:p w14:paraId="000000BB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r>
    </w:p>
    <w:p w14:paraId="239AA575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/>
          <w:bCs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/>
          <w:bCs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r>
    </w:p>
    <w:p w14:paraId="682A6F32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/>
          <w:bCs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/>
          <w:bCs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r>
    </w:p>
    <w:p w14:paraId="71AF8074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/>
          <w:bCs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/>
          <w:bCs w:val="0"/>
          <w:i w:val="0"/>
          <w:smallCaps w:val="0"/>
          <w:strike w:val="0"/>
          <w:color w:val="000000"/>
          <w:sz w:val="36"/>
          <w:szCs w:val="36"/>
          <w:u w:val="none"/>
          <w:vertAlign w:val="baseline"/>
        </w:rPr>
      </w:r>
    </w:p>
    <w:p w14:paraId="000000BC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  <w:lang w:val="en-US"/>
        </w:rPr>
        <w:t xml:space="preserve">//ignore for now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r>
    </w:p>
    <w:p w14:paraId="000000BD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  <w:rtl w:val="0"/>
        </w:rPr>
        <w:t xml:space="preserve">MOBILE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r>
    </w:p>
    <w:p w14:paraId="000000BE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color="auto" w:fill="auto"/>
          <w:vertAlign w:val="baseline"/>
        </w:rPr>
      </w:r>
    </w:p>
    <w:tbl>
      <w:tblPr>
        <w:tblStyle w:val="921"/>
        <w:tblW w:w="9350" w:type="dxa"/>
        <w:tblBorders>
          <w:top w:val="single" w:color="006600" w:sz="4" w:space="0"/>
          <w:left w:val="single" w:color="006600" w:sz="4" w:space="0"/>
          <w:bottom w:val="single" w:color="006600" w:sz="4" w:space="0"/>
          <w:right w:val="single" w:color="006600" w:sz="4" w:space="0"/>
          <w:insideH w:val="single" w:color="006600" w:sz="4" w:space="0"/>
          <w:insideV w:val="single" w:color="006600" w:sz="4" w:space="0"/>
        </w:tblBorders>
        <w:tblLayout w:type="fixed"/>
        <w:tblLook w:val="0400" w:firstRow="0" w:lastRow="0" w:firstColumn="0" w:lastColumn="0" w:noHBand="0" w:noVBand="1"/>
      </w:tblPr>
      <w:tblGrid>
        <w:gridCol w:w="6487"/>
        <w:gridCol w:w="1259"/>
        <w:gridCol w:w="1604"/>
        <w:tblGridChange w:id="3">
          <w:tblGrid>
            <w:gridCol w:w="6487"/>
            <w:gridCol w:w="1259"/>
            <w:gridCol w:w="1604"/>
          </w:tblGrid>
        </w:tblGridChange>
      </w:tblGrid>
      <w:tr>
        <w:trPr>
          <w:cantSplit w:val="false"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BF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SPECIFIC MODULES / TASKS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C0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Percentage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C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Remarks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C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Module 1: Module 1 (50%)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C3">
            <w:pPr>
              <w:keepNext w:val="false"/>
              <w:keepLines w:val="false"/>
              <w:pageBreakBefore w:val="false"/>
              <w:widowControl w:val="true"/>
              <w:numPr>
                <w:ilvl w:val="1"/>
                <w:numId w:val="5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1080"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Module 1 A</w:t>
            </w:r>
            <w:r/>
          </w:p>
          <w:p w14:paraId="000000C4">
            <w:pPr>
              <w:keepNext w:val="false"/>
              <w:keepLines w:val="false"/>
              <w:pageBreakBefore w:val="false"/>
              <w:widowControl w:val="true"/>
              <w:numPr>
                <w:ilvl w:val="2"/>
                <w:numId w:val="5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720" w:left="2160"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Detailed Module 1.a</w:t>
            </w:r>
            <w:r/>
          </w:p>
          <w:p w14:paraId="000000C5">
            <w:pPr>
              <w:keepNext w:val="false"/>
              <w:keepLines w:val="false"/>
              <w:pageBreakBefore w:val="false"/>
              <w:widowControl w:val="true"/>
              <w:numPr>
                <w:ilvl w:val="2"/>
                <w:numId w:val="5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720" w:left="2160"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Detailed Module 1.b</w:t>
            </w:r>
            <w:r/>
          </w:p>
          <w:p w14:paraId="000000C6">
            <w:pPr>
              <w:keepNext w:val="false"/>
              <w:keepLines w:val="false"/>
              <w:pageBreakBefore w:val="false"/>
              <w:widowControl w:val="true"/>
              <w:numPr>
                <w:ilvl w:val="1"/>
                <w:numId w:val="5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1080"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Module 1 B</w:t>
            </w:r>
            <w:r/>
          </w:p>
          <w:p w14:paraId="000000C7">
            <w:pPr>
              <w:keepNext w:val="false"/>
              <w:keepLines w:val="false"/>
              <w:pageBreakBefore w:val="false"/>
              <w:widowControl w:val="true"/>
              <w:numPr>
                <w:ilvl w:val="1"/>
                <w:numId w:val="5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1080"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Module 1 C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C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C9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20%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CA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10%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CB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10%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CC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10%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CD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CE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Module 2 : Module 2 (30%)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CF">
            <w:pPr>
              <w:keepNext w:val="false"/>
              <w:keepLines w:val="false"/>
              <w:pageBreakBefore w:val="false"/>
              <w:widowControl w:val="true"/>
              <w:numPr>
                <w:ilvl w:val="1"/>
                <w:numId w:val="6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1080"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Module 2 A</w:t>
            </w:r>
            <w:r/>
          </w:p>
          <w:p w14:paraId="000000D0">
            <w:pPr>
              <w:keepNext w:val="false"/>
              <w:keepLines w:val="false"/>
              <w:pageBreakBefore w:val="false"/>
              <w:widowControl w:val="true"/>
              <w:numPr>
                <w:ilvl w:val="2"/>
                <w:numId w:val="6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720" w:left="2160"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Detailed Module 2.a</w:t>
            </w:r>
            <w:r/>
          </w:p>
          <w:p w14:paraId="000000D1">
            <w:pPr>
              <w:keepNext w:val="false"/>
              <w:keepLines w:val="false"/>
              <w:pageBreakBefore w:val="false"/>
              <w:widowControl w:val="true"/>
              <w:numPr>
                <w:ilvl w:val="2"/>
                <w:numId w:val="6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720" w:left="2160"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Detailed Module 2.b</w:t>
            </w:r>
            <w:r/>
          </w:p>
          <w:p w14:paraId="000000D2">
            <w:pPr>
              <w:keepNext w:val="false"/>
              <w:keepLines w:val="false"/>
              <w:pageBreakBefore w:val="false"/>
              <w:widowControl w:val="true"/>
              <w:numPr>
                <w:ilvl w:val="2"/>
                <w:numId w:val="6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720" w:left="2160"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Detailed Module 2.c</w:t>
            </w:r>
            <w:r/>
          </w:p>
          <w:p w14:paraId="000000D3">
            <w:pPr>
              <w:keepNext w:val="false"/>
              <w:keepLines w:val="false"/>
              <w:pageBreakBefore w:val="false"/>
              <w:widowControl w:val="true"/>
              <w:numPr>
                <w:ilvl w:val="1"/>
                <w:numId w:val="6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1080"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Module 2 B</w:t>
            </w:r>
            <w:r/>
          </w:p>
          <w:p w14:paraId="000000D4">
            <w:pPr>
              <w:keepNext w:val="false"/>
              <w:keepLines w:val="false"/>
              <w:pageBreakBefore w:val="false"/>
              <w:widowControl w:val="true"/>
              <w:numPr>
                <w:ilvl w:val="1"/>
                <w:numId w:val="6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1080"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Module 2 C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D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D6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D7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2%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D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5%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D9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5%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DA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10%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DB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10%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DC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DD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Module 3 : Module 3 (20%)</w:t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DE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ab/>
              <w:t xml:space="preserve">3.1 Module 3 A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DF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ab/>
              <w:t xml:space="preserve">3.2 Module 3 B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E0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ab/>
              <w:t xml:space="preserve">3.3 Module 3 C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E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ab/>
              <w:t xml:space="preserve">3.4 Module 3 D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E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E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5%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E4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5%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E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5%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E6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5%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E7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E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E9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100%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EA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EB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EC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extDirection w:val="lrTb"/>
            <w:noWrap w:val="false"/>
          </w:tcPr>
          <w:p w14:paraId="000000ED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</w:tbl>
    <w:p w14:paraId="000000EE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EF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216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Approved by: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F0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F1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F2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22"/>
        <w:jc w:val="center"/>
        <w:tblW w:w="504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00" w:firstRow="0" w:lastRow="0" w:firstColumn="0" w:lastColumn="0" w:noHBand="0" w:noVBand="1"/>
      </w:tblPr>
      <w:tblGrid>
        <w:gridCol w:w="5040"/>
        <w:tblGridChange w:id="4">
          <w:tblGrid>
            <w:gridCol w:w="5040"/>
          </w:tblGrid>
        </w:tblGridChange>
      </w:tblGrid>
      <w:tr>
        <w:trPr>
          <w:cantSplit w:val="false"/>
        </w:trPr>
        <w:tc>
          <w:tcPr>
            <w:tcBorders>
              <w:bottom w:val="single" w:color="000000" w:sz="4" w:space="0"/>
            </w:tcBorders>
            <w:textDirection w:val="lrTb"/>
            <w:noWrap w:val="false"/>
          </w:tcPr>
          <w:p w14:paraId="000000F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</w:tcBorders>
            <w:textDirection w:val="lrTb"/>
            <w:noWrap w:val="false"/>
          </w:tcPr>
          <w:p w14:paraId="000000F4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Project Adviser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</w:tbl>
    <w:p w14:paraId="000000F5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F6">
      <w:pPr>
        <w:pBdr/>
        <w:spacing/>
        <w:ind w:firstLine="720" w:left="1440"/>
        <w:rPr/>
      </w:pPr>
      <w:r>
        <w:rPr>
          <w:rtl w:val="0"/>
        </w:rPr>
        <w:t xml:space="preserve">Noted by:</w:t>
      </w:r>
      <w:r/>
    </w:p>
    <w:p w14:paraId="000000F7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F8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F9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23"/>
        <w:jc w:val="center"/>
        <w:tblW w:w="504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00" w:firstRow="0" w:lastRow="0" w:firstColumn="0" w:lastColumn="0" w:noHBand="0" w:noVBand="1"/>
      </w:tblPr>
      <w:tblGrid>
        <w:gridCol w:w="5040"/>
        <w:tblGridChange w:id="5">
          <w:tblGrid>
            <w:gridCol w:w="5040"/>
          </w:tblGrid>
        </w:tblGridChange>
      </w:tblGrid>
      <w:tr>
        <w:trPr>
          <w:cantSplit w:val="false"/>
        </w:trPr>
        <w:tc>
          <w:tcPr>
            <w:tcBorders>
              <w:bottom w:val="single" w:color="000000" w:sz="4" w:space="0"/>
            </w:tcBorders>
            <w:textDirection w:val="lrTb"/>
            <w:noWrap w:val="false"/>
          </w:tcPr>
          <w:p w14:paraId="000000FA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</w:tcBorders>
            <w:textDirection w:val="lrTb"/>
            <w:noWrap w:val="false"/>
          </w:tcPr>
          <w:p w14:paraId="000000FB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Project Manager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</w:tbl>
    <w:p w14:paraId="000000FC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FD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24"/>
        <w:jc w:val="center"/>
        <w:tblW w:w="504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00" w:firstRow="0" w:lastRow="0" w:firstColumn="0" w:lastColumn="0" w:noHBand="0" w:noVBand="1"/>
      </w:tblPr>
      <w:tblGrid>
        <w:gridCol w:w="5040"/>
        <w:tblGridChange w:id="6">
          <w:tblGrid>
            <w:gridCol w:w="5040"/>
          </w:tblGrid>
        </w:tblGridChange>
      </w:tblGrid>
      <w:tr>
        <w:trPr>
          <w:cantSplit w:val="false"/>
        </w:trPr>
        <w:tc>
          <w:tcPr>
            <w:tcBorders>
              <w:bottom w:val="single" w:color="000000" w:sz="4" w:space="0"/>
            </w:tcBorders>
            <w:textDirection w:val="lrTb"/>
            <w:noWrap w:val="false"/>
          </w:tcPr>
          <w:p w14:paraId="000000FE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</w:tcBorders>
            <w:textDirection w:val="lrTb"/>
            <w:noWrap w:val="false"/>
          </w:tcPr>
          <w:p w14:paraId="000000FF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Course Adviser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</w:tbl>
    <w:p w14:paraId="00000100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%1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6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2880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60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468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76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648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7200"/>
      </w:pPr>
      <w:rPr/>
      <w:start w:val="1"/>
      <w:suff w:val="tab"/>
    </w:lvl>
  </w:abstractNum>
  <w:abstractNum w:abstractNumId="5">
    <w:lvl w:ilvl="0">
      <w:isLgl w:val="false"/>
      <w:lvlJc w:val="left"/>
      <w:lvlText w:val="%1"/>
      <w:numFmt w:val="decimal"/>
      <w:pPr>
        <w:pBdr/>
        <w:spacing/>
        <w:ind w:hanging="360" w:left="360"/>
      </w:pPr>
      <w:rPr/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6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2880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60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468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76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648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7200"/>
      </w:pPr>
      <w:rPr/>
      <w:start w:val="1"/>
      <w:suff w:val="tab"/>
    </w:lvl>
  </w:abstractNum>
  <w:abstractNum w:abstractNumId="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n-PH" w:eastAsia="zh-CN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Table Grid"/>
    <w:basedOn w:val="7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Table Grid Light"/>
    <w:basedOn w:val="7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7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7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7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7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7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7"/>
    <w:basedOn w:val="909"/>
    <w:next w:val="909"/>
    <w:link w:val="86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5">
    <w:name w:val="Heading 8"/>
    <w:basedOn w:val="909"/>
    <w:next w:val="909"/>
    <w:link w:val="86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Heading 9"/>
    <w:basedOn w:val="909"/>
    <w:next w:val="909"/>
    <w:link w:val="86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7" w:default="1">
    <w:name w:val="Default Paragraph Font"/>
    <w:uiPriority w:val="1"/>
    <w:semiHidden/>
    <w:unhideWhenUsed/>
    <w:pPr>
      <w:pBdr/>
      <w:spacing/>
      <w:ind/>
    </w:pPr>
  </w:style>
  <w:style w:type="numbering" w:styleId="858" w:default="1">
    <w:name w:val="No List"/>
    <w:uiPriority w:val="99"/>
    <w:semiHidden/>
    <w:unhideWhenUsed/>
    <w:pPr>
      <w:pBdr/>
      <w:spacing/>
      <w:ind/>
    </w:pPr>
  </w:style>
  <w:style w:type="character" w:styleId="859">
    <w:name w:val="Heading 1 Char"/>
    <w:basedOn w:val="857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0">
    <w:name w:val="Heading 2 Char"/>
    <w:basedOn w:val="857"/>
    <w:link w:val="9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1">
    <w:name w:val="Heading 3 Char"/>
    <w:basedOn w:val="857"/>
    <w:link w:val="9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2">
    <w:name w:val="Heading 4 Char"/>
    <w:basedOn w:val="857"/>
    <w:link w:val="9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3">
    <w:name w:val="Heading 5 Char"/>
    <w:basedOn w:val="857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4">
    <w:name w:val="Heading 6 Char"/>
    <w:basedOn w:val="857"/>
    <w:link w:val="9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5">
    <w:name w:val="Heading 7 Char"/>
    <w:basedOn w:val="857"/>
    <w:link w:val="85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6">
    <w:name w:val="Heading 8 Char"/>
    <w:basedOn w:val="857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Heading 9 Char"/>
    <w:basedOn w:val="857"/>
    <w:link w:val="8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8">
    <w:name w:val="Title Char"/>
    <w:basedOn w:val="857"/>
    <w:link w:val="9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9">
    <w:name w:val="Subtitle Char"/>
    <w:basedOn w:val="857"/>
    <w:link w:val="91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909"/>
    <w:next w:val="909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857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2">
    <w:name w:val="List Paragraph"/>
    <w:basedOn w:val="909"/>
    <w:uiPriority w:val="34"/>
    <w:qFormat/>
    <w:pPr>
      <w:pBdr/>
      <w:spacing/>
      <w:ind w:left="720"/>
      <w:contextualSpacing w:val="true"/>
    </w:pPr>
  </w:style>
  <w:style w:type="character" w:styleId="873">
    <w:name w:val="Intense Emphasis"/>
    <w:basedOn w:val="85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4">
    <w:name w:val="Intense Quote"/>
    <w:basedOn w:val="909"/>
    <w:next w:val="909"/>
    <w:link w:val="8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5">
    <w:name w:val="Intense Quote Char"/>
    <w:basedOn w:val="857"/>
    <w:link w:val="8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6">
    <w:name w:val="Intense Reference"/>
    <w:basedOn w:val="85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7">
    <w:name w:val="No Spacing"/>
    <w:basedOn w:val="909"/>
    <w:uiPriority w:val="1"/>
    <w:qFormat/>
    <w:pPr>
      <w:pBdr/>
      <w:spacing w:after="0" w:line="240" w:lineRule="auto"/>
      <w:ind/>
    </w:pPr>
  </w:style>
  <w:style w:type="character" w:styleId="878">
    <w:name w:val="Subtle Emphasis"/>
    <w:basedOn w:val="85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9">
    <w:name w:val="Emphasis"/>
    <w:basedOn w:val="857"/>
    <w:uiPriority w:val="20"/>
    <w:qFormat/>
    <w:pPr>
      <w:pBdr/>
      <w:spacing/>
      <w:ind/>
    </w:pPr>
    <w:rPr>
      <w:i/>
      <w:iCs/>
    </w:rPr>
  </w:style>
  <w:style w:type="character" w:styleId="880">
    <w:name w:val="Strong"/>
    <w:basedOn w:val="857"/>
    <w:uiPriority w:val="22"/>
    <w:qFormat/>
    <w:pPr>
      <w:pBdr/>
      <w:spacing/>
      <w:ind/>
    </w:pPr>
    <w:rPr>
      <w:b/>
      <w:bCs/>
    </w:rPr>
  </w:style>
  <w:style w:type="character" w:styleId="881">
    <w:name w:val="Subtle Reference"/>
    <w:basedOn w:val="85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2">
    <w:name w:val="Book Title"/>
    <w:basedOn w:val="85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3">
    <w:name w:val="Header"/>
    <w:basedOn w:val="909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Header Char"/>
    <w:basedOn w:val="857"/>
    <w:link w:val="883"/>
    <w:uiPriority w:val="99"/>
    <w:pPr>
      <w:pBdr/>
      <w:spacing/>
      <w:ind/>
    </w:pPr>
  </w:style>
  <w:style w:type="paragraph" w:styleId="885">
    <w:name w:val="Footer"/>
    <w:basedOn w:val="909"/>
    <w:link w:val="8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>
    <w:name w:val="Footer Char"/>
    <w:basedOn w:val="857"/>
    <w:link w:val="885"/>
    <w:uiPriority w:val="99"/>
    <w:pPr>
      <w:pBdr/>
      <w:spacing/>
      <w:ind/>
    </w:pPr>
  </w:style>
  <w:style w:type="paragraph" w:styleId="887">
    <w:name w:val="Caption"/>
    <w:basedOn w:val="909"/>
    <w:next w:val="90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8">
    <w:name w:val="footnote text"/>
    <w:basedOn w:val="909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Footnote Text Char"/>
    <w:basedOn w:val="857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footnote reference"/>
    <w:basedOn w:val="857"/>
    <w:uiPriority w:val="99"/>
    <w:semiHidden/>
    <w:unhideWhenUsed/>
    <w:pPr>
      <w:pBdr/>
      <w:spacing/>
      <w:ind/>
    </w:pPr>
    <w:rPr>
      <w:vertAlign w:val="superscript"/>
    </w:rPr>
  </w:style>
  <w:style w:type="paragraph" w:styleId="891">
    <w:name w:val="endnote text"/>
    <w:basedOn w:val="909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Endnote Text Char"/>
    <w:basedOn w:val="857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endnote reference"/>
    <w:basedOn w:val="857"/>
    <w:uiPriority w:val="99"/>
    <w:semiHidden/>
    <w:unhideWhenUsed/>
    <w:pPr>
      <w:pBdr/>
      <w:spacing/>
      <w:ind/>
    </w:pPr>
    <w:rPr>
      <w:vertAlign w:val="superscript"/>
    </w:rPr>
  </w:style>
  <w:style w:type="character" w:styleId="894">
    <w:name w:val="Hyperlink"/>
    <w:basedOn w:val="85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5">
    <w:name w:val="FollowedHyperlink"/>
    <w:basedOn w:val="85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6">
    <w:name w:val="toc 1"/>
    <w:basedOn w:val="909"/>
    <w:next w:val="909"/>
    <w:uiPriority w:val="39"/>
    <w:unhideWhenUsed/>
    <w:pPr>
      <w:pBdr/>
      <w:spacing w:after="100"/>
      <w:ind/>
    </w:pPr>
  </w:style>
  <w:style w:type="paragraph" w:styleId="897">
    <w:name w:val="toc 2"/>
    <w:basedOn w:val="909"/>
    <w:next w:val="909"/>
    <w:uiPriority w:val="39"/>
    <w:unhideWhenUsed/>
    <w:pPr>
      <w:pBdr/>
      <w:spacing w:after="100"/>
      <w:ind w:left="220"/>
    </w:pPr>
  </w:style>
  <w:style w:type="paragraph" w:styleId="898">
    <w:name w:val="toc 3"/>
    <w:basedOn w:val="909"/>
    <w:next w:val="909"/>
    <w:uiPriority w:val="39"/>
    <w:unhideWhenUsed/>
    <w:pPr>
      <w:pBdr/>
      <w:spacing w:after="100"/>
      <w:ind w:left="440"/>
    </w:pPr>
  </w:style>
  <w:style w:type="paragraph" w:styleId="899">
    <w:name w:val="toc 4"/>
    <w:basedOn w:val="909"/>
    <w:next w:val="909"/>
    <w:uiPriority w:val="39"/>
    <w:unhideWhenUsed/>
    <w:pPr>
      <w:pBdr/>
      <w:spacing w:after="100"/>
      <w:ind w:left="660"/>
    </w:pPr>
  </w:style>
  <w:style w:type="paragraph" w:styleId="900">
    <w:name w:val="toc 5"/>
    <w:basedOn w:val="909"/>
    <w:next w:val="909"/>
    <w:uiPriority w:val="39"/>
    <w:unhideWhenUsed/>
    <w:pPr>
      <w:pBdr/>
      <w:spacing w:after="100"/>
      <w:ind w:left="880"/>
    </w:pPr>
  </w:style>
  <w:style w:type="paragraph" w:styleId="901">
    <w:name w:val="toc 6"/>
    <w:basedOn w:val="909"/>
    <w:next w:val="909"/>
    <w:uiPriority w:val="39"/>
    <w:unhideWhenUsed/>
    <w:pPr>
      <w:pBdr/>
      <w:spacing w:after="100"/>
      <w:ind w:left="1100"/>
    </w:pPr>
  </w:style>
  <w:style w:type="paragraph" w:styleId="902">
    <w:name w:val="toc 7"/>
    <w:basedOn w:val="909"/>
    <w:next w:val="909"/>
    <w:uiPriority w:val="39"/>
    <w:unhideWhenUsed/>
    <w:pPr>
      <w:pBdr/>
      <w:spacing w:after="100"/>
      <w:ind w:left="1320"/>
    </w:pPr>
  </w:style>
  <w:style w:type="paragraph" w:styleId="903">
    <w:name w:val="toc 8"/>
    <w:basedOn w:val="909"/>
    <w:next w:val="909"/>
    <w:uiPriority w:val="39"/>
    <w:unhideWhenUsed/>
    <w:pPr>
      <w:pBdr/>
      <w:spacing w:after="100"/>
      <w:ind w:left="1540"/>
    </w:pPr>
  </w:style>
  <w:style w:type="paragraph" w:styleId="904">
    <w:name w:val="toc 9"/>
    <w:basedOn w:val="909"/>
    <w:next w:val="909"/>
    <w:uiPriority w:val="39"/>
    <w:unhideWhenUsed/>
    <w:pPr>
      <w:pBdr/>
      <w:spacing w:after="100"/>
      <w:ind w:left="1760"/>
    </w:pPr>
  </w:style>
  <w:style w:type="character" w:styleId="905">
    <w:name w:val="Placeholder Text"/>
    <w:basedOn w:val="857"/>
    <w:uiPriority w:val="99"/>
    <w:semiHidden/>
    <w:pPr>
      <w:pBdr/>
      <w:spacing/>
      <w:ind/>
    </w:pPr>
    <w:rPr>
      <w:color w:val="666666"/>
    </w:rPr>
  </w:style>
  <w:style w:type="paragraph" w:styleId="906">
    <w:name w:val="TOC Heading"/>
    <w:uiPriority w:val="39"/>
    <w:unhideWhenUsed/>
    <w:pPr>
      <w:pBdr/>
      <w:spacing/>
      <w:ind/>
    </w:pPr>
  </w:style>
  <w:style w:type="paragraph" w:styleId="907">
    <w:name w:val="table of figures"/>
    <w:basedOn w:val="909"/>
    <w:next w:val="909"/>
    <w:uiPriority w:val="99"/>
    <w:unhideWhenUsed/>
    <w:pPr>
      <w:pBdr/>
      <w:spacing w:after="0" w:afterAutospacing="0"/>
      <w:ind/>
    </w:pPr>
  </w:style>
  <w:style w:type="table" w:styleId="908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9" w:default="1">
    <w:name w:val="Normal"/>
    <w:pPr>
      <w:pBdr/>
      <w:spacing/>
      <w:ind/>
    </w:pPr>
  </w:style>
  <w:style w:type="paragraph" w:styleId="910">
    <w:name w:val="Heading 1"/>
    <w:basedOn w:val="909"/>
    <w:next w:val="909"/>
    <w:pPr>
      <w:keepNext w:val="true"/>
      <w:keepLines w:val="true"/>
      <w:pageBreakBefore w:val="false"/>
      <w:pBdr/>
      <w:spacing w:after="120" w:before="480"/>
      <w:ind/>
    </w:pPr>
    <w:rPr>
      <w:b/>
      <w:bCs/>
      <w:sz w:val="48"/>
      <w:szCs w:val="48"/>
    </w:rPr>
  </w:style>
  <w:style w:type="paragraph" w:styleId="911">
    <w:name w:val="Heading 2"/>
    <w:basedOn w:val="909"/>
    <w:next w:val="909"/>
    <w:pPr>
      <w:keepNext w:val="true"/>
      <w:keepLines w:val="true"/>
      <w:pageBreakBefore w:val="false"/>
      <w:pBdr/>
      <w:spacing w:after="80" w:before="360"/>
      <w:ind/>
    </w:pPr>
    <w:rPr>
      <w:b/>
      <w:bCs/>
      <w:sz w:val="36"/>
      <w:szCs w:val="36"/>
    </w:rPr>
  </w:style>
  <w:style w:type="paragraph" w:styleId="912">
    <w:name w:val="Heading 3"/>
    <w:basedOn w:val="909"/>
    <w:next w:val="909"/>
    <w:pPr>
      <w:keepNext w:val="true"/>
      <w:keepLines w:val="true"/>
      <w:pageBreakBefore w:val="false"/>
      <w:pBdr/>
      <w:spacing w:after="80" w:before="280"/>
      <w:ind/>
    </w:pPr>
    <w:rPr>
      <w:b/>
      <w:bCs/>
      <w:sz w:val="28"/>
      <w:szCs w:val="28"/>
    </w:rPr>
  </w:style>
  <w:style w:type="paragraph" w:styleId="913">
    <w:name w:val="Heading 4"/>
    <w:basedOn w:val="909"/>
    <w:next w:val="909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914">
    <w:name w:val="Heading 5"/>
    <w:basedOn w:val="909"/>
    <w:next w:val="909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915">
    <w:name w:val="Heading 6"/>
    <w:basedOn w:val="909"/>
    <w:next w:val="909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916">
    <w:name w:val="Title"/>
    <w:basedOn w:val="909"/>
    <w:next w:val="909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917">
    <w:name w:val="Subtitle"/>
    <w:basedOn w:val="909"/>
    <w:next w:val="909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918">
    <w:name w:val="StGen0"/>
    <w:basedOn w:val="908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StGen1"/>
    <w:basedOn w:val="908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StGen2"/>
    <w:basedOn w:val="908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StGen3"/>
    <w:basedOn w:val="908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StGen4"/>
    <w:basedOn w:val="908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StGen5"/>
    <w:basedOn w:val="908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StGen6"/>
    <w:basedOn w:val="908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2026-05-22T12:09:58Z</dcterms:modified>
</cp:coreProperties>
</file>