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&lt;CRUD&gt; Modificar Pedidos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Karina Furlan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58ugbz4fgs9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Cliente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_58ugbz4fgs9y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[ATR02]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de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i2dsvhnwl8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Pedido pendente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_i2dsvhnwl87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Aceitar Pedido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Recusar Pedidos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w79o4bqb057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_w79o4bqb057a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qgsfzm5eg4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[FE01] – Sem conexão com 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_tqgsfzm5eg48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Buscar Medicamentos</w:t>
      </w:r>
    </w:p>
    <w:p w:rsidR="00000000" w:rsidDel="00000000" w:rsidP="00000000" w:rsidRDefault="00000000" w:rsidRPr="00000000" w14:paraId="0000003A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Farmácia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Sistema</w:t>
      </w:r>
    </w:p>
    <w:p w:rsidR="00000000" w:rsidDel="00000000" w:rsidP="00000000" w:rsidRDefault="00000000" w:rsidRPr="00000000" w14:paraId="00000045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62850" cy="4660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8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B">
      <w:pPr>
        <w:contextualSpacing w:val="0"/>
        <w:rPr>
          <w:i w:val="1"/>
          <w:color w:val="0070c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Neste caso de uso, o cliente terá a opção de fazer a busca pelo nome da farmácia, tendo assim, informações relevantes sobre esta e ainda se preferir realizar a compra neste modo, clicando na farmácia a pessoa será redirecionada para a página da farmácia e assim realizar sua compra da farmácia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widowControl w:val="1"/>
        <w:numPr>
          <w:ilvl w:val="2"/>
          <w:numId w:val="1"/>
        </w:numPr>
        <w:rPr/>
      </w:pPr>
      <w:bookmarkStart w:colFirst="0" w:colLast="0" w:name="_58ugbz4fgs9y" w:id="11"/>
      <w:bookmarkEnd w:id="11"/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ATR01] Cliente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Os clientes são os usuários finais que irão buscar e realizar a compra dos medicamentos pelo app do Android ou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2"/>
      <w:bookmarkEnd w:id="12"/>
      <w:r w:rsidDel="00000000" w:rsidR="00000000" w:rsidRPr="00000000">
        <w:rPr>
          <w:rtl w:val="0"/>
        </w:rPr>
        <w:t xml:space="preserve">[ATR02]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 farmácia são os funcionários que trabalham na farmácia vendendo os pedidos e alimentando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O cliente deve ter as seguintes condições para realizar para buscar farmácias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4"/>
      <w:bookmarkEnd w:id="14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O usuário da farmácia deve estar devidamente logado em um navegador web com a conta da farmácia.</w:t>
      </w:r>
    </w:p>
    <w:p w:rsidR="00000000" w:rsidDel="00000000" w:rsidP="00000000" w:rsidRDefault="00000000" w:rsidRPr="00000000" w14:paraId="00000056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5"/>
      <w:bookmarkEnd w:id="15"/>
      <w:r w:rsidDel="00000000" w:rsidR="00000000" w:rsidRPr="00000000">
        <w:rPr>
          <w:rtl w:val="0"/>
        </w:rPr>
        <w:t xml:space="preserve">Página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O usuário deve acessar a página de pedidos feito pelos clientes para poder fazer as modificações</w:t>
      </w:r>
    </w:p>
    <w:p w:rsidR="00000000" w:rsidDel="00000000" w:rsidP="00000000" w:rsidRDefault="00000000" w:rsidRPr="00000000" w14:paraId="0000005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i2dsvhnwl87" w:id="16"/>
      <w:bookmarkEnd w:id="16"/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edido 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 farmácia deve conter algum pedido de compra para fazer uma modificação na mesma. Não sendo possível alterar pedidos arquivados.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9"/>
      <w:bookmarkEnd w:id="19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Aceitar Pedido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o cliente realiza um pedido de compra.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atendente ou funcionário da farmácia visualiza o pedido, confere se existe em estoque.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atendente clica no botão “Aceitar Pedido” do respectivo cliente e separa o produto para entrega ou retirada no local.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pedido é enviado para entrega. O atendente clica no botão “Pedido em Transporte” do respectivo cliente. Mudando o status do mesmo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cliente recebe o produto. O atendente da farmácia clica no botão “Pedido Concluído” e finaliza o mesmo. Enviando o pedido para lista de arquivados.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20"/>
      <w:bookmarkEnd w:id="20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21"/>
      <w:bookmarkEnd w:id="21"/>
      <w:r w:rsidDel="00000000" w:rsidR="00000000" w:rsidRPr="00000000">
        <w:rPr>
          <w:rtl w:val="0"/>
        </w:rPr>
        <w:t xml:space="preserve">[FA01] – Recusar Pedidos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3 do fluxo básico. Caso o produto não exista em estoque ou não seja possível realizar a venda, o atendente clica no botão “Recusar Pedido”. Finalizando o mesmo e indo para a lista de pedidos arquivados</w:t>
      </w:r>
    </w:p>
    <w:p w:rsidR="00000000" w:rsidDel="00000000" w:rsidP="00000000" w:rsidRDefault="00000000" w:rsidRPr="00000000" w14:paraId="00000069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w79o4bqb057a" w:id="22"/>
      <w:bookmarkEnd w:id="22"/>
      <w:r w:rsidDel="00000000" w:rsidR="00000000" w:rsidRPr="00000000">
        <w:rPr>
          <w:rtl w:val="0"/>
        </w:rPr>
        <w:t xml:space="preserve">Fluxos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1"/>
        <w:keepLines w:val="1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47.6771653543307" w:right="-1080" w:hanging="870"/>
        <w:contextualSpacing w:val="0"/>
        <w:jc w:val="left"/>
        <w:rPr/>
      </w:pPr>
      <w:bookmarkStart w:colFirst="0" w:colLast="0" w:name="_tqgsfzm5eg48" w:id="23"/>
      <w:bookmarkEnd w:id="23"/>
      <w:r w:rsidDel="00000000" w:rsidR="00000000" w:rsidRPr="00000000">
        <w:rPr>
          <w:rtl w:val="0"/>
        </w:rPr>
        <w:t xml:space="preserve">[FE01] – Sem conexão com a Farmácia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 passo 2 do fluxo básico. Caso a farmácia fique sem conexão com a internet por mais de 10 minutos o pedido será cancelado e finalizado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74">
      <w:pPr>
        <w:contextualSpacing w:val="0"/>
        <w:rPr/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900112" cy="440277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0112" cy="440277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29"/>
      <w:bookmarkEnd w:id="29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80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A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B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7C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Buscar Farmácias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7D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30/11/2017</w:t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86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draw.io/?scale=2#G185eqnTTsnMoMDb681yzN-LgT6HpQ7nU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