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Projeto: iDrug</w:t>
        <w:br w:type="textWrapping"/>
        <w:br w:type="textWrapping"/>
        <w:t xml:space="preserve">Especificação de Caso de Uso:</w:t>
        <w:br w:type="textWrapping"/>
        <w:t xml:space="preserve">Alterar Status do Pedido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6"/>
        <w:tblGridChange w:id="0">
          <w:tblGrid>
            <w:gridCol w:w="1680"/>
            <w:gridCol w:w="960"/>
            <w:gridCol w:w="4200"/>
            <w:gridCol w:w="25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Rodrigo V Verissimo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ntdyrvv9lh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_yntdyrvv9lhl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368wdm8yvh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_u368wdm8yvhr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d8c9ec899n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_yd8c9ec899nl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jivbl7xluyp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_jivbl7xluyp9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nblc66x3zu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_qnblc66x3zu7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xb7b6hh8v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[ATR01]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_8xb7b6hh8vvg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q34ct8gm7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_rq34ct8gm7lq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hkiwscn2gfd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no sistema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_hkiwscn2gfdg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1m3t5rlrjf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de 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_r1m3t5rlrjfn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i2dsvhnwl8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Pedido pendente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_i2dsvhnwl87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bx4lx4fiaow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_bx4lx4fiaoww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llv3wwqwx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Evento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_kllv3wwqwxsj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llzncht8nvo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Básico - Aceitar Pedido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_llzncht8nvoh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fbh5vb7zya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_qfbh5vb7zyag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vyl7ep8sgp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[FA01] – Recusar 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_yvyl7ep8sgp8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w79o4bqb057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Exceção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_w79o4bqb057a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tqgsfzm5eg4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[FE01] – Sem conexão com a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_tqgsfzm5eg48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eey0v2ew03nt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[FE02] – Destinatário inexistente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_eey0v2ew03nt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cfhmj1dt6e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Regras de Negócio [RN]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_3cfhmj1dt6e1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dau1w9ua77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Especiais [RE]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_vdau1w9ua772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mb56kgnpet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Pontos de Relacionamento [PR]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_6mb56kgnpetm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cqzm9mgskji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Protótipos de Tela [PRT]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_cqzm9mgskjii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70.866141732284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d30gik3ci8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Referências, Informações Adicionais e Anexos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_od30gik3ci86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200" w:line="276" w:lineRule="auto"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  <w:br w:type="textWrapping"/>
        <w:t xml:space="preserve">Alterar Status do Pedido</w:t>
      </w:r>
    </w:p>
    <w:p w:rsidR="00000000" w:rsidDel="00000000" w:rsidP="00000000" w:rsidRDefault="00000000" w:rsidRPr="00000000" w14:paraId="0000003A">
      <w:pPr>
        <w:pStyle w:val="Heading1"/>
        <w:keepNext w:val="1"/>
        <w:widowControl w:val="1"/>
        <w:numPr>
          <w:ilvl w:val="0"/>
          <w:numId w:val="1"/>
        </w:numPr>
        <w:spacing w:after="120" w:before="480" w:line="240" w:lineRule="auto"/>
        <w:ind w:left="567" w:right="-108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Este documento tem como objetivo especificar os casos de uso do sistema iDrug. O iDrug é um sistema que faz a busca e venda de medicamentos.</w:t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ntdyrvv9lhl" w:id="4"/>
      <w:bookmarkEnd w:id="4"/>
      <w:r w:rsidDel="00000000" w:rsidR="00000000" w:rsidRPr="00000000">
        <w:rPr>
          <w:sz w:val="28"/>
          <w:szCs w:val="28"/>
          <w:rtl w:val="0"/>
        </w:rPr>
        <w:t xml:space="preserve">Definições</w:t>
      </w:r>
      <w:r w:rsidDel="00000000" w:rsidR="00000000" w:rsidRPr="00000000">
        <w:rPr>
          <w:vertAlign w:val="baseline"/>
          <w:rtl w:val="0"/>
        </w:rPr>
        <w:t xml:space="preserve"> e abreviações </w:t>
      </w:r>
    </w:p>
    <w:tbl>
      <w:tblPr>
        <w:tblStyle w:val="Table2"/>
        <w:tblW w:w="8100.0" w:type="dxa"/>
        <w:jc w:val="left"/>
        <w:tblInd w:w="118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2"/>
        <w:gridCol w:w="5548"/>
        <w:tblGridChange w:id="0">
          <w:tblGrid>
            <w:gridCol w:w="2552"/>
            <w:gridCol w:w="5548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u368wdm8yvhr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Farmácia</w:t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d8c9ec899nl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Uso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638800" cy="49530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8800" cy="4953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widowControl w:val="1"/>
        <w:spacing w:line="240" w:lineRule="auto"/>
        <w:ind w:left="567"/>
        <w:contextualSpacing w:val="0"/>
        <w:jc w:val="center"/>
        <w:rPr>
          <w:vertAlign w:val="baseline"/>
        </w:rPr>
      </w:pPr>
      <w:bookmarkStart w:colFirst="0" w:colLast="0" w:name="_fjjpwldo4pxv" w:id="7"/>
      <w:bookmarkEnd w:id="7"/>
      <w:r w:rsidDel="00000000" w:rsidR="00000000" w:rsidRPr="00000000">
        <w:rPr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6">
      <w:pPr>
        <w:widowControl w:val="1"/>
        <w:spacing w:after="20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jivbl7xluyp9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Caso de Uso</w:t>
      </w:r>
    </w:p>
    <w:p w:rsidR="00000000" w:rsidDel="00000000" w:rsidP="00000000" w:rsidRDefault="00000000" w:rsidRPr="00000000" w14:paraId="00000049">
      <w:pPr>
        <w:contextualSpacing w:val="0"/>
        <w:rPr>
          <w:i w:val="1"/>
          <w:color w:val="0070c0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Neste caso de uso a farmácia irá visualizar os pedidos feitos pelos clientes, podendo confirmar/recusar a compra, alterar o status do pedido para “em transporte” e concluir a compra alterando para o status de “pedido entregue”.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nblc66x3zu7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Os atores neste caso de uso </w:t>
      </w: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</w:pPr>
      <w:bookmarkStart w:colFirst="0" w:colLast="0" w:name="_8xb7b6hh8vvg" w:id="11"/>
      <w:bookmarkEnd w:id="11"/>
      <w:r w:rsidDel="00000000" w:rsidR="00000000" w:rsidRPr="00000000">
        <w:rPr>
          <w:rtl w:val="0"/>
        </w:rPr>
        <w:t xml:space="preserve">[ATR01] Farmácia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A farmácia são os funcionários que trabalham na farmácia vendendo os pedidos e alimentando 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q34ct8gm7lq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 farmácia deve conter as seguintes condições para modificar e visualizar os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hkiwscn2gfdg" w:id="13"/>
      <w:bookmarkEnd w:id="13"/>
      <w:r w:rsidDel="00000000" w:rsidR="00000000" w:rsidRPr="00000000">
        <w:rPr>
          <w:rtl w:val="0"/>
        </w:rPr>
        <w:t xml:space="preserve">Login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O usuário da farmácia deve estar devidamente logado em um navegador web com a conta da farmácia.</w:t>
      </w:r>
    </w:p>
    <w:p w:rsidR="00000000" w:rsidDel="00000000" w:rsidP="00000000" w:rsidRDefault="00000000" w:rsidRPr="00000000" w14:paraId="00000052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1m3t5rlrjfn" w:id="14"/>
      <w:bookmarkEnd w:id="14"/>
      <w:r w:rsidDel="00000000" w:rsidR="00000000" w:rsidRPr="00000000">
        <w:rPr>
          <w:rtl w:val="0"/>
        </w:rPr>
        <w:t xml:space="preserve">Página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O usuário deve acessar a página de pedidos feito pelos clientes para poder fazer as modificações</w:t>
      </w:r>
    </w:p>
    <w:p w:rsidR="00000000" w:rsidDel="00000000" w:rsidP="00000000" w:rsidRDefault="00000000" w:rsidRPr="00000000" w14:paraId="00000054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i2dsvhnwl87" w:id="15"/>
      <w:bookmarkEnd w:id="15"/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  <w:t xml:space="preserve">edido pendente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A farmácia deve conter algum pedido de compra para fazer uma modificação na mesma. Não sendo possível alterar pedidos arquivados.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bx4lx4fiaoww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kllv3wwqwxsj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Fluxos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Evento</w:t>
      </w:r>
    </w:p>
    <w:p w:rsidR="00000000" w:rsidDel="00000000" w:rsidP="00000000" w:rsidRDefault="00000000" w:rsidRPr="00000000" w14:paraId="00000059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llzncht8nvoh" w:id="18"/>
      <w:bookmarkEnd w:id="18"/>
      <w:r w:rsidDel="00000000" w:rsidR="00000000" w:rsidRPr="00000000">
        <w:rPr>
          <w:rtl w:val="0"/>
        </w:rPr>
        <w:t xml:space="preserve">Fluxo </w:t>
      </w:r>
      <w:r w:rsidDel="00000000" w:rsidR="00000000" w:rsidRPr="00000000">
        <w:rPr>
          <w:rtl w:val="0"/>
        </w:rPr>
        <w:t xml:space="preserve">Básico</w:t>
      </w:r>
      <w:r w:rsidDel="00000000" w:rsidR="00000000" w:rsidRPr="00000000">
        <w:rPr>
          <w:rtl w:val="0"/>
        </w:rPr>
        <w:t xml:space="preserve"> - Aceitar Pedido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Este fluxo se inicia quando o cliente realiza um pedido de compra.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atendente ou funcionário da farmácia visualiza o pedido, confere se existe em estoque.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atendente clica no botão “Aceitar Pedido” do respectivo cliente e separa o produto para entrega ou retirada no local.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pedido é enviado para entrega. O atendente clica no botão “Pedido em Transporte” do respectivo cliente. Mudando o status do mesmo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cliente recebe o produto. O atendente da farmácia clica no botão “Pedido Concluído” e finaliza o mesmo. Enviando o pedido para lista de arquivados.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fbh5vb7zyag" w:id="19"/>
      <w:bookmarkEnd w:id="19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widowControl w:val="1"/>
        <w:numPr>
          <w:ilvl w:val="3"/>
          <w:numId w:val="1"/>
        </w:numPr>
        <w:ind w:left="847.6771653543307" w:hanging="870"/>
        <w:rPr/>
      </w:pPr>
      <w:bookmarkStart w:colFirst="0" w:colLast="0" w:name="_yvyl7ep8sgp8" w:id="20"/>
      <w:bookmarkEnd w:id="20"/>
      <w:r w:rsidDel="00000000" w:rsidR="00000000" w:rsidRPr="00000000">
        <w:rPr>
          <w:rtl w:val="0"/>
        </w:rPr>
        <w:t xml:space="preserve">[FA01] – Recusar Pedidos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 passo 3 do fluxo básico. Caso o produto não exista em estoque ou não seja possível realizar a venda, o atendente clica no botão “Recusar Pedido”. Finalizando o mesmo e indo para a lista de pedidos arquivados</w:t>
      </w:r>
    </w:p>
    <w:p w:rsidR="00000000" w:rsidDel="00000000" w:rsidP="00000000" w:rsidRDefault="00000000" w:rsidRPr="00000000" w14:paraId="00000065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w79o4bqb057a" w:id="21"/>
      <w:bookmarkEnd w:id="21"/>
      <w:r w:rsidDel="00000000" w:rsidR="00000000" w:rsidRPr="00000000">
        <w:rPr>
          <w:rtl w:val="0"/>
        </w:rPr>
        <w:t xml:space="preserve">Fluxos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1"/>
        <w:keepLines w:val="1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47.6771653543307" w:right="-1080" w:hanging="870"/>
        <w:contextualSpacing w:val="0"/>
        <w:jc w:val="left"/>
        <w:rPr/>
      </w:pPr>
      <w:bookmarkStart w:colFirst="0" w:colLast="0" w:name="_tqgsfzm5eg48" w:id="22"/>
      <w:bookmarkEnd w:id="22"/>
      <w:r w:rsidDel="00000000" w:rsidR="00000000" w:rsidRPr="00000000">
        <w:rPr>
          <w:rtl w:val="0"/>
        </w:rPr>
        <w:t xml:space="preserve">[FE01] – Sem conexão com a Farmácia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 passo 2 do fluxo básico. Caso a farmácia fique sem conexão com a internet por mais de 10 minutos o pedido será cancelado e finalizado automaticamente.</w:t>
      </w:r>
    </w:p>
    <w:p w:rsidR="00000000" w:rsidDel="00000000" w:rsidP="00000000" w:rsidRDefault="00000000" w:rsidRPr="00000000" w14:paraId="00000069">
      <w:pPr>
        <w:pStyle w:val="Heading4"/>
        <w:keepNext w:val="1"/>
        <w:keepLines w:val="1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47.6771653543307" w:right="-1080" w:hanging="870"/>
        <w:contextualSpacing w:val="0"/>
        <w:jc w:val="left"/>
        <w:rPr/>
      </w:pPr>
      <w:bookmarkStart w:colFirst="0" w:colLast="0" w:name="_eey0v2ew03nt" w:id="23"/>
      <w:bookmarkEnd w:id="23"/>
      <w:r w:rsidDel="00000000" w:rsidR="00000000" w:rsidRPr="00000000">
        <w:rPr>
          <w:rtl w:val="0"/>
        </w:rPr>
        <w:t xml:space="preserve">[FE02] – Destinatário inexistente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 passo 5 do fluxo básico. Caso não se encontre o cliente para receber o produto. Será devolvido o mesmo para farmácia.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atendente da farmácia irá clicar no ícone de mais opções do respectivo pedido.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 clicar na opção mais apropriada: “Endereço não encontrado”, “Cliente não encontrado”.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3cfhmj1dt6e1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Negócio [RN]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vdau1w9ua772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Especiais [RE]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mb56kgnpetm" w:id="26"/>
      <w:bookmarkEnd w:id="2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Relacionamento [PR]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cqzm9mgskjii" w:id="27"/>
      <w:bookmarkEnd w:id="27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Protótipos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Tela [PRT]</w:t>
      </w:r>
    </w:p>
    <w:p w:rsidR="00000000" w:rsidDel="00000000" w:rsidP="00000000" w:rsidRDefault="00000000" w:rsidRPr="00000000" w14:paraId="00000075">
      <w:pPr>
        <w:contextualSpacing w:val="0"/>
        <w:rPr/>
      </w:pPr>
      <w:hyperlink r:id="rId8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867400" cy="43815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4381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od30gik3ci86" w:id="28"/>
      <w:bookmarkEnd w:id="28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Informações Adicionais e Anexos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after="120" w:line="240" w:lineRule="auto"/>
        <w:ind w:right="-286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080" w:firstLine="0"/>
        <w:contextualSpacing w:val="0"/>
        <w:jc w:val="left"/>
        <w:rPr/>
      </w:pPr>
      <w:bookmarkStart w:colFirst="0" w:colLast="0" w:name="_vt71egi9psri" w:id="29"/>
      <w:bookmarkEnd w:id="29"/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/>
      <w:pgMar w:bottom="0" w:top="0" w:left="1417.3228346456694" w:right="1417.3228346456694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1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70"/>
      <w:gridCol w:w="3070"/>
      <w:gridCol w:w="3070"/>
      <w:tblGridChange w:id="0">
        <w:tblGrid>
          <w:gridCol w:w="3070"/>
          <w:gridCol w:w="3070"/>
          <w:gridCol w:w="307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81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2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3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200"/>
      <w:gridCol w:w="2156"/>
      <w:tblGridChange w:id="0">
        <w:tblGrid>
          <w:gridCol w:w="7200"/>
          <w:gridCol w:w="2156"/>
        </w:tblGrid>
      </w:tblGridChange>
    </w:tblGrid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B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iDrug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C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D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Especificação de Caso de Uso -  Alterar status do pedido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E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02/12/2017</w:t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87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rebuchet MS" w:cs="Trebuchet MS" w:eastAsia="Trebuchet MS" w:hAnsi="Trebuchet MS"/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rFonts w:ascii="Trebuchet MS" w:cs="Trebuchet MS" w:eastAsia="Trebuchet MS" w:hAnsi="Trebuchet MS"/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>
        <w:color w:val="808080"/>
      </w:rPr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14" w:hanging="360"/>
      </w:pPr>
      <w:rPr>
        <w:rFonts w:ascii="Trebuchet MS" w:cs="Trebuchet MS" w:eastAsia="Trebuchet MS" w:hAnsi="Trebuchet MS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2646" w:hanging="432"/>
      </w:pPr>
      <w:rPr>
        <w:rFonts w:ascii="Trebuchet MS" w:cs="Trebuchet MS" w:eastAsia="Trebuchet MS" w:hAnsi="Trebuchet MS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3078" w:hanging="504"/>
      </w:pPr>
      <w:rPr>
        <w:rFonts w:ascii="Trebuchet MS" w:cs="Trebuchet MS" w:eastAsia="Trebuchet MS" w:hAnsi="Trebuchet MS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3582" w:hanging="648"/>
      </w:pPr>
      <w:rPr/>
    </w:lvl>
    <w:lvl w:ilvl="4">
      <w:start w:val="1"/>
      <w:numFmt w:val="decimal"/>
      <w:lvlText w:val="%1.%2.%3.%4.%5."/>
      <w:lvlJc w:val="left"/>
      <w:pPr>
        <w:ind w:left="4086" w:hanging="791.9999999999995"/>
      </w:pPr>
      <w:rPr/>
    </w:lvl>
    <w:lvl w:ilvl="5">
      <w:start w:val="1"/>
      <w:numFmt w:val="decimal"/>
      <w:lvlText w:val="%1.%2.%3.%4.%5.%6."/>
      <w:lvlJc w:val="left"/>
      <w:pPr>
        <w:ind w:left="4590" w:hanging="936"/>
      </w:pPr>
      <w:rPr/>
    </w:lvl>
    <w:lvl w:ilvl="6">
      <w:start w:val="1"/>
      <w:numFmt w:val="decimal"/>
      <w:lvlText w:val="%1.%2.%3.%4.%5.%6.%7."/>
      <w:lvlJc w:val="left"/>
      <w:pPr>
        <w:ind w:left="5094" w:hanging="1080"/>
      </w:pPr>
      <w:rPr/>
    </w:lvl>
    <w:lvl w:ilvl="7">
      <w:start w:val="1"/>
      <w:numFmt w:val="decimal"/>
      <w:lvlText w:val="%1.%2.%3.%4.%5.%6.%7.%8."/>
      <w:lvlJc w:val="left"/>
      <w:pPr>
        <w:ind w:left="5598" w:hanging="1224"/>
      </w:pPr>
      <w:rPr/>
    </w:lvl>
    <w:lvl w:ilvl="8">
      <w:start w:val="1"/>
      <w:numFmt w:val="decimal"/>
      <w:lvlText w:val="%1.%2.%3.%4.%5.%6.%7.%8.%9."/>
      <w:lvlJc w:val="left"/>
      <w:pPr>
        <w:ind w:left="6174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47.6771653543307" w:right="-1080" w:hanging="87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40" w:lineRule="auto"/>
      <w:ind w:left="2007" w:hanging="360"/>
      <w:contextualSpacing w:val="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  <w:contextualSpacing w:val="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567"/>
      <w:jc w:val="center"/>
    </w:pPr>
    <w:rPr>
      <w:rFonts w:ascii="Verdana" w:cs="Verdana" w:eastAsia="Verdana" w:hAnsi="Verdana"/>
      <w:b w:val="1"/>
      <w:color w:val="80808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draw.io/?scale=2#G1sLFkJkIb76DVXwcOcahwZlSe46ks8Tjh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draw.io/?scale=2#G185eqnTTsnMoMDb681yzN-LgT6HpQ7n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