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Buscar Farmácia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Karina Furlan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kiwscn2gfd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no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_hkiwscn2gfdg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1m3t5rlrjf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de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_r1m3t5rlrjfn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i2dsvhnwl8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Pedido pendente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_i2dsvhnwl87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x4lx4fiaow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_bx4lx4fiaoww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llzncht8nvo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Básico - Aceitar Pedido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_llzncht8nvoh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fbh5vb7zya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_qfbh5vb7zyag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vyl7ep8sgp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[FA01] – Recusar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_yvyl7ep8sgp8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w79o4bqb057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Exceção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_w79o4bqb057a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qgsfzm5eg4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[FE01] – Sem conexão com a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_tqgsfzm5eg48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eey0v2ew03nt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[FE02] – Destinatário inexistente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_eey0v2ew03nt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qzm9mgskji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Protótipos de Tela [PRT]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_cqzm9mgskjii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Buscar Farmácia</w:t>
      </w:r>
    </w:p>
    <w:p w:rsidR="00000000" w:rsidDel="00000000" w:rsidP="00000000" w:rsidRDefault="00000000" w:rsidRPr="00000000" w14:paraId="0000003A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Cliente</w:t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638800" cy="49530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0" cy="4953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6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jivbl7xluyp9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9">
      <w:pPr>
        <w:contextualSpacing w:val="0"/>
        <w:rPr>
          <w:i w:val="1"/>
          <w:color w:val="0070c0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Neste caso de uso o usuário poderá realizar buscas de farmácia, onde ele encontrará informações básicas </w:t>
      </w:r>
      <w:r w:rsidDel="00000000" w:rsidR="00000000" w:rsidRPr="00000000">
        <w:rPr>
          <w:rtl w:val="0"/>
        </w:rPr>
        <w:t xml:space="preserve">como:</w:t>
      </w:r>
      <w:r w:rsidDel="00000000" w:rsidR="00000000" w:rsidRPr="00000000">
        <w:rPr>
          <w:rtl w:val="0"/>
        </w:rPr>
        <w:t xml:space="preserve"> endereço, se possui delivery ou não e horário de funcionamento.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</w:pPr>
      <w:bookmarkStart w:colFirst="0" w:colLast="0" w:name="_18jb5ucrmeiv" w:id="11"/>
      <w:bookmarkEnd w:id="11"/>
      <w:r w:rsidDel="00000000" w:rsidR="00000000" w:rsidRPr="00000000">
        <w:rPr>
          <w:rtl w:val="0"/>
        </w:rPr>
        <w:t xml:space="preserve">[ATR01] Cliente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cliente poderá realizar buscas de farmácias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O usuário deve estar logado e estar na tela onde se encontra o botão Buscar Farmácias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hkiwscn2gfdg" w:id="13"/>
      <w:bookmarkEnd w:id="13"/>
      <w:r w:rsidDel="00000000" w:rsidR="00000000" w:rsidRPr="00000000">
        <w:rPr>
          <w:rtl w:val="0"/>
        </w:rPr>
        <w:t xml:space="preserve">Login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O usuário deve estar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1m3t5rlrjfn" w:id="14"/>
      <w:bookmarkEnd w:id="14"/>
      <w:r w:rsidDel="00000000" w:rsidR="00000000" w:rsidRPr="00000000">
        <w:rPr>
          <w:rtl w:val="0"/>
        </w:rPr>
        <w:t xml:space="preserve">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O usuário deve se encontrar na página inicial onde estará o botão Buscar Farmácias.</w:t>
      </w:r>
    </w:p>
    <w:p w:rsidR="00000000" w:rsidDel="00000000" w:rsidP="00000000" w:rsidRDefault="00000000" w:rsidRPr="00000000" w14:paraId="00000054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bx4lx4fiaoww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57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llzncht8nvoh" w:id="17"/>
      <w:bookmarkEnd w:id="17"/>
      <w:r w:rsidDel="00000000" w:rsidR="00000000" w:rsidRPr="00000000">
        <w:rPr>
          <w:rtl w:val="0"/>
        </w:rPr>
        <w:t xml:space="preserve">Fluxo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rtl w:val="0"/>
        </w:rPr>
        <w:t xml:space="preserve"> - Buscar Farmácias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fluxo se inicia quando o usuário</w:t>
      </w:r>
      <w:r w:rsidDel="00000000" w:rsidR="00000000" w:rsidRPr="00000000">
        <w:rPr>
          <w:rtl w:val="0"/>
        </w:rPr>
        <w:t xml:space="preserve"> clicar no botão Busca por farmácia.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lista de farmácia será mostrada, levando em consideração a menor distância.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clicar na farmácia desejada, as informações desta mesma serão mostradas.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fbh5vb7zyag" w:id="18"/>
      <w:bookmarkEnd w:id="18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widowControl w:val="1"/>
        <w:numPr>
          <w:ilvl w:val="3"/>
          <w:numId w:val="1"/>
        </w:numPr>
        <w:ind w:left="847.6771653543307" w:hanging="870"/>
        <w:rPr/>
      </w:pPr>
      <w:bookmarkStart w:colFirst="0" w:colLast="0" w:name="_yvyl7ep8sgp8" w:id="19"/>
      <w:bookmarkEnd w:id="19"/>
      <w:r w:rsidDel="00000000" w:rsidR="00000000" w:rsidRPr="00000000">
        <w:rPr>
          <w:rtl w:val="0"/>
        </w:rPr>
        <w:t xml:space="preserve">[FA01] – Buscar Medicamento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passo 3 do fluxo básico. Caso o cliente deseje,será possível realizar uma busca por medicamento na farmácia selecionada.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1"/>
        <w:keepLines w:val="1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47.6771653543307" w:right="-1080" w:hanging="870"/>
        <w:contextualSpacing w:val="0"/>
        <w:jc w:val="left"/>
        <w:rPr/>
      </w:pPr>
      <w:bookmarkStart w:colFirst="0" w:colLast="0" w:name="_3ijkftjok1bz" w:id="20"/>
      <w:bookmarkEnd w:id="20"/>
      <w:r w:rsidDel="00000000" w:rsidR="00000000" w:rsidRPr="00000000">
        <w:rPr>
          <w:rtl w:val="0"/>
        </w:rPr>
        <w:t xml:space="preserve">[FA02] - Compra de Medicamento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passo 1 do fluxo alternativo 1. Caso o cliente deseje, será possível realizar a compra de um medicamento na farmácia em que ele se encontra.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gunactjy4i13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cqzm9mgskjii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Tela [PRT]</w:t>
      </w:r>
    </w:p>
    <w:p w:rsidR="00000000" w:rsidDel="00000000" w:rsidP="00000000" w:rsidRDefault="00000000" w:rsidRPr="00000000" w14:paraId="0000006E">
      <w:pPr>
        <w:contextualSpacing w:val="0"/>
        <w:rPr/>
      </w:pPr>
      <w:hyperlink r:id="rId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867400" cy="43815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4381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od30gik3ci86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Informações Adicionais e Anexos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after="120" w:line="240" w:lineRule="auto"/>
        <w:ind w:right="-286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080" w:firstLine="0"/>
        <w:contextualSpacing w:val="0"/>
        <w:jc w:val="left"/>
        <w:rPr/>
      </w:pPr>
      <w:bookmarkStart w:colFirst="0" w:colLast="0" w:name="_vt71egi9psri" w:id="26"/>
      <w:bookmarkEnd w:id="26"/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7A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200"/>
      <w:gridCol w:w="2156"/>
      <w:tblGridChange w:id="0">
        <w:tblGrid>
          <w:gridCol w:w="7200"/>
          <w:gridCol w:w="2156"/>
        </w:tblGrid>
      </w:tblGridChange>
    </w:tblGrid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4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iDrug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5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6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Especificação de Caso de Uso -  Buscar Farmácia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7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02/12/2017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80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draw.io/?scale=2#G1sLFkJkIb76DVXwcOcahwZlSe46ks8Tjh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draw.io/?scale=2#G185eqnTTsnMoMDb681yzN-LgT6HpQ7n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