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Projeto: iDrug</w:t>
        <w:br w:type="textWrapping"/>
        <w:br w:type="textWrapping"/>
        <w:t xml:space="preserve">Especificação de Caso de Uso:</w:t>
        <w:br w:type="textWrapping"/>
        <w:t xml:space="preserve">Buscar Medicamento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 w14:paraId="0000000B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396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80"/>
        <w:gridCol w:w="960"/>
        <w:gridCol w:w="4200"/>
        <w:gridCol w:w="2556"/>
        <w:tblGridChange w:id="0">
          <w:tblGrid>
            <w:gridCol w:w="1680"/>
            <w:gridCol w:w="960"/>
            <w:gridCol w:w="4200"/>
            <w:gridCol w:w="255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 do documento.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Karina Furlan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after="200"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contextualSpacing w:val="0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070.866141732284"/>
            </w:tabs>
            <w:spacing w:before="8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yntdyrvv9lhl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Definições e abreviações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_yntdyrvv9lhl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u368wdm8yvhr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Atores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_u368wdm8yvhr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yd8c9ec899nl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Uso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_yd8c9ec899nl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jivbl7xluyp9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 do Caso de Uso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_jivbl7xluyp9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qnblc66x3zu7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_qnblc66x3zu7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8xb7b6hh8vvg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[ATR01] Farmácia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_8xb7b6hh8vvg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rq34ct8gm7lq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Precondições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_rq34ct8gm7lq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hkiwscn2gfdg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 no sistema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_hkiwscn2gfdg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r1m3t5rlrjfn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Página de Pedidos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_r1m3t5rlrjfn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i2dsvhnwl87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Pedido pendente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_i2dsvhnwl87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bx4lx4fiaoww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Pós-Condições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_bx4lx4fiaoww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kllv3wwqwxsj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Fluxos de Evento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_kllv3wwqwxsj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llzncht8nvoh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Básico - Aceitar Pedido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_llzncht8nvoh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qfbh5vb7zyag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Fluxos Alternativos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_qfbh5vb7zyag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70.866141732284"/>
            </w:tabs>
            <w:spacing w:before="60" w:line="240" w:lineRule="auto"/>
            <w:ind w:left="108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yvyl7ep8sgp8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[FA01] – Recusar Pedidos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_yvyl7ep8sgp8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w79o4bqb057a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Fluxos de Exceção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_w79o4bqb057a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70.866141732284"/>
            </w:tabs>
            <w:spacing w:before="60" w:line="240" w:lineRule="auto"/>
            <w:ind w:left="108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tqgsfzm5eg48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[FE01] – Sem conexão com a Farmácia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_tqgsfzm5eg48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70.866141732284"/>
            </w:tabs>
            <w:spacing w:before="60" w:line="240" w:lineRule="auto"/>
            <w:ind w:left="108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eey0v2ew03nt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[FE02] – Destinatário inexistente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_eey0v2ew03nt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3cfhmj1dt6e1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Regras de Negócio [RN]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_3cfhmj1dt6e1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vdau1w9ua772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Requisitos Especiais [RE]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_vdau1w9ua772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6mb56kgnpetm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Pontos de Relacionamento [PR]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_6mb56kgnpetm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cqzm9mgskjii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Protótipos de Tela [PRT]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_cqzm9mgskjii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70.866141732284"/>
            </w:tabs>
            <w:spacing w:after="80"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od30gik3ci86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Referências, Informações Adicionais e Anexos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_od30gik3ci86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  <w:tab w:val="right" w:pos="9016"/>
        </w:tabs>
        <w:spacing w:after="0" w:before="24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pacing w:after="200" w:line="276" w:lineRule="auto"/>
        <w:contextualSpacing w:val="0"/>
        <w:rPr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Especificação de Caso de Uso:</w:t>
        <w:br w:type="textWrapping"/>
        <w:t xml:space="preserve">Buscar Medicamento</w:t>
      </w:r>
    </w:p>
    <w:p w:rsidR="00000000" w:rsidDel="00000000" w:rsidP="00000000" w:rsidRDefault="00000000" w:rsidRPr="00000000" w14:paraId="0000003A">
      <w:pPr>
        <w:pStyle w:val="Heading1"/>
        <w:keepNext w:val="1"/>
        <w:widowControl w:val="1"/>
        <w:numPr>
          <w:ilvl w:val="0"/>
          <w:numId w:val="1"/>
        </w:numPr>
        <w:spacing w:after="120" w:before="480" w:line="240" w:lineRule="auto"/>
        <w:ind w:left="567" w:right="-1080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 xml:space="preserve">Este documento tem como objetivo especificar os casos de uso do sistema iDrug. O iDrug é um sistema que faz a busca e venda de medicamentos.</w:t>
      </w:r>
    </w:p>
    <w:p w:rsidR="00000000" w:rsidDel="00000000" w:rsidP="00000000" w:rsidRDefault="00000000" w:rsidRPr="00000000" w14:paraId="0000003C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yntdyrvv9lhl" w:id="4"/>
      <w:bookmarkEnd w:id="4"/>
      <w:r w:rsidDel="00000000" w:rsidR="00000000" w:rsidRPr="00000000">
        <w:rPr>
          <w:sz w:val="28"/>
          <w:szCs w:val="28"/>
          <w:rtl w:val="0"/>
        </w:rPr>
        <w:t xml:space="preserve">Definições</w:t>
      </w:r>
      <w:r w:rsidDel="00000000" w:rsidR="00000000" w:rsidRPr="00000000">
        <w:rPr>
          <w:vertAlign w:val="baseline"/>
          <w:rtl w:val="0"/>
        </w:rPr>
        <w:t xml:space="preserve"> e abreviações </w:t>
      </w:r>
    </w:p>
    <w:tbl>
      <w:tblPr>
        <w:tblStyle w:val="Table2"/>
        <w:tblW w:w="8100.0" w:type="dxa"/>
        <w:jc w:val="left"/>
        <w:tblInd w:w="118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552"/>
        <w:gridCol w:w="5548"/>
        <w:tblGridChange w:id="0">
          <w:tblGrid>
            <w:gridCol w:w="2552"/>
            <w:gridCol w:w="5548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firstLine="0"/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Termo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firstLine="0"/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u368wdm8yvhr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87" w:right="-618" w:hanging="566.9999999999999"/>
        <w:contextualSpacing w:val="0"/>
        <w:jc w:val="both"/>
        <w:rPr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Cliente</w:t>
      </w:r>
    </w:p>
    <w:p w:rsidR="00000000" w:rsidDel="00000000" w:rsidP="00000000" w:rsidRDefault="00000000" w:rsidRPr="00000000" w14:paraId="00000043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yd8c9ec899nl" w:id="6"/>
      <w:bookmarkEnd w:id="6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Casos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 Uso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67" w:right="-617" w:hanging="567"/>
        <w:contextualSpacing w:val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w:drawing>
            <wp:inline distB="19050" distT="19050" distL="19050" distR="19050">
              <wp:extent cx="5638800" cy="49530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38800" cy="4953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Subtitle"/>
        <w:widowControl w:val="1"/>
        <w:spacing w:line="240" w:lineRule="auto"/>
        <w:ind w:left="567"/>
        <w:contextualSpacing w:val="0"/>
        <w:jc w:val="center"/>
        <w:rPr>
          <w:vertAlign w:val="baseline"/>
        </w:rPr>
      </w:pPr>
      <w:bookmarkStart w:colFirst="0" w:colLast="0" w:name="_fjjpwldo4pxv" w:id="7"/>
      <w:bookmarkEnd w:id="7"/>
      <w:r w:rsidDel="00000000" w:rsidR="00000000" w:rsidRPr="00000000">
        <w:rPr>
          <w:vertAlign w:val="baseline"/>
          <w:rtl w:val="0"/>
        </w:rPr>
        <w:t xml:space="preserve">Figura 1 - Diagrama de casos de uso</w:t>
      </w:r>
    </w:p>
    <w:p w:rsidR="00000000" w:rsidDel="00000000" w:rsidP="00000000" w:rsidRDefault="00000000" w:rsidRPr="00000000" w14:paraId="00000046">
      <w:pPr>
        <w:widowControl w:val="1"/>
        <w:spacing w:after="200" w:line="276" w:lineRule="auto"/>
        <w:ind w:left="567" w:hanging="567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Pei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jivbl7xluyp9" w:id="8"/>
      <w:bookmarkEnd w:id="8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Descrição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do Caso de Uso</w:t>
      </w:r>
    </w:p>
    <w:p w:rsidR="00000000" w:rsidDel="00000000" w:rsidP="00000000" w:rsidRDefault="00000000" w:rsidRPr="00000000" w14:paraId="00000049">
      <w:pPr>
        <w:contextualSpacing w:val="0"/>
        <w:rPr/>
      </w:pPr>
      <w:bookmarkStart w:colFirst="0" w:colLast="0" w:name="_tp9k8olprr" w:id="9"/>
      <w:bookmarkEnd w:id="9"/>
      <w:r w:rsidDel="00000000" w:rsidR="00000000" w:rsidRPr="00000000">
        <w:rPr>
          <w:rtl w:val="0"/>
        </w:rPr>
        <w:t xml:space="preserve">Neste caso de uso o usuário poderá realizar a busca de medicamentos buscando pelo nome, onde será mostrado para ele as opções de auto complemento da palavra que está sendo digitada.</w:t>
      </w:r>
    </w:p>
    <w:p w:rsidR="00000000" w:rsidDel="00000000" w:rsidP="00000000" w:rsidRDefault="00000000" w:rsidRPr="00000000" w14:paraId="0000004A">
      <w:pPr>
        <w:contextualSpacing w:val="0"/>
        <w:rPr/>
      </w:pPr>
      <w:bookmarkStart w:colFirst="0" w:colLast="0" w:name="_4d34og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qnblc66x3zu7" w:id="11"/>
      <w:bookmarkEnd w:id="11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Os atores neste caso de uso </w:t>
      </w:r>
      <w:r w:rsidDel="00000000" w:rsidR="00000000" w:rsidRPr="00000000">
        <w:rPr>
          <w:rtl w:val="0"/>
        </w:rPr>
        <w:t xml:space="preserve">são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</w:pPr>
      <w:bookmarkStart w:colFirst="0" w:colLast="0" w:name="_18jb5ucrmeiv" w:id="12"/>
      <w:bookmarkEnd w:id="12"/>
      <w:r w:rsidDel="00000000" w:rsidR="00000000" w:rsidRPr="00000000">
        <w:rPr>
          <w:rtl w:val="0"/>
        </w:rPr>
        <w:t xml:space="preserve">[ATR01] Cliente</w:t>
      </w:r>
    </w:p>
    <w:p w:rsidR="00000000" w:rsidDel="00000000" w:rsidP="00000000" w:rsidRDefault="00000000" w:rsidRPr="00000000" w14:paraId="0000004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 cliente poderá realizar buscas medicamento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rq34ct8gm7lq" w:id="13"/>
      <w:bookmarkEnd w:id="13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O usuário deve estar logado e estar na tela onde se encontra o botão Buscar Medicamentos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hkiwscn2gfdg" w:id="14"/>
      <w:bookmarkEnd w:id="14"/>
      <w:r w:rsidDel="00000000" w:rsidR="00000000" w:rsidRPr="00000000">
        <w:rPr>
          <w:rtl w:val="0"/>
        </w:rPr>
        <w:t xml:space="preserve">Login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O usuário deve estar logado.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r1m3t5rlrjfn" w:id="15"/>
      <w:bookmarkEnd w:id="15"/>
      <w:r w:rsidDel="00000000" w:rsidR="00000000" w:rsidRPr="00000000">
        <w:rPr>
          <w:rtl w:val="0"/>
        </w:rPr>
        <w:t xml:space="preserve">Tela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O usuário deve se encontrar na página inicial onde estará o botão Buscar Medicamentos</w:t>
      </w:r>
    </w:p>
    <w:p w:rsidR="00000000" w:rsidDel="00000000" w:rsidP="00000000" w:rsidRDefault="00000000" w:rsidRPr="00000000" w14:paraId="00000055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bx4lx4fiaoww" w:id="16"/>
      <w:bookmarkEnd w:id="16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kllv3wwqwxsj" w:id="17"/>
      <w:bookmarkEnd w:id="17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Fluxos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Evento</w:t>
      </w:r>
    </w:p>
    <w:p w:rsidR="00000000" w:rsidDel="00000000" w:rsidP="00000000" w:rsidRDefault="00000000" w:rsidRPr="00000000" w14:paraId="00000058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llzncht8nvoh" w:id="18"/>
      <w:bookmarkEnd w:id="18"/>
      <w:r w:rsidDel="00000000" w:rsidR="00000000" w:rsidRPr="00000000">
        <w:rPr>
          <w:rtl w:val="0"/>
        </w:rPr>
        <w:t xml:space="preserve">Fluxo </w:t>
      </w:r>
      <w:r w:rsidDel="00000000" w:rsidR="00000000" w:rsidRPr="00000000">
        <w:rPr>
          <w:rtl w:val="0"/>
        </w:rPr>
        <w:t xml:space="preserve">Básico</w:t>
      </w:r>
      <w:r w:rsidDel="00000000" w:rsidR="00000000" w:rsidRPr="00000000">
        <w:rPr>
          <w:rtl w:val="0"/>
        </w:rPr>
        <w:t xml:space="preserve"> - Realizar busca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fluxo se inicia quando o usuário</w:t>
      </w:r>
      <w:r w:rsidDel="00000000" w:rsidR="00000000" w:rsidRPr="00000000">
        <w:rPr>
          <w:rtl w:val="0"/>
        </w:rPr>
        <w:t xml:space="preserve"> clicar no botão Busca Medicamento..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Opções de auto completa da busca serão mostradas simultaneamente com o que o usuário digita.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cliente seleciona o nome do medicamento que ele deseja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Uma lista deste mesmo medicamento será mostrada, sendo cada qual em sua farmácia correspondente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qfbh5vb7zyag" w:id="19"/>
      <w:bookmarkEnd w:id="19"/>
      <w:r w:rsidDel="00000000" w:rsidR="00000000" w:rsidRPr="00000000">
        <w:rPr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widowControl w:val="1"/>
        <w:numPr>
          <w:ilvl w:val="3"/>
          <w:numId w:val="1"/>
        </w:numPr>
        <w:ind w:left="847.6771653543307" w:hanging="870"/>
        <w:rPr/>
      </w:pPr>
      <w:bookmarkStart w:colFirst="0" w:colLast="0" w:name="_yvyl7ep8sgp8" w:id="20"/>
      <w:bookmarkEnd w:id="20"/>
      <w:r w:rsidDel="00000000" w:rsidR="00000000" w:rsidRPr="00000000">
        <w:rPr>
          <w:rtl w:val="0"/>
        </w:rPr>
        <w:t xml:space="preserve">[FA01] – Criar Pedido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No passo 4 do fluxo básico. Será possível, caso o cliente deseje, criar o pedido de compra do medicamento.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keepNext w:val="1"/>
        <w:keepLines w:val="1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47.6771653543307" w:right="-1080" w:hanging="870"/>
        <w:contextualSpacing w:val="0"/>
        <w:jc w:val="left"/>
        <w:rPr/>
      </w:pPr>
      <w:bookmarkStart w:colFirst="0" w:colLast="0" w:name="_3ijkftjok1bz" w:id="21"/>
      <w:bookmarkEnd w:id="21"/>
      <w:r w:rsidDel="00000000" w:rsidR="00000000" w:rsidRPr="00000000">
        <w:rPr>
          <w:rtl w:val="0"/>
        </w:rPr>
        <w:t xml:space="preserve">[FA02] - Compra de Medicamento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passo 1 do fluxo alternativo 1. Caso o cliente deseje, será possível realizar a compra de um medicamento na farmácia em que ele se encontra.</w:t>
      </w:r>
    </w:p>
    <w:p w:rsidR="00000000" w:rsidDel="00000000" w:rsidP="00000000" w:rsidRDefault="00000000" w:rsidRPr="00000000" w14:paraId="0000006A">
      <w:pPr>
        <w:pStyle w:val="Heading4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-1080" w:firstLine="0"/>
        <w:contextualSpacing w:val="0"/>
        <w:jc w:val="left"/>
        <w:rPr/>
      </w:pPr>
      <w:bookmarkStart w:colFirst="0" w:colLast="0" w:name="_rse3bkp0dk2w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6z4i6nia3xol" w:id="23"/>
      <w:bookmarkEnd w:id="23"/>
      <w:r w:rsidDel="00000000" w:rsidR="00000000" w:rsidRPr="00000000">
        <w:rPr>
          <w:rtl w:val="0"/>
        </w:rPr>
        <w:t xml:space="preserve"> Extend </w:t>
      </w:r>
    </w:p>
    <w:p w:rsidR="00000000" w:rsidDel="00000000" w:rsidP="00000000" w:rsidRDefault="00000000" w:rsidRPr="00000000" w14:paraId="0000006C">
      <w:pPr>
        <w:pStyle w:val="Heading3"/>
        <w:keepNext w:val="1"/>
        <w:keepLines w:val="1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944" w:right="-1080" w:hanging="864"/>
        <w:contextualSpacing w:val="0"/>
        <w:jc w:val="left"/>
        <w:rPr/>
      </w:pPr>
      <w:bookmarkStart w:colFirst="0" w:colLast="0" w:name="_45spdajc41re" w:id="24"/>
      <w:bookmarkEnd w:id="24"/>
      <w:r w:rsidDel="00000000" w:rsidR="00000000" w:rsidRPr="00000000">
        <w:rPr>
          <w:rtl w:val="0"/>
        </w:rPr>
        <w:t xml:space="preserve">Criar Pedido </w:t>
      </w:r>
    </w:p>
    <w:p w:rsidR="00000000" w:rsidDel="00000000" w:rsidP="00000000" w:rsidRDefault="00000000" w:rsidRPr="00000000" w14:paraId="0000006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Fluxo alternativo 1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gunactjy4i13" w:id="25"/>
      <w:bookmarkEnd w:id="25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Regras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Negócio [RN]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vdau1w9ua772" w:id="26"/>
      <w:bookmarkEnd w:id="26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Requisitos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Especiais [RE]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6mb56kgnpetm" w:id="27"/>
      <w:bookmarkEnd w:id="27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Pontos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Relacionamento [PR]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cqzm9mgskjii" w:id="28"/>
      <w:bookmarkEnd w:id="28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Protótipos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Tela [PRT]</w:t>
      </w:r>
    </w:p>
    <w:p w:rsidR="00000000" w:rsidDel="00000000" w:rsidP="00000000" w:rsidRDefault="00000000" w:rsidRPr="00000000" w14:paraId="00000076">
      <w:pPr>
        <w:contextualSpacing w:val="0"/>
        <w:rPr/>
      </w:pPr>
      <w:hyperlink r:id="rId8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w:drawing>
            <wp:inline distB="19050" distT="19050" distL="19050" distR="19050">
              <wp:extent cx="5867400" cy="4381500"/>
              <wp:effectExtent b="0" l="0" r="0" 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67400" cy="4381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od30gik3ci86" w:id="29"/>
      <w:bookmarkEnd w:id="29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Referências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Informações Adicionais e Anexos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pacing w:after="120" w:line="240" w:lineRule="auto"/>
        <w:ind w:right="-286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-1080" w:firstLine="0"/>
        <w:contextualSpacing w:val="0"/>
        <w:jc w:val="left"/>
        <w:rPr/>
      </w:pPr>
      <w:bookmarkStart w:colFirst="0" w:colLast="0" w:name="_vt71egi9psri" w:id="30"/>
      <w:bookmarkEnd w:id="30"/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8" w:w="11906"/>
      <w:pgMar w:bottom="0" w:top="0" w:left="1417.3228346456694" w:right="1417.3228346456694" w:header="709" w:footer="72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21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070"/>
      <w:gridCol w:w="3070"/>
      <w:gridCol w:w="3070"/>
      <w:tblGridChange w:id="0">
        <w:tblGrid>
          <w:gridCol w:w="3070"/>
          <w:gridCol w:w="3070"/>
          <w:gridCol w:w="3070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082">
          <w:pPr>
            <w:contextualSpacing w:val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3">
          <w:pPr>
            <w:contextualSpacing w:val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4">
          <w:pPr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>
              <w:b w:val="1"/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>
              <w:b w:val="1"/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contextualSpacing w:val="0"/>
      <w:rPr/>
    </w:pPr>
    <w:r w:rsidDel="00000000" w:rsidR="00000000" w:rsidRPr="00000000">
      <w:rPr>
        <w:rtl w:val="0"/>
      </w:rPr>
    </w:r>
  </w:p>
  <w:tbl>
    <w:tblPr>
      <w:tblStyle w:val="Table3"/>
      <w:tblW w:w="9356.0" w:type="dxa"/>
      <w:jc w:val="left"/>
      <w:tblInd w:w="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7200"/>
      <w:gridCol w:w="2156"/>
      <w:tblGridChange w:id="0">
        <w:tblGrid>
          <w:gridCol w:w="7200"/>
          <w:gridCol w:w="2156"/>
        </w:tblGrid>
      </w:tblGridChange>
    </w:tblGrid>
    <w:tr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666666" w:space="0" w:sz="6" w:val="single"/>
          </w:tcBorders>
          <w:vAlign w:val="center"/>
        </w:tcPr>
        <w:p w:rsidR="00000000" w:rsidDel="00000000" w:rsidP="00000000" w:rsidRDefault="00000000" w:rsidRPr="00000000" w14:paraId="0000007C">
          <w:pPr>
            <w:spacing w:after="0" w:before="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iDrug</w:t>
          </w:r>
        </w:p>
      </w:tc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666666" w:space="0" w:sz="6" w:val="single"/>
          </w:tcBorders>
          <w:vAlign w:val="center"/>
        </w:tcPr>
        <w:p w:rsidR="00000000" w:rsidDel="00000000" w:rsidP="00000000" w:rsidRDefault="00000000" w:rsidRPr="00000000" w14:paraId="0000007D">
          <w:pPr>
            <w:tabs>
              <w:tab w:val="left" w:pos="1135"/>
            </w:tabs>
            <w:spacing w:after="0" w:before="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Versão: 1.0</w:t>
          </w:r>
        </w:p>
      </w:tc>
    </w:tr>
    <w:tr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666666" w:space="0" w:sz="6" w:val="single"/>
          </w:tcBorders>
          <w:vAlign w:val="center"/>
        </w:tcPr>
        <w:p w:rsidR="00000000" w:rsidDel="00000000" w:rsidP="00000000" w:rsidRDefault="00000000" w:rsidRPr="00000000" w14:paraId="0000007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both"/>
            <w:rPr/>
          </w:pPr>
          <w:r w:rsidDel="00000000" w:rsidR="00000000" w:rsidRPr="00000000">
            <w:rPr>
              <w:rtl w:val="0"/>
            </w:rPr>
            <w:t xml:space="preserve">Especificação de Caso de Uso - </w:t>
          </w:r>
          <w:r w:rsidDel="00000000" w:rsidR="00000000" w:rsidRPr="00000000">
            <w:rPr>
              <w:rtl w:val="0"/>
            </w:rPr>
            <w:t xml:space="preserve">Buscar</w:t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Medicamento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7F">
          <w:pPr>
            <w:spacing w:after="0" w:before="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Data: 02/12/2017</w:t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widowControl w:val="1"/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60" w:before="60" w:line="240" w:lineRule="auto"/>
      <w:ind w:firstLine="709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widowControl w:val="1"/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60" w:before="60" w:line="240" w:lineRule="auto"/>
      <w:ind w:firstLine="709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UNIVERSIDADE FEDERAL DE MATO GROSSO - UFMT</w:t>
    </w:r>
  </w:p>
  <w:p w:rsidR="00000000" w:rsidDel="00000000" w:rsidP="00000000" w:rsidRDefault="00000000" w:rsidRPr="00000000" w14:paraId="00000088">
    <w:pPr>
      <w:widowControl w:val="1"/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60" w:before="60" w:line="240" w:lineRule="auto"/>
      <w:ind w:firstLine="709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512" w:hanging="432.0000000000002"/>
      </w:pPr>
      <w:rPr>
        <w:rFonts w:ascii="Trebuchet MS" w:cs="Trebuchet MS" w:eastAsia="Trebuchet MS" w:hAnsi="Trebuchet MS"/>
        <w:b w:val="1"/>
        <w:i w:val="0"/>
        <w:color w:val="999999"/>
        <w:sz w:val="28"/>
        <w:szCs w:val="28"/>
      </w:rPr>
    </w:lvl>
    <w:lvl w:ilvl="1">
      <w:start w:val="1"/>
      <w:numFmt w:val="decimal"/>
      <w:lvlText w:val="%1.%2"/>
      <w:lvlJc w:val="left"/>
      <w:pPr>
        <w:ind w:left="1077" w:firstLine="3"/>
      </w:pPr>
      <w:rPr>
        <w:rFonts w:ascii="Trebuchet MS" w:cs="Trebuchet MS" w:eastAsia="Trebuchet MS" w:hAnsi="Trebuchet MS"/>
        <w:b w:val="1"/>
        <w:i w:val="0"/>
        <w:color w:val="999999"/>
        <w:sz w:val="24"/>
        <w:szCs w:val="24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 w:val="1"/>
        <w:i w:val="0"/>
        <w:color w:val="999999"/>
      </w:rPr>
    </w:lvl>
    <w:lvl w:ilvl="3">
      <w:start w:val="1"/>
      <w:numFmt w:val="decimal"/>
      <w:lvlText w:val="%1.%2.%3.%4"/>
      <w:lvlJc w:val="left"/>
      <w:pPr>
        <w:ind w:left="1944" w:hanging="864"/>
      </w:pPr>
      <w:rPr>
        <w:color w:val="808080"/>
      </w:rPr>
    </w:lvl>
    <w:lvl w:ilvl="4">
      <w:start w:val="1"/>
      <w:numFmt w:val="decimal"/>
      <w:lvlText w:val="%1.%2.%3.%4.%5"/>
      <w:lvlJc w:val="left"/>
      <w:pPr>
        <w:ind w:left="2088" w:hanging="1007.9999999999998"/>
      </w:pPr>
      <w:rPr/>
    </w:lvl>
    <w:lvl w:ilvl="5">
      <w:start w:val="1"/>
      <w:numFmt w:val="decimal"/>
      <w:lvlText w:val="%1.%2.%3.%4.%5.%6"/>
      <w:lvlJc w:val="left"/>
      <w:pPr>
        <w:ind w:left="2232" w:hanging="1152.0000000000002"/>
      </w:pPr>
      <w:rPr/>
    </w:lvl>
    <w:lvl w:ilvl="6">
      <w:start w:val="1"/>
      <w:numFmt w:val="decimal"/>
      <w:lvlText w:val="%1.%2.%3.%4.%5.%6.%7"/>
      <w:lvlJc w:val="left"/>
      <w:pPr>
        <w:ind w:left="2376" w:hanging="1296"/>
      </w:pPr>
      <w:rPr/>
    </w:lvl>
    <w:lvl w:ilvl="7">
      <w:start w:val="1"/>
      <w:numFmt w:val="decimal"/>
      <w:lvlText w:val="%1.%2.%3.%4.%5.%6.%7.%8"/>
      <w:lvlJc w:val="left"/>
      <w:pPr>
        <w:ind w:left="2520" w:hanging="1440"/>
      </w:pPr>
      <w:rPr/>
    </w:lvl>
    <w:lvl w:ilvl="8">
      <w:start w:val="1"/>
      <w:numFmt w:val="decimal"/>
      <w:lvlText w:val="%1.%2.%3.%4.%5.%6.%7.%8.%9"/>
      <w:lvlJc w:val="left"/>
      <w:pPr>
        <w:ind w:left="2664" w:hanging="1584.0000000000002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214" w:hanging="360"/>
      </w:pPr>
      <w:rPr>
        <w:rFonts w:ascii="Trebuchet MS" w:cs="Trebuchet MS" w:eastAsia="Trebuchet MS" w:hAnsi="Trebuchet MS"/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ind w:left="2646" w:hanging="432"/>
      </w:pPr>
      <w:rPr>
        <w:rFonts w:ascii="Trebuchet MS" w:cs="Trebuchet MS" w:eastAsia="Trebuchet MS" w:hAnsi="Trebuchet MS"/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ind w:left="3078" w:hanging="504"/>
      </w:pPr>
      <w:rPr>
        <w:rFonts w:ascii="Trebuchet MS" w:cs="Trebuchet MS" w:eastAsia="Trebuchet MS" w:hAnsi="Trebuchet MS"/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ind w:left="3582" w:hanging="648"/>
      </w:pPr>
      <w:rPr/>
    </w:lvl>
    <w:lvl w:ilvl="4">
      <w:start w:val="1"/>
      <w:numFmt w:val="decimal"/>
      <w:lvlText w:val="%1.%2.%3.%4.%5."/>
      <w:lvlJc w:val="left"/>
      <w:pPr>
        <w:ind w:left="4086" w:hanging="791.9999999999995"/>
      </w:pPr>
      <w:rPr/>
    </w:lvl>
    <w:lvl w:ilvl="5">
      <w:start w:val="1"/>
      <w:numFmt w:val="decimal"/>
      <w:lvlText w:val="%1.%2.%3.%4.%5.%6."/>
      <w:lvlJc w:val="left"/>
      <w:pPr>
        <w:ind w:left="4590" w:hanging="936"/>
      </w:pPr>
      <w:rPr/>
    </w:lvl>
    <w:lvl w:ilvl="6">
      <w:start w:val="1"/>
      <w:numFmt w:val="decimal"/>
      <w:lvlText w:val="%1.%2.%3.%4.%5.%6.%7."/>
      <w:lvlJc w:val="left"/>
      <w:pPr>
        <w:ind w:left="5094" w:hanging="1080"/>
      </w:pPr>
      <w:rPr/>
    </w:lvl>
    <w:lvl w:ilvl="7">
      <w:start w:val="1"/>
      <w:numFmt w:val="decimal"/>
      <w:lvlText w:val="%1.%2.%3.%4.%5.%6.%7.%8."/>
      <w:lvlJc w:val="left"/>
      <w:pPr>
        <w:ind w:left="5598" w:hanging="1224"/>
      </w:pPr>
      <w:rPr/>
    </w:lvl>
    <w:lvl w:ilvl="8">
      <w:start w:val="1"/>
      <w:numFmt w:val="decimal"/>
      <w:lvlText w:val="%1.%2.%3.%4.%5.%6.%7.%8.%9."/>
      <w:lvlJc w:val="left"/>
      <w:pPr>
        <w:ind w:left="6174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  <w:ind w:left="567" w:right="-1080"/>
      <w:jc w:val="left"/>
    </w:pPr>
    <w:rPr>
      <w:rFonts w:ascii="Trebuchet MS" w:cs="Trebuchet MS" w:eastAsia="Trebuchet MS" w:hAnsi="Trebuchet MS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  <w:ind w:left="567" w:right="-1080"/>
      <w:jc w:val="left"/>
    </w:pPr>
    <w:rPr>
      <w:rFonts w:ascii="Trebuchet MS" w:cs="Trebuchet MS" w:eastAsia="Trebuchet MS" w:hAnsi="Trebuchet MS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ind w:left="567" w:right="-1080"/>
      <w:jc w:val="left"/>
    </w:pPr>
    <w:rPr>
      <w:rFonts w:ascii="Trebuchet MS" w:cs="Trebuchet MS" w:eastAsia="Trebuchet MS" w:hAnsi="Trebuchet MS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  <w:ind w:left="847.6771653543307" w:right="-1080" w:hanging="870"/>
      <w:jc w:val="left"/>
    </w:pPr>
    <w:rPr>
      <w:rFonts w:ascii="Trebuchet MS" w:cs="Trebuchet MS" w:eastAsia="Trebuchet MS" w:hAnsi="Trebuchet MS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="240" w:lineRule="auto"/>
      <w:ind w:left="2007" w:hanging="360"/>
      <w:contextualSpacing w:val="0"/>
    </w:pPr>
    <w:rPr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ind w:left="2127" w:hanging="120"/>
      <w:contextualSpacing w:val="0"/>
    </w:pPr>
    <w:rPr/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ind w:left="567"/>
      <w:jc w:val="center"/>
    </w:pPr>
    <w:rPr>
      <w:rFonts w:ascii="Verdana" w:cs="Verdana" w:eastAsia="Verdana" w:hAnsi="Verdana"/>
      <w:b w:val="1"/>
      <w:color w:val="80808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15.0" w:type="dxa"/>
        <w:left w:w="115.0" w:type="dxa"/>
        <w:bottom w:w="58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draw.io/?scale=2#G1sLFkJkIb76DVXwcOcahwZlSe46ks8Tjh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draw.io/?scale=2#G185eqnTTsnMoMDb681yzN-LgT6HpQ7n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