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Consultar Unidade de Saúde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Moura de Campos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Cliente</w:t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Ter sua base de dados alimentada</w:t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Buscar UBS e UPA’s</w:t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Unidade Não encontada</w:t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Consultar Unidades de Saúde</w:t>
      </w:r>
    </w:p>
    <w:p w:rsidR="00000000" w:rsidDel="00000000" w:rsidP="00000000" w:rsidRDefault="00000000" w:rsidRPr="00000000" w14:paraId="00000035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Cliente</w:t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64200" cy="4978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978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1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rqh2qr6uuo5e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0"/>
      <w:bookmarkEnd w:id="10"/>
      <w:r w:rsidDel="00000000" w:rsidR="00000000" w:rsidRPr="00000000">
        <w:rPr>
          <w:rtl w:val="0"/>
        </w:rPr>
        <w:t xml:space="preserve">[ATR01]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O cliente tem a possibilidade de utilizar o motor de busca das unidade de saúdes para encontrar qual o local de atendimento mais próximo e para qual ele deve se direcionar dependendo do estado de sáude do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 caso de uso Definir UBS e UPA’s deve ter alimentado a base de dados previamente.</w:t>
      </w:r>
    </w:p>
    <w:p w:rsidR="00000000" w:rsidDel="00000000" w:rsidP="00000000" w:rsidRDefault="00000000" w:rsidRPr="00000000" w14:paraId="0000004B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2"/>
      <w:bookmarkEnd w:id="12"/>
      <w:r w:rsidDel="00000000" w:rsidR="00000000" w:rsidRPr="00000000">
        <w:rPr>
          <w:rtl w:val="0"/>
        </w:rPr>
        <w:t xml:space="preserve">Logado em sua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 usuário deve estar logado em sua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0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5"/>
      <w:bookmarkEnd w:id="15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Buscar UBS e UPA’s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o caso de uso Definir UBS e UPA’s alimentou 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cliente terá logado em sua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Após logado ele irá selecionar a busca por UBS e UPA’s.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O cliente tem a opção de buscar uma UBS ou UPA’s por proximidade ou inserir uma string de uma unidade específica.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lista com os dados da(s) UBS e/ou UPA’s será entregue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6"/>
      <w:bookmarkEnd w:id="16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17"/>
      <w:bookmarkEnd w:id="17"/>
      <w:r w:rsidDel="00000000" w:rsidR="00000000" w:rsidRPr="00000000">
        <w:rPr>
          <w:rtl w:val="0"/>
        </w:rPr>
        <w:t xml:space="preserve">[FA01] – Unidade não encontrada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Há a possibilidade do cliente se enganar sobre o nome da unidade que ele esteja procurando e o sistema informará que não encontrou tal unidade em seu banco de dados.  .</w:t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Caso de Uso Definir UBS e UPA’s.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1"/>
      <w:bookmarkEnd w:id="21"/>
      <w:r w:rsidDel="00000000" w:rsidR="00000000" w:rsidRPr="00000000">
        <w:rPr>
          <w:rtl w:val="0"/>
        </w:rPr>
        <w:t xml:space="preserve">Referências, Informações Adicionais e Anexos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64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6A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