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Projeto: iDrug</w:t>
        <w:br/>
        <w:br/>
        <w:t xml:space="preserve">Especificação de Caso de Uso:</w:t>
        <w:br/>
        <w:t xml:space="preserve">&lt;CRUD&gt; Modificar Pedidos</w:t>
        <w:br/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Versão 1.0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Histórico de Revisões</w:t>
      </w:r>
    </w:p>
    <w:tbl>
      <w:tblPr>
        <w:tblInd w:w="108" w:type="dxa"/>
      </w:tblPr>
      <w:tblGrid>
        <w:gridCol w:w="1680"/>
        <w:gridCol w:w="960"/>
        <w:gridCol w:w="4200"/>
        <w:gridCol w:w="2556"/>
      </w:tblGrid>
      <w:tr>
        <w:trPr>
          <w:trHeight w:val="320" w:hRule="auto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Data</w:t>
            </w: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Versão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Descrição</w:t>
            </w: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Autor</w:t>
            </w:r>
          </w:p>
        </w:tc>
      </w:tr>
      <w:tr>
        <w:trPr>
          <w:trHeight w:val="320" w:hRule="auto"/>
          <w:jc w:val="left"/>
        </w:trPr>
        <w:tc>
          <w:tcPr>
            <w:tcW w:w="1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27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11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2017</w:t>
            </w:r>
          </w:p>
        </w:tc>
        <w:tc>
          <w:tcPr>
            <w:tcW w:w="9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1.0</w:t>
            </w:r>
          </w:p>
        </w:tc>
        <w:tc>
          <w:tcPr>
            <w:tcW w:w="42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Criação do documento.</w:t>
            </w:r>
          </w:p>
        </w:tc>
        <w:tc>
          <w:tcPr>
            <w:tcW w:w="255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keepLines w:val="true"/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Matheus Moura de Campos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Índice Analítico</w:t>
      </w:r>
    </w:p>
    <w:p>
      <w:pPr>
        <w:tabs>
          <w:tab w:val="left" w:pos="400" w:leader="none"/>
          <w:tab w:val="right" w:pos="9016" w:leader="none"/>
        </w:tabs>
        <w:spacing w:before="24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Especificação de Caso de Uso:</w:t>
        <w:br/>
        <w:t xml:space="preserve">&lt;CRUD&gt; Definir Produtos</w:t>
      </w:r>
    </w:p>
    <w:p>
      <w:pPr>
        <w:keepNext w:val="true"/>
        <w:keepLines w:val="true"/>
        <w:numPr>
          <w:ilvl w:val="0"/>
          <w:numId w:val="21"/>
        </w:numPr>
        <w:spacing w:before="480" w:after="120" w:line="240"/>
        <w:ind w:right="-1080" w:left="567" w:hanging="432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Introdução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ab/>
        <w:t xml:space="preserve">Este documento tem como objetivo especificar os casos de uso do sistema iDrug. O iDrug é um sistema que faz a busca e venda de medicamentos.</w:t>
      </w:r>
    </w:p>
    <w:p>
      <w:pPr>
        <w:keepNext w:val="true"/>
        <w:keepLines w:val="true"/>
        <w:numPr>
          <w:ilvl w:val="0"/>
          <w:numId w:val="23"/>
        </w:numPr>
        <w:spacing w:before="480" w:after="12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Definições e abreviações </w:t>
      </w:r>
    </w:p>
    <w:tbl>
      <w:tblPr>
        <w:tblInd w:w="1188" w:type="dxa"/>
      </w:tblPr>
      <w:tblGrid>
        <w:gridCol w:w="2552"/>
        <w:gridCol w:w="5548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Termo</w:t>
            </w:r>
          </w:p>
        </w:tc>
        <w:tc>
          <w:tcPr>
            <w:tcW w:w="554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e6e6e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Descrição</w:t>
            </w:r>
          </w:p>
        </w:tc>
      </w:tr>
      <w:tr>
        <w:trPr>
          <w:trHeight w:val="80" w:hRule="auto"/>
          <w:jc w:val="left"/>
        </w:trPr>
        <w:tc>
          <w:tcPr>
            <w:tcW w:w="2552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48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30"/>
        </w:numPr>
        <w:spacing w:before="480" w:after="120" w:line="240"/>
        <w:ind w:right="-1080" w:left="567" w:hanging="56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Atores</w:t>
      </w:r>
    </w:p>
    <w:p>
      <w:pPr>
        <w:numPr>
          <w:ilvl w:val="0"/>
          <w:numId w:val="30"/>
        </w:numPr>
        <w:spacing w:before="80" w:after="60" w:line="240"/>
        <w:ind w:right="-618" w:left="1287" w:hanging="566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u w:val="single"/>
          <w:shd w:fill="auto" w:val="clear"/>
        </w:rPr>
        <w:t xml:space="preserve">Farmácia</w:t>
      </w:r>
    </w:p>
    <w:p>
      <w:pPr>
        <w:keepNext w:val="true"/>
        <w:keepLines w:val="true"/>
        <w:numPr>
          <w:ilvl w:val="0"/>
          <w:numId w:val="30"/>
        </w:numPr>
        <w:spacing w:before="480" w:after="12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Casos de Uso</w:t>
      </w:r>
    </w:p>
    <w:p>
      <w:pPr>
        <w:spacing w:before="120" w:after="60" w:line="240"/>
        <w:ind w:right="-617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40">
          <v:rect xmlns:o="urn:schemas-microsoft-com:office:office" xmlns:v="urn:schemas-microsoft-com:vml" id="rectole0000000000" style="width:432.000000pt;height:32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60" w:line="240"/>
        <w:ind w:right="-617" w:left="567" w:hanging="567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567" w:firstLine="0"/>
        <w:jc w:val="center"/>
        <w:rPr>
          <w:rFonts w:ascii="Verdana" w:hAnsi="Verdana" w:cs="Verdana" w:eastAsia="Verdana"/>
          <w:b/>
          <w:color w:val="808080"/>
          <w:spacing w:val="0"/>
          <w:position w:val="0"/>
          <w:sz w:val="20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808080"/>
          <w:spacing w:val="0"/>
          <w:position w:val="0"/>
          <w:sz w:val="20"/>
          <w:u w:val="single"/>
          <w:shd w:fill="auto" w:val="clear"/>
        </w:rPr>
        <w:t xml:space="preserve">Figura 1 - Diagrama de casos de uso</w:t>
      </w:r>
    </w:p>
    <w:p>
      <w:pPr>
        <w:spacing w:before="0" w:after="200" w:line="276"/>
        <w:ind w:right="0" w:left="567" w:hanging="56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 </w:t>
      </w:r>
    </w:p>
    <w:p>
      <w:pPr>
        <w:spacing w:before="0" w:after="200" w:line="276"/>
        <w:ind w:right="0" w:left="567" w:hanging="567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37"/>
        </w:numPr>
        <w:spacing w:before="480" w:after="12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Descrição do Caso de Uso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0070C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Neste caso de uso a farmácia irá definir os produtos que a mesma vende. </w:t>
      </w:r>
    </w:p>
    <w:p>
      <w:pPr>
        <w:keepNext w:val="true"/>
        <w:keepLines w:val="true"/>
        <w:numPr>
          <w:ilvl w:val="0"/>
          <w:numId w:val="39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Atores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Os atores neste caso de uso são:</w:t>
      </w:r>
    </w:p>
    <w:p>
      <w:pPr>
        <w:keepNext w:val="true"/>
        <w:keepLines w:val="true"/>
        <w:numPr>
          <w:ilvl w:val="0"/>
          <w:numId w:val="41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[ATR02] Farmácia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A farmácia é o funcionário responsável por definir quais serão os produtos a serem vendidos.  </w:t>
      </w:r>
    </w:p>
    <w:p>
      <w:pPr>
        <w:keepNext w:val="true"/>
        <w:keepLines w:val="true"/>
        <w:numPr>
          <w:ilvl w:val="0"/>
          <w:numId w:val="43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Precondições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A farmácia deve conter as seguintes condições para modificar e visualizar os pedidos</w:t>
      </w:r>
    </w:p>
    <w:p>
      <w:pPr>
        <w:keepNext w:val="true"/>
        <w:keepLines w:val="true"/>
        <w:numPr>
          <w:ilvl w:val="0"/>
          <w:numId w:val="45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Login no sistema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 usuário da farmácia deve estar devidamente logado em um navegador web com a conta da farmácia.</w:t>
      </w:r>
    </w:p>
    <w:p>
      <w:pPr>
        <w:keepNext w:val="true"/>
        <w:keepLines w:val="true"/>
        <w:spacing w:before="240" w:after="60" w:line="240"/>
        <w:ind w:right="-108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Pós-Condições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Os produtos definidos para venda alimentarão a base de dados do caso de uso Busca de Medicamento.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i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Fluxos de Evento</w:t>
      </w:r>
    </w:p>
    <w:p>
      <w:pPr>
        <w:keepNext w:val="true"/>
        <w:keepLines w:val="true"/>
        <w:numPr>
          <w:ilvl w:val="0"/>
          <w:numId w:val="49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Fluxo Básico - Definir Produtos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Este fluxo se inicia quando um funcionário da farmácia clica no botão "Definir um novo produto p/ venda".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Uma tabela com os dados do produto a ser preenchido será exibida.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 funcionário irá digitar o nome do produto. 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Ocorrerá o autopreenchimento da tabela a partir do nome digitado.</w:t>
      </w:r>
    </w:p>
    <w:p>
      <w:pPr>
        <w:numPr>
          <w:ilvl w:val="0"/>
          <w:numId w:val="51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O novo produto alimentará a base de dados do caso de uso Buscar Medicamentos.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Fluxos Alternativos</w:t>
      </w:r>
    </w:p>
    <w:p>
      <w:pPr>
        <w:keepNext w:val="true"/>
        <w:keepLines w:val="true"/>
        <w:numPr>
          <w:ilvl w:val="0"/>
          <w:numId w:val="53"/>
        </w:numPr>
        <w:spacing w:before="240" w:after="60" w:line="240"/>
        <w:ind w:right="-1080" w:left="847" w:hanging="87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[FA01] 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Novo produto na base de dados do sistema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6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 passo 4 do fluxo básico. Caso o produto não exista o autopreenchmento não ocorrerá e o funcionário preencherá manualmente a tabela com os respectivos dados do produto.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[FA02] 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Campo preenchido de forma incorreta</w:t>
      </w:r>
    </w:p>
    <w:p>
      <w:pPr>
        <w:keepNext w:val="true"/>
        <w:keepLines w:val="true"/>
        <w:numPr>
          <w:ilvl w:val="0"/>
          <w:numId w:val="58"/>
        </w:numPr>
        <w:spacing w:before="240" w:after="60" w:line="240"/>
        <w:ind w:right="-1079" w:left="720" w:hanging="36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 [FA01] caso algum campo seja preenchido de forma incorreta o produto será impedido de ser cadastrado e um aviso do erro será gerado.</w:t>
      </w: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numPr>
          <w:ilvl w:val="0"/>
          <w:numId w:val="58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Regras de Negócio [RN]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Não há</w:t>
      </w:r>
    </w:p>
    <w:p>
      <w:pPr>
        <w:keepNext w:val="true"/>
        <w:keepLines w:val="true"/>
        <w:numPr>
          <w:ilvl w:val="0"/>
          <w:numId w:val="62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Requisitos Especiais [RE]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Não há</w:t>
      </w:r>
    </w:p>
    <w:p>
      <w:pPr>
        <w:keepNext w:val="true"/>
        <w:keepLines w:val="true"/>
        <w:numPr>
          <w:ilvl w:val="0"/>
          <w:numId w:val="64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Pontos de Relacionamento [PR]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Não há</w:t>
      </w:r>
    </w:p>
    <w:p>
      <w:pPr>
        <w:keepNext w:val="true"/>
        <w:keepLines w:val="true"/>
        <w:numPr>
          <w:ilvl w:val="0"/>
          <w:numId w:val="66"/>
        </w:numPr>
        <w:spacing w:before="240" w:after="60" w:line="240"/>
        <w:ind w:right="-1080" w:left="567" w:hanging="567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Referências, Informações Adicionais e Anexos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Não há</w:t>
      </w:r>
    </w:p>
    <w:p>
      <w:pPr>
        <w:spacing w:before="0" w:after="120" w:line="240"/>
        <w:ind w:right="-286" w:left="0" w:firstLine="0"/>
        <w:jc w:val="both"/>
        <w:rPr>
          <w:rFonts w:ascii="Arial" w:hAnsi="Arial" w:cs="Arial" w:eastAsia="Arial"/>
          <w:i/>
          <w:color w:val="0070C0"/>
          <w:spacing w:val="0"/>
          <w:position w:val="0"/>
          <w:sz w:val="20"/>
          <w:u w:val="single"/>
          <w:shd w:fill="auto" w:val="clear"/>
        </w:rPr>
      </w:pPr>
    </w:p>
    <w:p>
      <w:pPr>
        <w:keepNext w:val="true"/>
        <w:keepLines w:val="true"/>
        <w:spacing w:before="240" w:after="60" w:line="240"/>
        <w:ind w:right="-108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21">
    <w:abstractNumId w:val="90"/>
  </w:num>
  <w:num w:numId="23">
    <w:abstractNumId w:val="84"/>
  </w:num>
  <w:num w:numId="30">
    <w:abstractNumId w:val="78"/>
  </w:num>
  <w:num w:numId="37">
    <w:abstractNumId w:val="72"/>
  </w:num>
  <w:num w:numId="39">
    <w:abstractNumId w:val="66"/>
  </w:num>
  <w:num w:numId="41">
    <w:abstractNumId w:val="60"/>
  </w:num>
  <w:num w:numId="43">
    <w:abstractNumId w:val="54"/>
  </w:num>
  <w:num w:numId="45">
    <w:abstractNumId w:val="48"/>
  </w:num>
  <w:num w:numId="49">
    <w:abstractNumId w:val="42"/>
  </w:num>
  <w:num w:numId="51">
    <w:abstractNumId w:val="36"/>
  </w:num>
  <w:num w:numId="53">
    <w:abstractNumId w:val="30"/>
  </w:num>
  <w:num w:numId="56">
    <w:abstractNumId w:val="24"/>
  </w:num>
  <w:num w:numId="58">
    <w:abstractNumId w:val="18"/>
  </w:num>
  <w:num w:numId="62">
    <w:abstractNumId w:val="12"/>
  </w:num>
  <w:num w:numId="64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