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Projeto: iDrug</w:t>
        <w:br w:type="textWrapping"/>
        <w:br w:type="textWrapping"/>
        <w:t xml:space="preserve">Especificação de Caso de Uso:</w:t>
        <w:br w:type="textWrapping"/>
        <w:t xml:space="preserve">Definir UBSs e UPAs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B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396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80"/>
        <w:gridCol w:w="960"/>
        <w:gridCol w:w="4200"/>
        <w:gridCol w:w="2556"/>
        <w:tblGridChange w:id="0">
          <w:tblGrid>
            <w:gridCol w:w="1680"/>
            <w:gridCol w:w="960"/>
            <w:gridCol w:w="4200"/>
            <w:gridCol w:w="2556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Bruno S. Sette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1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00"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70.866141732284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ntdyrvv9lh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Definições e abreviações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_yntdyrvv9lhl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u368wdm8yvh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_u368wdm8yvhr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d8c9ec899n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Casos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_yd8c9ec899nl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jivbl7xluyp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Descrição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_jivbl7xluyp9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nblc66x3zu7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_qnblc66x3zu7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8xb7b6hh8vv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[ATR01] Sistema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_8xb7b6hh8vvg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q34ct8gm7lq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Precondições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_rq34ct8gm7lq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hkiwscn2gfd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Técnicas de indexação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_hkiwscn2gfdg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r1m3t5rlrjfn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Técnicas de coleta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_r1m3t5rlrjfn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bx4lx4fiaoww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Pós-Condições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_bx4lx4fiaoww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kllv3wwqwxsj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de Evento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_kllv3wwqwxsj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llzncht8nvoh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 Básico - Categorizar um medicamento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_llzncht8nvoh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70.866141732284"/>
            </w:tabs>
            <w:spacing w:before="60" w:line="240" w:lineRule="auto"/>
            <w:ind w:left="72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qfbh5vb7zyag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Fluxos Alternativos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_qfbh5vb7zyag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0.866141732284"/>
            </w:tabs>
            <w:spacing w:before="60" w:line="240" w:lineRule="auto"/>
            <w:ind w:left="108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yvyl7ep8sgp8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[FA01] – Buscar outras fontes.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_yvyl7ep8sgp8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3cfhmj1dt6e1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Regras de Negócio [RN]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_3cfhmj1dt6e1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vdau1w9ua772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Requisitos Especiais [RE]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_vdau1w9ua772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6mb56kgnpetm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Pontos de Relacionamento [PR]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_6mb56kgnpetm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70.866141732284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cqzm9mgskjii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Protótipos de Tela [PRT]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_cqzm9mgskjii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70.866141732284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hyperlink w:anchor="_od30gik3ci86"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Referências, Informações Adicionais e Anexos</w:t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_od30gik3ci86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00"/>
          <w:tab w:val="right" w:pos="9016"/>
        </w:tabs>
        <w:spacing w:after="0" w:before="24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200" w:line="276" w:lineRule="auto"/>
        <w:contextualSpacing w:val="0"/>
        <w:rPr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Especificação de Caso de Uso:</w:t>
        <w:br w:type="textWrapping"/>
        <w:t xml:space="preserve">Definir UBS e UPA</w:t>
      </w:r>
    </w:p>
    <w:p w:rsidR="00000000" w:rsidDel="00000000" w:rsidP="00000000" w:rsidRDefault="00000000" w:rsidRPr="00000000" w14:paraId="00000036">
      <w:pPr>
        <w:pStyle w:val="Heading1"/>
        <w:keepNext w:val="1"/>
        <w:widowControl w:val="1"/>
        <w:numPr>
          <w:ilvl w:val="0"/>
          <w:numId w:val="1"/>
        </w:numPr>
        <w:spacing w:after="120" w:before="480" w:line="240" w:lineRule="auto"/>
        <w:ind w:left="567" w:right="-108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Este documento tem como objetivo especificar os casos de uso do sistema iDrug. O iDrug é um sistema que faz a busca e venda de medicamentos.</w:t>
      </w:r>
    </w:p>
    <w:p w:rsidR="00000000" w:rsidDel="00000000" w:rsidP="00000000" w:rsidRDefault="00000000" w:rsidRPr="00000000" w14:paraId="00000038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ntdyrvv9lhl" w:id="4"/>
      <w:bookmarkEnd w:id="4"/>
      <w:r w:rsidDel="00000000" w:rsidR="00000000" w:rsidRPr="00000000">
        <w:rPr>
          <w:sz w:val="28"/>
          <w:szCs w:val="28"/>
          <w:rtl w:val="0"/>
        </w:rPr>
        <w:t xml:space="preserve">Definições</w:t>
      </w:r>
      <w:r w:rsidDel="00000000" w:rsidR="00000000" w:rsidRPr="00000000">
        <w:rPr>
          <w:vertAlign w:val="baseline"/>
          <w:rtl w:val="0"/>
        </w:rPr>
        <w:t xml:space="preserve"> e abreviações </w:t>
      </w:r>
    </w:p>
    <w:tbl>
      <w:tblPr>
        <w:tblStyle w:val="Table2"/>
        <w:tblW w:w="8100.0" w:type="dxa"/>
        <w:jc w:val="left"/>
        <w:tblInd w:w="118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552"/>
        <w:gridCol w:w="5548"/>
        <w:tblGridChange w:id="0">
          <w:tblGrid>
            <w:gridCol w:w="2552"/>
            <w:gridCol w:w="5548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Termo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firstLine="0"/>
              <w:contextualSpacing w:val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u368wdm8yvhr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80" w:line="240" w:lineRule="auto"/>
        <w:ind w:left="1287" w:right="-618" w:hanging="566.9999999999999"/>
        <w:contextualSpacing w:val="0"/>
        <w:jc w:val="both"/>
        <w:rPr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Sistema</w:t>
      </w:r>
    </w:p>
    <w:p w:rsidR="00000000" w:rsidDel="00000000" w:rsidP="00000000" w:rsidRDefault="00000000" w:rsidRPr="00000000" w14:paraId="0000003F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yd8c9ec899nl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Casos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Uso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67" w:right="-617" w:hanging="567"/>
        <w:contextualSpacing w:val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w:drawing>
            <wp:inline distB="19050" distT="19050" distL="19050" distR="19050">
              <wp:extent cx="5664200" cy="4978400"/>
              <wp:effectExtent b="0" l="0" r="0" t="0"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4978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Subtitle"/>
        <w:widowControl w:val="1"/>
        <w:spacing w:line="240" w:lineRule="auto"/>
        <w:ind w:left="567"/>
        <w:contextualSpacing w:val="0"/>
        <w:jc w:val="center"/>
        <w:rPr>
          <w:vertAlign w:val="baseline"/>
        </w:rPr>
      </w:pPr>
      <w:bookmarkStart w:colFirst="0" w:colLast="0" w:name="_fjjpwldo4pxv" w:id="7"/>
      <w:bookmarkEnd w:id="7"/>
      <w:r w:rsidDel="00000000" w:rsidR="00000000" w:rsidRPr="00000000">
        <w:rPr>
          <w:vertAlign w:val="baseline"/>
          <w:rtl w:val="0"/>
        </w:rPr>
        <w:t xml:space="preserve">Figura 1 - Diagrama de casos de uso</w:t>
      </w:r>
    </w:p>
    <w:p w:rsidR="00000000" w:rsidDel="00000000" w:rsidP="00000000" w:rsidRDefault="00000000" w:rsidRPr="00000000" w14:paraId="00000042">
      <w:pPr>
        <w:widowControl w:val="1"/>
        <w:spacing w:after="200" w:line="276" w:lineRule="auto"/>
        <w:ind w:left="567" w:hanging="567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567" w:right="-1080" w:hanging="567"/>
        <w:contextualSpacing w:val="0"/>
        <w:jc w:val="left"/>
        <w:rPr/>
      </w:pPr>
      <w:bookmarkStart w:colFirst="0" w:colLast="0" w:name="_jivbl7xluyp9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Descrição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 Caso de Uso</w:t>
      </w:r>
    </w:p>
    <w:p w:rsidR="00000000" w:rsidDel="00000000" w:rsidP="00000000" w:rsidRDefault="00000000" w:rsidRPr="00000000" w14:paraId="00000045">
      <w:pPr>
        <w:contextualSpacing w:val="0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O sistema irá buscar em bases de dados do governo sobre as unidades de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nblc66x3zu7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Os atores neste caso de uso 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</w:pPr>
      <w:bookmarkStart w:colFirst="0" w:colLast="0" w:name="_8xb7b6hh8vvg" w:id="11"/>
      <w:bookmarkEnd w:id="11"/>
      <w:r w:rsidDel="00000000" w:rsidR="00000000" w:rsidRPr="00000000">
        <w:rPr>
          <w:rtl w:val="0"/>
        </w:rPr>
        <w:t xml:space="preserve">[ATR01]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O sistema irá coletar os dados na internet. O “sistema” refere-se à equipe de desenvolvimento controlando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q34ct8gm7lq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O sistema </w:t>
      </w:r>
      <w:r w:rsidDel="00000000" w:rsidR="00000000" w:rsidRPr="00000000">
        <w:rPr>
          <w:rtl w:val="0"/>
        </w:rPr>
        <w:t xml:space="preserve">deve conter as seguintes condições para que a coleta seja feita.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hkiwscn2gfdg" w:id="13"/>
      <w:bookmarkEnd w:id="13"/>
      <w:r w:rsidDel="00000000" w:rsidR="00000000" w:rsidRPr="00000000">
        <w:rPr>
          <w:rtl w:val="0"/>
        </w:rPr>
        <w:t xml:space="preserve">Técnicas de indexação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O sistema deverá conter algumas técnicas de indexação implementadas. As técnicas deverão tratar as diferentes unidades.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r1m3t5rlrjfn" w:id="14"/>
      <w:bookmarkEnd w:id="14"/>
      <w:r w:rsidDel="00000000" w:rsidR="00000000" w:rsidRPr="00000000">
        <w:rPr>
          <w:rtl w:val="0"/>
        </w:rPr>
        <w:t xml:space="preserve">Técnicas de coleta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O sistema terá q ter algumas técnicas de coleta de dados na internet implementados antes da coleta final.</w:t>
      </w:r>
    </w:p>
    <w:p w:rsidR="00000000" w:rsidDel="00000000" w:rsidP="00000000" w:rsidRDefault="00000000" w:rsidRPr="00000000" w14:paraId="00000050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bx4lx4fiaoww" w:id="15"/>
      <w:bookmarkEnd w:id="15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i w:val="1"/>
          <w:color w:val="0070c0"/>
        </w:rPr>
      </w:pPr>
      <w:r w:rsidDel="00000000" w:rsidR="00000000" w:rsidRPr="00000000">
        <w:rPr>
          <w:rtl w:val="0"/>
        </w:rPr>
        <w:t xml:space="preserve">Não há.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kllv3wwqwxsj" w:id="16"/>
      <w:bookmarkEnd w:id="16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Fluxos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Evento</w:t>
      </w:r>
    </w:p>
    <w:p w:rsidR="00000000" w:rsidDel="00000000" w:rsidP="00000000" w:rsidRDefault="00000000" w:rsidRPr="00000000" w14:paraId="00000053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llzncht8nvoh" w:id="17"/>
      <w:bookmarkEnd w:id="17"/>
      <w:r w:rsidDel="00000000" w:rsidR="00000000" w:rsidRPr="00000000">
        <w:rPr>
          <w:rtl w:val="0"/>
        </w:rPr>
        <w:t xml:space="preserve">Fluxo </w:t>
      </w:r>
      <w:r w:rsidDel="00000000" w:rsidR="00000000" w:rsidRPr="00000000">
        <w:rPr>
          <w:rtl w:val="0"/>
        </w:rPr>
        <w:t xml:space="preserve">Básico</w:t>
      </w:r>
      <w:r w:rsidDel="00000000" w:rsidR="00000000" w:rsidRPr="00000000">
        <w:rPr>
          <w:rtl w:val="0"/>
        </w:rPr>
        <w:t xml:space="preserve"> - Categorizar um medicamento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Este fluxo se inicia quando a equipe de desenvolvimento resolve coletar os dados referente as UBs e UPAs.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irá consultar a base disponível na internet e verificará se o mesmo já não foi categorizado, caso não, o mesmo será categorizado.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irá coletar e logo em seguida anexar as unidades de forma automática, após seu término, os desenvolvedores analisarão 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1"/>
        <w:keepLines w:val="1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qfbh5vb7zyag" w:id="18"/>
      <w:bookmarkEnd w:id="18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widowControl w:val="1"/>
        <w:numPr>
          <w:ilvl w:val="3"/>
          <w:numId w:val="1"/>
        </w:numPr>
        <w:ind w:left="847.6771653543307" w:hanging="870"/>
        <w:rPr/>
      </w:pPr>
      <w:bookmarkStart w:colFirst="0" w:colLast="0" w:name="_yvyl7ep8sgp8" w:id="19"/>
      <w:bookmarkEnd w:id="19"/>
      <w:r w:rsidDel="00000000" w:rsidR="00000000" w:rsidRPr="00000000">
        <w:rPr>
          <w:rtl w:val="0"/>
        </w:rPr>
        <w:t xml:space="preserve">[FA01] – Buscar outras fontes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 sistema poderá buscar em diversas bases e em diversas fontes algumas informações sobre o medicamento.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resultados serão levados para serem categorizados.</w:t>
      </w:r>
    </w:p>
    <w:p w:rsidR="00000000" w:rsidDel="00000000" w:rsidP="00000000" w:rsidRDefault="00000000" w:rsidRPr="00000000" w14:paraId="0000005D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3cfhmj1dt6e1" w:id="20"/>
      <w:bookmarkEnd w:id="20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Regras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Negócio [RN]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vdau1w9ua772" w:id="21"/>
      <w:bookmarkEnd w:id="21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Requisitos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Especiais [RE]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Não ter unidades duplicadas.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6mb56kgnpetm" w:id="22"/>
      <w:bookmarkEnd w:id="22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Pontos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Relacionamento [PR]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cqzm9mgskjii" w:id="23"/>
      <w:bookmarkEnd w:id="23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Protótipos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Tela [PRT]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6285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-1080" w:hanging="567"/>
        <w:contextualSpacing w:val="0"/>
        <w:jc w:val="left"/>
        <w:rPr/>
      </w:pPr>
      <w:bookmarkStart w:colFirst="0" w:colLast="0" w:name="_od30gik3ci86" w:id="24"/>
      <w:bookmarkEnd w:id="24"/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Informações Adicionais e Anexos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Não há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/>
      <w:pgMar w:bottom="0" w:top="0" w:left="1417.3228346456694" w:right="1417.3228346456694" w:header="709" w:footer="72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21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070"/>
      <w:gridCol w:w="3070"/>
      <w:gridCol w:w="3070"/>
      <w:tblGridChange w:id="0">
        <w:tblGrid>
          <w:gridCol w:w="3070"/>
          <w:gridCol w:w="3070"/>
          <w:gridCol w:w="307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6E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F">
          <w:pPr>
            <w:contextualSpacing w:val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0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>
              <w:b w:val="1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3"/>
      <w:tblW w:w="9356.0" w:type="dxa"/>
      <w:jc w:val="left"/>
      <w:tblInd w:w="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7200"/>
      <w:gridCol w:w="2156"/>
      <w:tblGridChange w:id="0">
        <w:tblGrid>
          <w:gridCol w:w="7200"/>
          <w:gridCol w:w="2156"/>
        </w:tblGrid>
      </w:tblGridChange>
    </w:tblGrid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8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iDrug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9">
          <w:pPr>
            <w:tabs>
              <w:tab w:val="left" w:pos="1135"/>
            </w:tabs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666666" w:space="0" w:sz="6" w:val="single"/>
          </w:tcBorders>
          <w:vAlign w:val="center"/>
        </w:tcPr>
        <w:p w:rsidR="00000000" w:rsidDel="00000000" w:rsidP="00000000" w:rsidRDefault="00000000" w:rsidRPr="00000000" w14:paraId="0000006A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Especificação de Caso de Uso - &lt;CRUD&gt; Definir UBS e UPA</w:t>
          </w:r>
        </w:p>
      </w:tc>
      <w:tc>
        <w:tcPr>
          <w:tcBorders>
            <w:top w:color="666666" w:space="0" w:sz="6" w:val="single"/>
            <w:left w:color="666666" w:space="0" w:sz="6" w:val="single"/>
            <w:bottom w:color="666666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06B">
          <w:pPr>
            <w:spacing w:after="0" w:before="0" w:line="240" w:lineRule="auto"/>
            <w:ind w:left="0" w:firstLine="0"/>
            <w:contextualSpacing w:val="0"/>
            <w:rPr/>
          </w:pPr>
          <w:r w:rsidDel="00000000" w:rsidR="00000000" w:rsidRPr="00000000">
            <w:rPr>
              <w:rtl w:val="0"/>
            </w:rPr>
            <w:t xml:space="preserve">Data: 02/12/2017</w:t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UNIVERSIDADE FEDERAL DE MATO GROSSO - UFMT</w:t>
    </w:r>
  </w:p>
  <w:p w:rsidR="00000000" w:rsidDel="00000000" w:rsidP="00000000" w:rsidRDefault="00000000" w:rsidRPr="00000000" w14:paraId="00000074">
    <w:pPr>
      <w:widowControl w:val="1"/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60" w:line="240" w:lineRule="auto"/>
      <w:ind w:firstLine="709"/>
      <w:contextualSpacing w:val="0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12" w:hanging="432.0000000000002"/>
      </w:pPr>
      <w:rPr>
        <w:rFonts w:ascii="Trebuchet MS" w:cs="Trebuchet MS" w:eastAsia="Trebuchet MS" w:hAnsi="Trebuchet MS"/>
        <w:b w:val="1"/>
        <w:i w:val="0"/>
        <w:color w:val="999999"/>
        <w:sz w:val="28"/>
        <w:szCs w:val="28"/>
      </w:rPr>
    </w:lvl>
    <w:lvl w:ilvl="1">
      <w:start w:val="1"/>
      <w:numFmt w:val="decimal"/>
      <w:lvlText w:val="%1.%2"/>
      <w:lvlJc w:val="left"/>
      <w:pPr>
        <w:ind w:left="1077" w:firstLine="3"/>
      </w:pPr>
      <w:rPr>
        <w:rFonts w:ascii="Trebuchet MS" w:cs="Trebuchet MS" w:eastAsia="Trebuchet MS" w:hAnsi="Trebuchet MS"/>
        <w:b w:val="1"/>
        <w:i w:val="0"/>
        <w:color w:val="999999"/>
        <w:sz w:val="24"/>
        <w:szCs w:val="24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  <w:i w:val="0"/>
        <w:color w:val="999999"/>
      </w:rPr>
    </w:lvl>
    <w:lvl w:ilvl="3">
      <w:start w:val="1"/>
      <w:numFmt w:val="decimal"/>
      <w:lvlText w:val="%1.%2.%3.%4"/>
      <w:lvlJc w:val="left"/>
      <w:pPr>
        <w:ind w:left="1944" w:hanging="864"/>
      </w:pPr>
      <w:rPr>
        <w:color w:val="808080"/>
      </w:rPr>
    </w:lvl>
    <w:lvl w:ilvl="4">
      <w:start w:val="1"/>
      <w:numFmt w:val="decimal"/>
      <w:lvlText w:val="%1.%2.%3.%4.%5"/>
      <w:lvlJc w:val="left"/>
      <w:pPr>
        <w:ind w:left="2088" w:hanging="1007.9999999999998"/>
      </w:pPr>
      <w:rPr/>
    </w:lvl>
    <w:lvl w:ilvl="5">
      <w:start w:val="1"/>
      <w:numFmt w:val="decimal"/>
      <w:lvlText w:val="%1.%2.%3.%4.%5.%6"/>
      <w:lvlJc w:val="left"/>
      <w:pPr>
        <w:ind w:left="2232" w:hanging="1152.0000000000002"/>
      </w:pPr>
      <w:rPr/>
    </w:lvl>
    <w:lvl w:ilvl="6">
      <w:start w:val="1"/>
      <w:numFmt w:val="decimal"/>
      <w:lvlText w:val="%1.%2.%3.%4.%5.%6.%7"/>
      <w:lvlJc w:val="left"/>
      <w:pPr>
        <w:ind w:left="2376" w:hanging="1296"/>
      </w:pPr>
      <w:rPr/>
    </w:lvl>
    <w:lvl w:ilvl="7">
      <w:start w:val="1"/>
      <w:numFmt w:val="decimal"/>
      <w:lvlText w:val="%1.%2.%3.%4.%5.%6.%7.%8"/>
      <w:lvlJc w:val="left"/>
      <w:pPr>
        <w:ind w:left="2520" w:hanging="1440"/>
      </w:pPr>
      <w:rPr/>
    </w:lvl>
    <w:lvl w:ilvl="8">
      <w:start w:val="1"/>
      <w:numFmt w:val="decimal"/>
      <w:lvlText w:val="%1.%2.%3.%4.%5.%6.%7.%8.%9"/>
      <w:lvlJc w:val="left"/>
      <w:pPr>
        <w:ind w:left="2664" w:hanging="1584.0000000000002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214" w:hanging="360"/>
      </w:pPr>
      <w:rPr>
        <w:rFonts w:ascii="Trebuchet MS" w:cs="Trebuchet MS" w:eastAsia="Trebuchet MS" w:hAnsi="Trebuchet MS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ind w:left="2646" w:hanging="432"/>
      </w:pPr>
      <w:rPr>
        <w:rFonts w:ascii="Trebuchet MS" w:cs="Trebuchet MS" w:eastAsia="Trebuchet MS" w:hAnsi="Trebuchet MS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ind w:left="3078" w:hanging="504"/>
      </w:pPr>
      <w:rPr>
        <w:rFonts w:ascii="Trebuchet MS" w:cs="Trebuchet MS" w:eastAsia="Trebuchet MS" w:hAnsi="Trebuchet MS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ind w:left="3582" w:hanging="648"/>
      </w:pPr>
      <w:rPr/>
    </w:lvl>
    <w:lvl w:ilvl="4">
      <w:start w:val="1"/>
      <w:numFmt w:val="decimal"/>
      <w:lvlText w:val="%1.%2.%3.%4.%5."/>
      <w:lvlJc w:val="left"/>
      <w:pPr>
        <w:ind w:left="4086" w:hanging="791.9999999999995"/>
      </w:pPr>
      <w:rPr/>
    </w:lvl>
    <w:lvl w:ilvl="5">
      <w:start w:val="1"/>
      <w:numFmt w:val="decimal"/>
      <w:lvlText w:val="%1.%2.%3.%4.%5.%6."/>
      <w:lvlJc w:val="left"/>
      <w:pPr>
        <w:ind w:left="4590" w:hanging="936"/>
      </w:pPr>
      <w:rPr/>
    </w:lvl>
    <w:lvl w:ilvl="6">
      <w:start w:val="1"/>
      <w:numFmt w:val="decimal"/>
      <w:lvlText w:val="%1.%2.%3.%4.%5.%6.%7."/>
      <w:lvlJc w:val="left"/>
      <w:pPr>
        <w:ind w:left="5094" w:hanging="1080"/>
      </w:pPr>
      <w:rPr/>
    </w:lvl>
    <w:lvl w:ilvl="7">
      <w:start w:val="1"/>
      <w:numFmt w:val="decimal"/>
      <w:lvlText w:val="%1.%2.%3.%4.%5.%6.%7.%8."/>
      <w:lvlJc w:val="left"/>
      <w:pPr>
        <w:ind w:left="5598" w:hanging="1224"/>
      </w:pPr>
      <w:rPr/>
    </w:lvl>
    <w:lvl w:ilvl="8">
      <w:start w:val="1"/>
      <w:numFmt w:val="decimal"/>
      <w:lvlText w:val="%1.%2.%3.%4.%5.%6.%7.%8.%9."/>
      <w:lvlJc w:val="left"/>
      <w:pPr>
        <w:ind w:left="6174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ind w:left="567" w:right="-108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ind w:left="847.6771653543307" w:right="-1080" w:hanging="870"/>
      <w:jc w:val="left"/>
    </w:pPr>
    <w:rPr>
      <w:rFonts w:ascii="Trebuchet MS" w:cs="Trebuchet MS" w:eastAsia="Trebuchet MS" w:hAnsi="Trebuchet MS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="240" w:lineRule="auto"/>
      <w:ind w:left="2007" w:hanging="360"/>
      <w:contextualSpacing w:val="0"/>
    </w:pPr>
    <w:rPr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ind w:left="2127" w:hanging="120"/>
      <w:contextualSpacing w:val="0"/>
    </w:pPr>
    <w:rPr/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ind w:left="567"/>
      <w:jc w:val="center"/>
    </w:pPr>
    <w:rPr>
      <w:rFonts w:ascii="Verdana" w:cs="Verdana" w:eastAsia="Verdana" w:hAnsi="Verdana"/>
      <w:b w:val="1"/>
      <w:color w:val="80808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5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draw.io/?scale=2#G1sLFkJkIb76DVXwcOcahwZlSe46ks8Tjh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