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Projeto: iDrug</w:t>
        <w:br w:type="textWrapping"/>
        <w:br w:type="textWrapping"/>
        <w:t xml:space="preserve">Especificação de Caso de Uso:</w:t>
        <w:br w:type="textWrapping"/>
        <w:t xml:space="preserve">&lt;CRUD&gt;Modificar Pedidos do Cliente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6"/>
        <w:tblGridChange w:id="0">
          <w:tblGrid>
            <w:gridCol w:w="1680"/>
            <w:gridCol w:w="960"/>
            <w:gridCol w:w="4200"/>
            <w:gridCol w:w="25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Edson S. Nakata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ntdyrvv9lh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_yntdyrvv9lhl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368wdm8yvh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_u368wdm8yvhr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d8c9ec899n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_yd8c9ec899nl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jivbl7xluyp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_jivbl7xluyp9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nblc66x3zu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_qnblc66x3zu7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xb7b6hh8v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[ATR01] Cliente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_8xb7b6hh8vvg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q34ct8gm7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_rq34ct8gm7lq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cnhdnhu2qh2l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_cnhdnhu2qh2l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llv3wwqwx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Evento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_kllv3wwqwxsj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sm7eailvxcax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[FB01] - Remover medicamento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_sm7eailvxcax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4o0ak3y4qqx0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[FB02] - Inserir novo medicamento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_4o0ak3y4qqx0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wfpdoje40ze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[FB03] -  Alterar Quantidade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_6wfpdoje40ze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py17kifh4a24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_py17kifh4a24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cyscpra98pgp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[FA01] - Quantidade insuficiente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_cyscpra98pgp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cfhmj1dt6e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Regras de Negócio [RN]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_3cfhmj1dt6e1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dau1w9ua77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Especiais [RE]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_vdau1w9ua772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mb56kgnpet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Pontos de Relacionamento [PR]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_6mb56kgnpetm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2xfbpwiqlcut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Protótipos de Tela [PRT]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_2xfbpwiqlcut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0.866141732284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d30gik3ci8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Referências, Informações Adicionais e Anexos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_od30gik3ci86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200" w:line="276" w:lineRule="auto"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  <w:br w:type="textWrapping"/>
        <w:t xml:space="preserve">&lt;CRUD&gt; Categorizar medicamentos</w:t>
      </w:r>
    </w:p>
    <w:p w:rsidR="00000000" w:rsidDel="00000000" w:rsidP="00000000" w:rsidRDefault="00000000" w:rsidRPr="00000000" w14:paraId="00000036">
      <w:pPr>
        <w:pStyle w:val="Heading1"/>
        <w:keepNext w:val="1"/>
        <w:widowControl w:val="1"/>
        <w:numPr>
          <w:ilvl w:val="0"/>
          <w:numId w:val="1"/>
        </w:numPr>
        <w:spacing w:after="120" w:before="480" w:line="240" w:lineRule="auto"/>
        <w:ind w:left="567" w:right="-108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Este documento tem como objetivo especificar os casos de uso do sistema iDrug. O iDrug é um sistema que faz a busca e venda de medicamentos.</w:t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ntdyrvv9lhl" w:id="4"/>
      <w:bookmarkEnd w:id="4"/>
      <w:r w:rsidDel="00000000" w:rsidR="00000000" w:rsidRPr="00000000">
        <w:rPr>
          <w:sz w:val="28"/>
          <w:szCs w:val="28"/>
          <w:rtl w:val="0"/>
        </w:rPr>
        <w:t xml:space="preserve">Definições</w:t>
      </w:r>
      <w:r w:rsidDel="00000000" w:rsidR="00000000" w:rsidRPr="00000000">
        <w:rPr>
          <w:vertAlign w:val="baseline"/>
          <w:rtl w:val="0"/>
        </w:rPr>
        <w:t xml:space="preserve"> e abreviações </w:t>
      </w:r>
    </w:p>
    <w:tbl>
      <w:tblPr>
        <w:tblStyle w:val="Table2"/>
        <w:tblW w:w="8100.0" w:type="dxa"/>
        <w:jc w:val="left"/>
        <w:tblInd w:w="118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2"/>
        <w:gridCol w:w="5548"/>
        <w:tblGridChange w:id="0">
          <w:tblGrid>
            <w:gridCol w:w="2552"/>
            <w:gridCol w:w="5548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u368wdm8yvhr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Cliente</w:t>
      </w:r>
    </w:p>
    <w:p w:rsidR="00000000" w:rsidDel="00000000" w:rsidP="00000000" w:rsidRDefault="00000000" w:rsidRPr="00000000" w14:paraId="0000003F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d8c9ec899nl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Uso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664200" cy="49784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4978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widowControl w:val="1"/>
        <w:spacing w:line="240" w:lineRule="auto"/>
        <w:ind w:left="567"/>
        <w:contextualSpacing w:val="0"/>
        <w:jc w:val="center"/>
        <w:rPr>
          <w:vertAlign w:val="baseline"/>
        </w:rPr>
      </w:pPr>
      <w:bookmarkStart w:colFirst="0" w:colLast="0" w:name="_fjjpwldo4pxv" w:id="7"/>
      <w:bookmarkEnd w:id="7"/>
      <w:r w:rsidDel="00000000" w:rsidR="00000000" w:rsidRPr="00000000">
        <w:rPr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2">
      <w:pPr>
        <w:widowControl w:val="1"/>
        <w:spacing w:after="20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jivbl7xluyp9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Caso de Uso</w:t>
      </w:r>
    </w:p>
    <w:p w:rsidR="00000000" w:rsidDel="00000000" w:rsidP="00000000" w:rsidRDefault="00000000" w:rsidRPr="00000000" w14:paraId="00000045">
      <w:pPr>
        <w:contextualSpacing w:val="0"/>
        <w:rPr/>
      </w:pPr>
      <w:bookmarkStart w:colFirst="0" w:colLast="0" w:name="_8jgwve5l1v2a" w:id="9"/>
      <w:bookmarkEnd w:id="9"/>
      <w:r w:rsidDel="00000000" w:rsidR="00000000" w:rsidRPr="00000000">
        <w:rPr>
          <w:rtl w:val="0"/>
        </w:rPr>
        <w:t xml:space="preserve">O cliente poderá alterar o seu pedido removendo algum item, inserindo novos itens ou alterando a quantidade de algum pedido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nblc66x3zu7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Os atores neste caso de uso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>
          <w:color w:val="808080"/>
        </w:rPr>
      </w:pPr>
      <w:bookmarkStart w:colFirst="0" w:colLast="0" w:name="_8xb7b6hh8vvg" w:id="11"/>
      <w:bookmarkEnd w:id="11"/>
      <w:r w:rsidDel="00000000" w:rsidR="00000000" w:rsidRPr="00000000">
        <w:rPr>
          <w:rtl w:val="0"/>
        </w:rPr>
        <w:t xml:space="preserve">[ATR01]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O Cliente são os usuários finais do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q34ct8gm7lq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O cliente deve ter solicitado a compra de algum medicamento pelo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cnhdnhu2qh2l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kllv3wwqwxsj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Fluxos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Evento</w:t>
      </w:r>
    </w:p>
    <w:p w:rsidR="00000000" w:rsidDel="00000000" w:rsidP="00000000" w:rsidRDefault="00000000" w:rsidRPr="00000000" w14:paraId="0000004F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>
          <w:color w:val="808080"/>
        </w:rPr>
      </w:pPr>
      <w:bookmarkStart w:colFirst="0" w:colLast="0" w:name="_sm7eailvxcax" w:id="15"/>
      <w:bookmarkEnd w:id="15"/>
      <w:r w:rsidDel="00000000" w:rsidR="00000000" w:rsidRPr="00000000">
        <w:rPr>
          <w:rtl w:val="0"/>
        </w:rPr>
        <w:t xml:space="preserve">[FB01]</w:t>
      </w:r>
      <w:r w:rsidDel="00000000" w:rsidR="00000000" w:rsidRPr="00000000">
        <w:rPr>
          <w:rtl w:val="0"/>
        </w:rPr>
        <w:t xml:space="preserve"> - Remover medicamento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1944" w:hanging="864"/>
        <w:rPr/>
      </w:pPr>
      <w:r w:rsidDel="00000000" w:rsidR="00000000" w:rsidRPr="00000000">
        <w:rPr>
          <w:rtl w:val="0"/>
        </w:rPr>
        <w:t xml:space="preserve">O Cliente irá selecionar 1 ou mais medicamentos do pedido e clicar em remover.</w:t>
      </w:r>
    </w:p>
    <w:p w:rsidR="00000000" w:rsidDel="00000000" w:rsidP="00000000" w:rsidRDefault="00000000" w:rsidRPr="00000000" w14:paraId="00000051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>
          <w:color w:val="808080"/>
        </w:rPr>
      </w:pPr>
      <w:bookmarkStart w:colFirst="0" w:colLast="0" w:name="_4o0ak3y4qqx0" w:id="16"/>
      <w:bookmarkEnd w:id="16"/>
      <w:r w:rsidDel="00000000" w:rsidR="00000000" w:rsidRPr="00000000">
        <w:rPr>
          <w:rtl w:val="0"/>
        </w:rPr>
        <w:t xml:space="preserve"> [FB02] - Inserir novo medicamento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1944" w:hanging="864"/>
        <w:rPr/>
      </w:pPr>
      <w:r w:rsidDel="00000000" w:rsidR="00000000" w:rsidRPr="00000000">
        <w:rPr>
          <w:rtl w:val="0"/>
        </w:rPr>
        <w:t xml:space="preserve">O Cliente irá clicar em Inserir e será levado até a página de medicamentos da farmácia selecionada.</w:t>
      </w:r>
    </w:p>
    <w:p w:rsidR="00000000" w:rsidDel="00000000" w:rsidP="00000000" w:rsidRDefault="00000000" w:rsidRPr="00000000" w14:paraId="00000053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>
          <w:color w:val="808080"/>
        </w:rPr>
      </w:pPr>
      <w:bookmarkStart w:colFirst="0" w:colLast="0" w:name="_6wfpdoje40ze" w:id="17"/>
      <w:bookmarkEnd w:id="17"/>
      <w:r w:rsidDel="00000000" w:rsidR="00000000" w:rsidRPr="00000000">
        <w:rPr>
          <w:rtl w:val="0"/>
        </w:rPr>
        <w:t xml:space="preserve"> [FB03] -  Alterar Quantidade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1944" w:hanging="864"/>
      </w:pPr>
      <w:r w:rsidDel="00000000" w:rsidR="00000000" w:rsidRPr="00000000">
        <w:rPr>
          <w:rtl w:val="0"/>
        </w:rPr>
        <w:t xml:space="preserve">O Cliente irá alterar as quantidades de pedidos já selecionados clicando em Alterar Quantidade.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py17kifh4a24" w:id="18"/>
      <w:bookmarkEnd w:id="18"/>
      <w:r w:rsidDel="00000000" w:rsidR="00000000" w:rsidRPr="00000000">
        <w:rPr>
          <w:sz w:val="24"/>
          <w:szCs w:val="24"/>
          <w:rtl w:val="0"/>
        </w:rPr>
        <w:t xml:space="preserve">Fluxos</w:t>
      </w:r>
      <w:r w:rsidDel="00000000" w:rsidR="00000000" w:rsidRPr="00000000">
        <w:rPr>
          <w:rtl w:val="0"/>
        </w:rPr>
        <w:t xml:space="preserve"> Alternativos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-7.322834645669332" w:right="-1080" w:firstLine="0"/>
        <w:contextualSpacing w:val="0"/>
        <w:jc w:val="left"/>
        <w:rPr/>
      </w:pPr>
      <w:bookmarkStart w:colFirst="0" w:colLast="0" w:name="_cyscpra98pgp" w:id="19"/>
      <w:bookmarkEnd w:id="19"/>
      <w:r w:rsidDel="00000000" w:rsidR="00000000" w:rsidRPr="00000000">
        <w:rPr>
          <w:rtl w:val="0"/>
        </w:rPr>
        <w:t xml:space="preserve">[FA01] - Quantidade insuficiente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1944" w:hanging="864"/>
        <w:rPr/>
      </w:pPr>
      <w:r w:rsidDel="00000000" w:rsidR="00000000" w:rsidRPr="00000000">
        <w:rPr>
          <w:rtl w:val="0"/>
        </w:rPr>
        <w:t xml:space="preserve">Caso o cliente altere a quantidade do medicamento para uma quantidade que a farmácia não suporte, ele será avisado por um pop-up.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3cfhmj1dt6e1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Negócio [RN]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vdau1w9ua772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Especiais [RE]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mb56kgnpetm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Relacionamento [PR]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2xfbpwiqlcut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Protótipos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Tela [PRT]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od30gik3ci86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Informações Adicionais e Anexos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0" w:top="0" w:left="1417.3228346456694" w:right="1417.3228346456694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1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70"/>
      <w:gridCol w:w="3070"/>
      <w:gridCol w:w="3070"/>
      <w:tblGridChange w:id="0">
        <w:tblGrid>
          <w:gridCol w:w="3070"/>
          <w:gridCol w:w="3070"/>
          <w:gridCol w:w="307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69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200"/>
      <w:gridCol w:w="2156"/>
      <w:tblGridChange w:id="0">
        <w:tblGrid>
          <w:gridCol w:w="7200"/>
          <w:gridCol w:w="2156"/>
        </w:tblGrid>
      </w:tblGridChange>
    </w:tblGrid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3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iDrug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4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5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Especificação de Caso de Uso - &lt;CRUD&gt; Modificar Pedidos do Cliente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6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02/12/2017</w:t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6F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rebuchet MS" w:cs="Trebuchet MS" w:eastAsia="Trebuchet MS" w:hAnsi="Trebuchet MS"/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rFonts w:ascii="Trebuchet MS" w:cs="Trebuchet MS" w:eastAsia="Trebuchet MS" w:hAnsi="Trebuchet MS"/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>
        <w:color w:val="808080"/>
      </w:rPr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14" w:hanging="360"/>
      </w:pPr>
      <w:rPr>
        <w:rFonts w:ascii="Trebuchet MS" w:cs="Trebuchet MS" w:eastAsia="Trebuchet MS" w:hAnsi="Trebuchet MS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2646" w:hanging="432"/>
      </w:pPr>
      <w:rPr>
        <w:rFonts w:ascii="Trebuchet MS" w:cs="Trebuchet MS" w:eastAsia="Trebuchet MS" w:hAnsi="Trebuchet MS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3078" w:hanging="504"/>
      </w:pPr>
      <w:rPr>
        <w:rFonts w:ascii="Trebuchet MS" w:cs="Trebuchet MS" w:eastAsia="Trebuchet MS" w:hAnsi="Trebuchet MS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3582" w:hanging="648"/>
      </w:pPr>
      <w:rPr/>
    </w:lvl>
    <w:lvl w:ilvl="4">
      <w:start w:val="1"/>
      <w:numFmt w:val="decimal"/>
      <w:lvlText w:val="%1.%2.%3.%4.%5."/>
      <w:lvlJc w:val="left"/>
      <w:pPr>
        <w:ind w:left="4086" w:hanging="791.9999999999995"/>
      </w:pPr>
      <w:rPr/>
    </w:lvl>
    <w:lvl w:ilvl="5">
      <w:start w:val="1"/>
      <w:numFmt w:val="decimal"/>
      <w:lvlText w:val="%1.%2.%3.%4.%5.%6."/>
      <w:lvlJc w:val="left"/>
      <w:pPr>
        <w:ind w:left="4590" w:hanging="936"/>
      </w:pPr>
      <w:rPr/>
    </w:lvl>
    <w:lvl w:ilvl="6">
      <w:start w:val="1"/>
      <w:numFmt w:val="decimal"/>
      <w:lvlText w:val="%1.%2.%3.%4.%5.%6.%7."/>
      <w:lvlJc w:val="left"/>
      <w:pPr>
        <w:ind w:left="5094" w:hanging="1080"/>
      </w:pPr>
      <w:rPr/>
    </w:lvl>
    <w:lvl w:ilvl="7">
      <w:start w:val="1"/>
      <w:numFmt w:val="decimal"/>
      <w:lvlText w:val="%1.%2.%3.%4.%5.%6.%7.%8."/>
      <w:lvlJc w:val="left"/>
      <w:pPr>
        <w:ind w:left="5598" w:hanging="1224"/>
      </w:pPr>
      <w:rPr/>
    </w:lvl>
    <w:lvl w:ilvl="8">
      <w:start w:val="1"/>
      <w:numFmt w:val="decimal"/>
      <w:lvlText w:val="%1.%2.%3.%4.%5.%6.%7.%8.%9."/>
      <w:lvlJc w:val="left"/>
      <w:pPr>
        <w:ind w:left="6174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47.6771653543307" w:right="-1080" w:hanging="87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40" w:lineRule="auto"/>
      <w:ind w:left="2007" w:hanging="360"/>
      <w:contextualSpacing w:val="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  <w:contextualSpacing w:val="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567"/>
      <w:jc w:val="center"/>
    </w:pPr>
    <w:rPr>
      <w:rFonts w:ascii="Verdana" w:cs="Verdana" w:eastAsia="Verdana" w:hAnsi="Verdana"/>
      <w:b w:val="1"/>
      <w:color w:val="80808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draw.io/?scale=2#G1sLFkJkIb76DVXwcOcahwZlSe46ks8Tjh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