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 (IPCC, 2021).</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(IPCC, 2021).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(Romanello et al., 2024).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 (IPCC, 2021).</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the central estimate of the IPCC’s intermediate pathway (IPCC, 2021).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 (IPCC, 2021).</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(IPCC, 2021).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 Table 1.1 sets out the three futures that organise the rest of the book, with the temperatures and signature impacts of each.</w:t>
      </w:r>
    </w:p>
    <w:p>
      <w:pPr>
        <w:keepNext/>
        <w:spacing w:before="160"/>
        <w:ind w:firstLine="0"/>
        <w:jc w:val="center"/>
      </w:pPr>
      <w:r>
        <w:rPr>
          <w:b/>
          <w:sz w:val="20"/>
        </w:rPr>
        <w:t>Table 1.1 Three futures for the next two decades</w:t>
      </w:r>
    </w:p>
    <w:p>
      <w:pPr>
        <w:keepNext/>
        <w:spacing w:before="20"/>
        <w:ind w:firstLine="0"/>
        <w:jc w:val="left"/>
      </w:pPr>
      <w:r>
        <w:rPr>
          <w:i/>
          <w:sz w:val="17"/>
        </w:rPr>
        <w:t>Source: compiled by the author from IPCC (2023) and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One assumption in Table 1.1 has already expired. The first row was specified with a global emissions peak before 2025, which has not happened: the 2024 budget assessment put emissions at a record level, with no sustained decline visible (Friedlingstein et al., 2024). The row therefore describes the effort still required rather than a policy already under way, and the cuts it implies are steeper now than they were when the scenario was written. The second row, current policies, remains the closest to observed trends, which is why it is used as the central case in the chapters that follow.</w:t>
      </w:r>
    </w:p>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r>
        <w:t>Put this chapter’s projection to a test that a reader can run. The central claim is that the multi-year average crosses 1.5 °C in the 2030s while individual years cross it in the 2020s: on that claim, the five-year average for 2026–2030 should sit between 1.35 and 1.5 °C, and the average for 2036–2040 should exceed 1.5 °C, within the range assessed for these scenarios (IPCC, 2021). The assumption is that emissions keep falling no faster than current policies imply; a faster fall would not stop the crossing, only delay it by a few years. If the five-year average stays below 1.3 °C through 2035, this chapter’s framing is wrong and the low-sensitivity row of Table 1.1 deserves to be the default. The three numbers to watch are the annual global mean anomaly, atmospheric carbon dioxide concentration, and the fossil share of primary energy; all three are published every year, and all three move before the damage does.</w:t>
      </w:r>
    </w:p>
    <w:p>
      <w:r>
        <w:t>The paragraph above tells a reader when to stop waiting; this one tells them what to do on the day it happens. When the five-year average crosses the line, the sequence of work is set by dependency rather than by ambition. Water and power come first, because pumping, treatment and cooling all fail with the grid: a city that secures them before it plants a single tree will keep people alive through the first bad summer. Shade, cooling rooms and warning reach come next, and they can be paid for from the same budget year. Insurance, pricing and land-use rules come last, because they take years to change behaviour. What not to do is to spend the first year of a local emergency arguing about the global number, when the local record has already been broken.</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(IPCC, 2021).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(IPCC, 2021).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The arithmetic of comparison is where public arguments about gases usually go wrong, because a gas can be negligible by volume and decisive by effect. Comparing gases requires a time horizon, and the standard hundred-year figure understates methane, which is far more powerful over twenty years and far less so over a century; the choice of horizon is therefore a policy decision disguised as a physical constant. The same problem appears in national accounting, where countries report a single aggregate in carbon-dioxide equivalent that mixes gases with different lifetimes, so a country that reduces methane and a country that reduces carbon dioxide can report identical progress while doing very different things to the temperature. The convention is useful for a common scoreboard and misleading as a description of what the atmosphere experiences, and the honest formulation names the gas, the horizon and the metric whenever a comparison is made.</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(Hausfather et al., 2023).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(IPCC, 2021).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(IPCC, 2021).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 (IPCC, 2021).</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(IPCC, 2019b).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 (Friedlingstein et al., 2024).</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 Table 2.1 reduces the three trajectories to numbers at 2050 and 2100 and names the physical consequence attached to each; Figure 2.1 shows the same comparison as bars.</w:t>
      </w:r>
    </w:p>
    <w:p>
      <w:pPr>
        <w:keepNext/>
        <w:spacing w:before="160"/>
        <w:ind w:firstLine="0"/>
        <w:jc w:val="center"/>
      </w:pPr>
      <w:r>
        <w:rPr>
          <w:b/>
          <w:sz w:val="20"/>
        </w:rPr>
        <w:t>Table 2.1 Three physical trajectories to 2100 (relative to 1850–1900)</w:t>
      </w:r>
    </w:p>
    <w:p>
      <w:pPr>
        <w:keepNext/>
        <w:spacing w:before="20"/>
        <w:ind w:firstLine="0"/>
        <w:jc w:val="left"/>
      </w:pPr>
      <w:r>
        <w:rPr>
          <w:i/>
          <w:sz w:val="17"/>
        </w:rPr>
        <w:t>Source: compiled by the author from IPCC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r>
        <w:t>The trajectories in Table 2.1 can be checked against three physical records, and the check is cheap. On the central path, warming should reach about 1.5 °C by the early 2030s and sea level should rise at roughly five millimetres a year by 2040, up from the present rate (IPCC, 2021); ocean heat content should keep setting records in most years, because the ocean absorbs the bulk of the imbalance. The assumption is that climate sensitivity sits near the assessed range rather than at its upper end. If the observed warming rate for 2025–2040 falls materially below the model average while concentrations keep rising, then the central estimate in this chapter is wrong. The numbers worth watching are the global mean temperature, ocean heat content in the upper two thousand metres, and the satellite record of sea level; each is updated monthly, and each is harder to dispute than a single hot year.</w:t>
      </w:r>
    </w:p>
    <w:p>
      <w:r>
        <w:t>When a measurement disagrees with the projection, the response of the utility and the planning office is not to defend the projection but to replace the design number that was built on it. The order is: rebuild the local baseline from the station nearest the site, because a national average hides the rainfall and the heat that a drain or a roof actually meets; revise the standard that depends on it, such as the storm return period used for drainage or the temperature at which outdoor work stops; then publish the revision, so that the next building is designed against the new number and not the old one. Monitoring comes last and never stops. What not to do is to keep using a design value that the record has already contradicted, on the grounds that the model has not yet caught up.</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(IPCC, 2021).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 (Armstrong McKay et al., 2022).</w:t>
      </w:r>
    </w:p>
    <w:p>
      <w:r>
        <w:t>Tipping points are thresholds beyond which a component of the system reorganises into a different state, often irreversibly on human timescales (Lenton et al., 2008).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(Hausfather et al., 2023).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(Clarke et al., 2022).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(CRED, 2023).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(IPCC, 2019b).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(IPCC, 2019b).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(IPCC, 2019b).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(IPCC, 2021).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 Table 3.1 lists the thresholds that matter for decisions, together with the signals that would show one is being approached.</w:t>
      </w:r>
    </w:p>
    <w:p>
      <w:pPr>
        <w:keepNext/>
        <w:spacing w:before="160"/>
        <w:ind w:firstLine="0"/>
        <w:jc w:val="center"/>
      </w:pPr>
      <w:r>
        <w:rPr>
          <w:b/>
          <w:sz w:val="20"/>
        </w:rPr>
        <w:t>Table 3.1 System thresholds and what to watch for</w:t>
      </w:r>
    </w:p>
    <w:p>
      <w:pPr>
        <w:keepNext/>
        <w:spacing w:before="20"/>
        <w:ind w:firstLine="0"/>
        <w:jc w:val="left"/>
      </w:pPr>
      <w:r>
        <w:rPr>
          <w:i/>
          <w:sz w:val="17"/>
        </w:rPr>
        <w:t>Source: compiled by the author from IPCC (2018) and Armstrong McKay et al. (2022)</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r>
        <w:t>For a chapter about thresholds, a prediction should name the observation that would show a threshold approaching. The testable claim here is that the interval between disturbances keeps shortening faster than the systems recover: bleaching events should recur at intervals below six years through the 2030s, September Arctic sea ice should continue its decline at several per cent per decade, and the overturning circulation should weaken within the range already measured, without abrupt collapse before 2050. That last point is the assumption as much as the prediction. If a decade passes without further Arctic ice loss, or if the circulation index recovers to its 1990s range, this chapter’s account of accumulating commitment is too pessimistic. The numbers to watch are September ice extent, the RAPID circulation index, and the mass balance of the Greenland and Antarctic sheets.</w:t>
      </w:r>
    </w:p>
    <w:p>
      <w:r>
        <w:t>A threshold changes the order in which a city or a ministry spends, not the size of the bill. When the monitored variable moves toward the range named above, the first task is to list what cannot be bought back: a glacier, a coral reef, a coastal aquifer once salt has entered it, a species once lost. Those are protected now, because delay is irreversible. The second task is to protect what is still cheap and reversible: land use, fishing pressure, runoff, grazing. The third is to write down the retreat or the substitution that will be needed if the threshold is crossed, before an emergency makes the choice on worse terms. What not to do is to treat the threshold as a deadline for study; it is a deadline for decisions that are cheap now and impossible later.</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 (Ebi et al., 2021).</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(Ebi et al., 2021).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(IPCC, 2022a).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(IPCC, 2022a).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Measuring the island is harder than describing it, and the difficulty explains much of the disagreement about how large it is. Urban stations sit in parks, on airport tarmac or on rooftops, and each placement produces a different answer; satellite instruments read surface temperature rather than the air temperature people experience; and the rural reference against which the difference is calculated has itself been warming. Studies that place cheap sensors in dense neighbourhoods consistently find larger and more variable differences than the official network, which is why the most useful municipal datasets are now built from hundreds of low-cost stations on lamp posts and school roofs rather than from a handful of reference sites. The choice of instrument is a choice about who is counted: a city that measures only its parks will report a smaller island than the one its poorest residents live in.</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(Hess et al., 2018).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(Klinenberg, 2002).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(Iungman et al., 2023).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Not all of these measures survive the future they are meant to prepare for. Trees need water, and the species that flourish in a temperate city can die in a hotter and drier one; a planting programme that assumes the current climate produces a canopy that fails exactly when it is needed. Green roofs depend on irrigation in dry summers and on structural capacity that older buildings do not have. Reflective surfaces lower indoor temperatures but can raise the temperature felt at street level when the reflected radiation lands on people, so the benefit is real and unevenly distributed. The measures that hold under a wider range of futures are the dull ones: orientation and shading built into the form of the block, night ventilation that works without power, and the preservation of whatever open ground and water remains. A city that plans for shade alone is preparing for the climate it has; a city that plans for water, form and maintenance is preparing for the one it is getting.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(Sherwood &amp; Huber, 2010).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(Ballester et al., 2023).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 Table 4.1 gives the exposure figures city by city, including the wet-bulb values that determine whether cooling can still work, and Figure 4.1 plots the days above 35 °C that lie behind them.</w:t>
      </w:r>
    </w:p>
    <w:p>
      <w:pPr>
        <w:keepNext/>
        <w:spacing w:before="160"/>
        <w:ind w:firstLine="0"/>
        <w:jc w:val="center"/>
      </w:pPr>
      <w:r>
        <w:rPr>
          <w:b/>
          <w:sz w:val="20"/>
        </w:rPr>
        <w:t>Table 4.1 Heat exposure in selected cities, present and 2050</w:t>
      </w:r>
    </w:p>
    <w:p>
      <w:pPr>
        <w:keepNext/>
        <w:spacing w:before="20"/>
        <w:ind w:firstLine="0"/>
        <w:jc w:val="left"/>
      </w:pPr>
      <w:r>
        <w:rPr>
          <w:i/>
          <w:sz w:val="17"/>
        </w:rPr>
        <w:t>Source: compiled by the author from Ebi et al. (2021) and IPCC (2022a)</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r>
        <w:t>Heat is the hazard where a prediction can be counted in bodies, and that makes it checkable. The claim is that mortality per hot day keeps falling in cities that invest and rises in cities that do not, so that the same summer produces very different counts across the six cities of Table 4.1 by 2050; in the investing cities, deaths per degree of anomaly should be lower in 2040 than in 2020, the direction the burden estimates of Iungman et al. (2023) support, while days above 35 °C double — the threshold this chapter treats as the planning point for outdoor work (IPCC, 2021). The assumption is that cooling, shade, warnings and check-ins are financed at something like the present rate. If deaths per degree rise in cities that built heat plans and stockpiled cooling, the adaptation argument of this chapter fails. Watch excess summer mortality, days above 35 °C, and the share of households with a working cooling option.</w:t>
      </w:r>
    </w:p>
    <w:p>
      <w:r>
        <w:t>When the forecast names a hot night rather than a hot day, the heat plan should already be running. The order that saves lives is: warn the people who cannot cool themselves, open the cooling rooms and keep them open late, move outdoor work to the early morning, and check on the elderly, the isolated and the sick by door or telephone. Hospitals and care homes act first, because heat deaths cluster where nobody is watching. The trigger should be a forecast agreed in advance and owned by one named official, not a body count. What not to do is to wait for the mortality statistics, which arrive after the funerals and are therefore useless as a trigger.</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(Gleick, 2023).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(Gleick, 2023).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(Gleick, 2023).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 (IPCC, 2022a).</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What matters for policy is the lag between them, because each definition reaches a different institution at a different moment. A meteorological drought is declared by a weather service and reaches farmers as a forecast; an agricultural drought is measured in soil moisture and reaches them as a failed harvest; a hydrological drought is visible in reservoir levels and reaches a city as a restriction; and a socioeconomic drought is counted in prices and queues, which is when it becomes political. The lag is an opportunity as well as a trap: a city that treats the meteorological warning as the start of its own planning clock can prepare a restriction, a tariff and a public message months before the reservoir confrontation, and most cities do not, because the institutions that read the first signal are not the ones that pay for the last.</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Drought is measured with indices rather than with a single number, and the choice of index decides when a drought is said to have begun. Rainfall indices compare a period with its own long-term average; soil-moisture indices integrate rainfall, temperature and evaporation over the previous weeks; hydrological indices track reservoir, river and aquifer levels against their seasonal norms; and remote-sensing indices infer vegetation health from the colour of the land. Each answers a different question and each lags the others, which is why two agencies can announce a drought months apart from the same rainfall data and both be right within their own definitions. The practical consequence is that the index must be named whenever a drought is declared, because the number in the headline — the rainfall percentage, the reservoir level, the acreage affected — belongs to one index and not to the drought itself.</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(Gleick, 2023).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(Gleick, 2023). The river supplies water to about 40 million people and 1.2 million hectares of farmland across seven US states and northern Mexico, under an allocation system designed in 1922 that assumed a flow larger than the river has delivered (Gleick, 2023).</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(Gleick, 2023).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(FAO, 2022).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(Gleick, 2023).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(Gleick, 2023).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What Chennai did during the four months is the part that other cities should study, because most of the world’s growing cities will face a version of it. The response was a rationing system assembled in weeks: municipal tankers on fixed routes, a queue of private tankers whose prices rose with scarcity, and an emergency diversion of trains and lorries from a river basin hundreds of kilometres away. None of it was planned as a system, and all of it depended on the state’s capacity to commandeer transport and to keep the water safe. The informal tanker market mattered as much as the official supply, and it allocated water by ability to pay, which is the outcome that a rationing plan is supposed to prevent. The lasting reforms were slower and less visible: mandatory rooftop harvesting on new buildings, metering, the rehabilitation of the lakes that had been built over, and a political argument about how the city’s supply should be split with the agricultural basin that surrounds it.</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(Addams et al., 2009).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 Table 5.1 sets out the same stress basin by basin, with the share of each population at risk and the supply gap implied by current demand; Figure 5.1 plots the people affected against that gap.</w:t>
      </w:r>
    </w:p>
    <w:p>
      <w:pPr>
        <w:keepNext/>
        <w:spacing w:before="160"/>
        <w:ind w:firstLine="0"/>
        <w:jc w:val="center"/>
      </w:pPr>
      <w:r>
        <w:rPr>
          <w:b/>
          <w:sz w:val="20"/>
        </w:rPr>
        <w:t>Table 5.1 Water stress in major basins, present and 2050</w:t>
      </w:r>
    </w:p>
    <w:p>
      <w:pPr>
        <w:keepNext/>
        <w:spacing w:before="20"/>
        <w:ind w:firstLine="0"/>
        <w:jc w:val="left"/>
      </w:pPr>
      <w:r>
        <w:rPr>
          <w:i/>
          <w:sz w:val="17"/>
        </w:rPr>
        <w:t>Source: compiled by the author from IPCC (2022a) and FAO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r>
        <w:t>The water chapter predicts a gap, so the test is whether the gap opens at the predicted rate. The claim is that basins in Table 5.1 will show withdrawals exceeding sustainable supply in more years than not by 2035, and that the shortfall will appear first in groundwater rather than in rivers, because aquifers are where the unmeasured abstraction happens. The assumption is that irrigation efficiency improves no faster than it has since 2000. If monitored basins show stress falling while withdrawals rise, the accounting in this chapter is wrong. The numbers to watch are groundwater levels in the index wells, the share of treated wastewater reused, and the price of water in the cities that already ration; the first is the earliest signal, and it is also the one most often suppressed.</w:t>
      </w:r>
    </w:p>
    <w:p>
      <w:r>
        <w:t>When a city announces restrictions, the cheapest water is the water it is already losing. The sequence is: repair the distribution network where the loss is measured, because a leak fixed is a reservoir not built; publish the loss figure so that the repair can be audited; then price and allocate, protecting a basic allowance for poor households; and only then add supply, from reuse, storage or transfer. Groundwater needs its own ledger, because an aquifer that is mined looks like a drought to the household and like a decision to the ministry. What not to do is to answer a shortage with a new dam before the pipes have been measured, or with a tariff that prices water beyond the reach of the people who already carry it furthest.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(CRED, 2023).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(CRED &amp; UNISDR, 2015).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(IPCC, 2021).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(IPCC, 2021).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(IPCC, 2022a).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(IPCC, 2022a).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(CRED, 2023).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(UN-Habitat, 2022).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(CRED, 2023).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(CRED, 2023).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more than 1,400 people in Louisiana alone (Brunkard et al., 2008), with damage estimated at more than US$125 billion (NOAA National Centers for Environmental Information, 2024).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(IPCC, 2022a).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(UN-Habitat, 2022).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 Table 6.1 compares six coastal cities on subsidence, exposure and adaptation, and Figure 6.1 ranks them by the population exposed to a 1-in-100-year flood.</w:t>
      </w:r>
    </w:p>
    <w:p>
      <w:pPr>
        <w:keepNext/>
        <w:spacing w:before="160"/>
        <w:ind w:firstLine="0"/>
        <w:jc w:val="center"/>
      </w:pPr>
      <w:r>
        <w:rPr>
          <w:b/>
          <w:sz w:val="20"/>
        </w:rPr>
        <w:t>Table 6.1 Coastal exposure in selected cities</w:t>
      </w:r>
    </w:p>
    <w:p>
      <w:pPr>
        <w:keepNext/>
        <w:spacing w:before="20"/>
        <w:ind w:firstLine="0"/>
        <w:jc w:val="left"/>
      </w:pPr>
      <w:r>
        <w:rPr>
          <w:i/>
          <w:sz w:val="17"/>
        </w:rPr>
        <w:t>Source: compiled by the author from IPCC (2022a) and UN-Habitat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relative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1–25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r>
        <w:t>Coastal risk is testable because the water arrives on a schedule. The claim is that the one-in-a-hundred-year flood of the twentieth century becomes a one-in-thirty-year flood in the exposed cities of Table 6.1 by 2050, and that in cities where subsidence continues, the change arrives a decade or two earlier than the global sea-level record alone would suggest. The assumption is that groundwater extraction continues at the present rate in the subsiding cities and that no new defences are built. If the observed frequency of the design flood in those cities does not rise over the next two decades, this chapter overstates the exposure. Watch the tide-gauge record corrected for land motion, the frequency of nuisance flooding at high tide, and the insured value of coastal property.</w:t>
      </w:r>
    </w:p>
    <w:p>
      <w:r>
        <w:t>On a coast, the warning and the route matter more than the wall. When a surge is forecast, the sequence is: move people off the lowest ground while the roads are still dry, on a trigger agreed before the season; open the vertical shelters that exist and name the ones that do not; then restore the natural buffer, because a mangrove belt and a dune cost less than a sea wall and fail more slowly. Engineering follows evacuation; it does not replace it. What not to do is to build behind a defence that no budget maintains, because a wall that is never repaired turns a flood into a catastrophe on the day it finally breaches.</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(World Bank, 2022).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(FAO, 2023).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(IPCC, 2019a).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(IPCC, 2019a).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 (FAO, 2022).</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(FAO, 2022).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(IPCC, 2019a).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(FAO, 2023).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more than 99 per cent of warm-water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 (FAO, 2023).</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(FAO, 2023).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 Table 7.1 gives the yield sensitivity of each crop per degree of warming alongside the 2050 projection used here, and Figure 7.1 shows the same sensitivities as a bar chart.</w:t>
      </w:r>
    </w:p>
    <w:p>
      <w:pPr>
        <w:keepNext/>
        <w:spacing w:before="160"/>
        <w:ind w:firstLine="0"/>
        <w:jc w:val="center"/>
      </w:pPr>
      <w:r>
        <w:rPr>
          <w:b/>
          <w:sz w:val="20"/>
        </w:rPr>
        <w:t>Table 7.1 Crop yield sensitivity and 2050 projections</w:t>
      </w:r>
    </w:p>
    <w:p>
      <w:pPr>
        <w:keepNext/>
        <w:spacing w:before="20"/>
        <w:ind w:firstLine="0"/>
        <w:jc w:val="left"/>
      </w:pPr>
      <w:r>
        <w:rPr>
          <w:i/>
          <w:sz w:val="17"/>
        </w:rPr>
        <w:t>Source: compiled by the author from Zhao et al. (2017)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r>
        <w:t>The food prediction is the one that reaches a reader’s kitchen soonest, and it is the easiest to check. The claim is that yield losses per degree of warming stay within the ranges in Table 7.1, so that global production keeps rising while regional deficits widen, and that the visible symptom by 2035 is not scarcity but price spikes following export restrictions. The assumption is that trade stays open most of the time and that heat-tolerant varieties spread at the present rate. If global yields fall for several consecutive years while prices stay calm, the mechanism described here is wrong. Watch the food price index, the number of export restrictions in force, and the gap between yields in temperate and tropical regions.</w:t>
      </w:r>
    </w:p>
    <w:p>
      <w:r>
        <w:t>When the price of the staple moves, the response should be trade and transfers, not a ban. The order is: keep the export channel open and the import procedure short, because a ban in one country raises the price in the next; release the reserve into the market that needs it and publish the release, so that hoarding loses its reward; and send cash or food to the households that cannot buy at the new price. Protect the coming harvest by keeping seed, fertiliser and credit moving. What not to do is to treat a price spike as a security problem, because a curfew that closes the market deepens the shortage and destroys the data that would have guided the response.</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(IPCC, 2019b).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(WWF, 2022).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found that species have been moving poleward at roughly seventeen kilometres per decade and upslope at eleven metres per decade, with the fastest movement among insects and marine species (Chen et al., 2011).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(IPBES, 2019).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 (Great Barrier Reef Marine Park Authority, 2024).</w:t>
      </w:r>
    </w:p>
    <w:p>
      <w:r>
        <w:t>The reason reefs dominate the literature is not that they are the most valuable ecosystem but that they are the most legible one: a bleached reef turns white in weeks, and a dead one turns grey in months, so the effect of a temperature anomaly shows up in a photograph rather than in a model. That legibility has a cost, because the public reads recovery from the colour. Coral cover can return within a decade where the substrate is intact and herbivorous fish survive, and the returning community is usually a simpler one, dominated by fast-growing branching species that are the first to bleach in the next event. Hughes and colleagues have argued that repeated disturbances have cut the interval between events below the time the reef needs to regrow, which converts an acute shock into a slow trajectory. Reef fisheries matter for the same reason: they are not a fixed resource that a reef either has or lacks, but a yield that depends on the structure of the community, and structure is what bleaching removes first.</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(IPCC, 2019a). Climate models and observational studies suggest that beyond a threshold of about 20 to 25 per cent deforestation, the forest may lose its ability to recycle moisture and begin to convert to savannah in the eastern and southern parts (Lovejoy &amp; Nobre, 2018).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(Lovejoy &amp; Nobre, 2018).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&amp; Nobre, 2018).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(IPBES, 2019).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The biological consequences are less visible than the chemistry and more important for people. Calcifying organisms build shells and skeletons from carbonate ions, and as those ions become scarcer the energetic cost of building rises, which matters most for larvae and for the species that live closest to their saturation limit, in cold and upwelling waters. Some algae and seagrasses benefit from the extra carbon dioxide, which is why predictions at the ecosystem level are less uniform than predictions for a single shell-forming species. The reef that bleaching leaves behind is therefore exposed to a second stressor that does not depend on temperature at all, and the two together explain why recovery after a heat event is slower in acidified water than the bleaching record alone would suggest.</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 (CBD, 2022).</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 (CBD, 2022).</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 (CBD, 2022).</w:t>
      </w:r>
    </w:p>
    <w:p>
      <w:pPr>
        <w:pStyle w:val="Heading2"/>
      </w:pPr>
      <w:r>
        <w:t>8.11 Case Study: The Great Barrier Reef</w:t>
      </w:r>
    </w:p>
    <w:p>
      <w:r>
        <w:t>The Great Barrier Reef is the largest living structure on Earth, extending more than 2,300 kilometres along the Queensland coast and comprising about 3,000 individual reefs (IPCC, 2019b).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(Great Barrier Reef Marine Park Authority, 2024).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history matters because it shows how a baseline moves. Each bleaching record was treated, at the time, as an anomaly to be explained and then absorbed: the first global event became the reference against which the next was measured, and the interval between events, rather than the events themselves, is what changed the argument. Monitoring has the same problem in a different form, because survey programmes were designed to measure cover at a handful of reefs and have been retrofitted to answer questions about composition, heat tolerance and recovery that they were never built for. The result is that the reef is better documented than almost any ecosystem on Earth and still contains large uncertainties about which reefs will survive, which is an honest description of the state of the science and an argument for treating the most optimistic projections with caution.</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 Table 8.1 sets out the thresholds of concern for the main ecosystems and what is projected to change at 2 °C and at 3 °C; Figure 8.1 shows three of those systems side by side, with coral plotted at its 2 °C end-point.</w:t>
      </w:r>
    </w:p>
    <w:p>
      <w:pPr>
        <w:keepNext/>
        <w:spacing w:before="160"/>
        <w:ind w:firstLine="0"/>
        <w:jc w:val="center"/>
      </w:pPr>
      <w:r>
        <w:rPr>
          <w:b/>
          <w:sz w:val="20"/>
        </w:rPr>
        <w:t>Table 8.1 Ecosystem thresholds and projected change</w:t>
      </w:r>
    </w:p>
    <w:p>
      <w:pPr>
        <w:keepNext/>
        <w:spacing w:before="20"/>
        <w:ind w:firstLine="0"/>
        <w:jc w:val="left"/>
      </w:pPr>
      <w:r>
        <w:rPr>
          <w:i/>
          <w:sz w:val="17"/>
        </w:rPr>
        <w:t>Source: compiled by the author from IPCC (2018) and IPCC (2019b)</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Reef structure lost in most regions</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more than 99 per cent at 2 degrees and lose their structure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three systems, with coral at its 2 °C end-point</w:t>
      </w:r>
    </w:p>
    <w:p>
      <w:pPr>
        <w:spacing w:after="200"/>
        <w:ind w:firstLine="0"/>
        <w:jc w:val="center"/>
      </w:pPr>
      <w:r>
        <w:rPr>
          <w:i/>
          <w:color w:val="5A5A5A"/>
          <w:sz w:val="16"/>
        </w:rPr>
        <w:t>Source: Table 8.1. Coral falls by 70–90 per cent at 1.5 °C; the bars show the 2 °C and 3 °C end-points, where the reef structure is lost rather than further reduced.</w:t>
      </w:r>
    </w:p>
    <w:p>
      <w:r>
        <w:t>The analysis points to two conclusions. First, the difference between 1.5 °C and 2 °C is the difference between reefs reduced by 70 to 90 per cent and reefs effectively lost, and between 2 °C and 3 °C stands the further difference between a forest that stores carbon and one that releases it (IPCC, 2018).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r>
        <w:t>Ecosystem predictions are hard to falsify because recovery can look like resilience, so this chapter commits to a specific test. The claim is that bleaching recurs faster than reefs can rebuild, so that coral cover in the Indo-Pacific fails to recover to its pre-2016 level in any decade before 2050, and that the interval between global bleaching events stays below six years. The assumption is that warming follows the middle path rather than the high one. If cover returns to its earlier level and holds for five years, the recovery argument wins and this chapter is too pessimistic. The numbers to watch are degree-heating weeks, live coral cover on the long-term survey reefs, and the annual area burned in the boreal and Amazon regions.</w:t>
      </w:r>
    </w:p>
    <w:p>
      <w:r>
        <w:t>When a bleaching or a fire is forecast, the park authority and the fisheries department have one job that outranks the rest: lift the local pressure while the heat passes. The sequence is: close the area to extraction long enough for the surviving stock to breed, because protection buys time that restoration cannot; cut the sediment and nutrient runoff that smother the reef while it is bleached; protect the refuges, the deep water, the cool channel and the shaded nursery, even when they look unimportant; and only then plant, transplant or seed. Restoration is a supplement, never a substitute. What not to do is to count a replanted hectare as recovered habitat, because a young mangrove and a coral fragment are not the structure that sheltered the fish.</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 (Ebi et al., 2021).</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(WHO, 2023).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(WHO, 2023).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(CIFFC, 2023).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ambient and household air pollution together are associated with about 6.7 million premature deaths a year (WHO, 2023b).</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(WHO, 2023).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What the 2024 season changed was the practice of surveillance rather than the understanding of the disease. Countries that detected transmission early did so by combining case counts from clinics with vector trap data, serotype sequencing and satellite rainfall estimates, and the combination is what allows an alert to be issued before hospitals fill. Countries that relied on reported cases alone learned about the epidemic from its peak. The distinction matters for the argument of this chapter, because it is the same distinction that separates a warning system from a statistic: a warning requires several independent signals to be read together, and a statistic requires only that someone count afterwards. Vector control, clinical protocols and public communication about standing water remain the interventions that work, and they work best when they are routine rather than emergency measures.</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(Watts et al., 2021).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 Table 9.1 summarises the health risks discussed here and marks how the burden changes at 2 °C and at 3 °C.</w:t>
      </w:r>
    </w:p>
    <w:p>
      <w:pPr>
        <w:keepNext/>
        <w:spacing w:before="160"/>
        <w:ind w:firstLine="0"/>
        <w:jc w:val="center"/>
      </w:pPr>
      <w:r>
        <w:rPr>
          <w:b/>
          <w:sz w:val="20"/>
        </w:rPr>
        <w:t>Table 9.1 Climate-sensitive health risks, 2050</w:t>
      </w:r>
    </w:p>
    <w:p>
      <w:pPr>
        <w:keepNext/>
        <w:spacing w:before="20"/>
        <w:ind w:firstLine="0"/>
        <w:jc w:val="left"/>
      </w:pPr>
      <w:r>
        <w:rPr>
          <w:i/>
          <w:sz w:val="17"/>
        </w:rPr>
        <w:t>Source: compiled by the author from WHO (2023) and Watts et al.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percentages are anchored to the WHO estimate of about 489,000 heat-related deaths a year over 2000–2019 (WHO, 2023). The +50–100 % band describes a 2 °C world in which adaptation stays at present levels; where heat action plans, cooling and housing improvements scale up as they did in the best-performing European countries after 2003, the increase narrows to roughly +40 %. Table 17.1 expresses the same range in absolute deaths, so the two tables can be checked against each other.</w:t>
      </w:r>
    </w:p>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r>
        <w:t>Health effects arrive early and are counted late, which is why the test should be set in advance. The claim is that climate-sensitive disease expands before climate-attributable mortality becomes visible in national statistics: dengue cases in the Americas should exceed the 2024 record at least once in the 2030s, and heat deaths among people over 65 should keep rising in absolute terms even where rates per degree fall. The assumption is that surveillance improves at the present rate, so a rise in reported cases means more disease rather than better counting. If cases fall while mosquito habitat expands, this chapter is wrong about the mechanism. Watch reported dengue and malaria cases, the share of health facilities with reliable power, and excess mortality in heat seasons.</w:t>
      </w:r>
    </w:p>
    <w:p>
      <w:r>
        <w:t>An outbreak and a heatwave are both managed before they arrive, and the clinic is the last place where the work happens. The sequence is: run surveillance on the vector and the case count through the season rather than after it; clear the breeding sites the map shows, starting in the neighbourhoods with the least piped water; staff the clinics for a surge, with oral rehydration and rapid tests in stock; and vaccinate the districts where the record says the disease is new rather than the ones where it has always been. What not to do is to wait for confirmation from a national laboratory before acting in the district that reported the first cases.</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direct losses of US$77 billion and US$90 billion respectively (NOAA National Centers for Environmental Information, 2024).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(UNDRR, 2022).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The 2017 season is worth revisiting for what it revealed about the machinery of recovery rather than about the storms themselves. Three landfalls in six weeks, two of them in United States territory, produced the largest test of the insurance and reconstruction system since Katrina, and the test showed where the money stops. Claims that were adjusted quickly restored roofs and inventories; claims that required proof of causation, such as business interruption after a grid failure, moved slowly or not at all. Public assistance filled the gap for households with documentation and missed those without title deeds, receipts or bank accounts — which is to say, the households with the least margin. The lesson drawn by the industry was that catastrophe risk could be priced and spread, and the lesson drawn by the affected communities was that the price did not reach them. Both were correct, and the distance between them is the subject of this chapter.</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(UNDRR, 2022).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 Table 10.1 puts the three pathways in money terms, separated into losses that show up in GDP and losses that do not; Figure 10.1 plots the central estimates.</w:t>
      </w:r>
    </w:p>
    <w:p>
      <w:pPr>
        <w:keepNext/>
        <w:spacing w:before="160"/>
        <w:ind w:firstLine="0"/>
        <w:jc w:val="center"/>
      </w:pPr>
      <w:r>
        <w:rPr>
          <w:b/>
          <w:sz w:val="20"/>
        </w:rPr>
        <w:t>Table 10.1 Economic losses under three pathways, 2050</w:t>
      </w:r>
    </w:p>
    <w:p>
      <w:pPr>
        <w:keepNext/>
        <w:spacing w:before="20"/>
        <w:ind w:firstLine="0"/>
        <w:jc w:val="left"/>
      </w:pPr>
      <w:r>
        <w:rPr>
          <w:i/>
          <w:sz w:val="17"/>
        </w:rPr>
        <w:t>Source: compiled by the author from UNDRR (2023) and OECD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r>
        <w:t>The economics chapter predicts a bill, so the test is whether the bill arrives. The claim is that losses grow faster than the economy because exposure grows faster than protection, and that the gap between total losses and insured losses widens rather than closes; by 2035 the uninsured share of catastrophe losses should still be above half in the exposed middle-income countries discussed here. The assumption is that insurance penetration grows slowly and that public contingent liabilities remain uncapped. If insured losses grow faster than total losses for a decade, the protection gap is closing and the arithmetic in this chapter is wrong. Watch the annual count of billion-dollar events, the insured share of losses, and the cost of sovereign borrowing in exposed countries.</w:t>
      </w:r>
    </w:p>
    <w:p>
      <w:r>
        <w:t>After a disaster the speed of the money decides the size of the loss. The order is: release pre-arranged finance against a measured trigger, without waiting for a damage assessment that takes months; pay the small claims first, because a household that cannot repair a roof loses the house; keep a public balance sheet for the losses no insurer will take, which in poor places is most of them; and only then argue about who should have paid. Cover that pays on a number rather than on a loss adjuster is useful for exactly that reason. What not to do is to present insurance as a substitute for adaptation: the policy pays after the damage, and the premium rises with it.</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(UNHCR, 2023).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(UNHCR, 2023).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(UNHCR, 2023).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(World Bank, 2024).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(UNHCR, 2023).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is also a test of how much a treaty can settle. It fixes a pathway and it recognises a boundary, but it does not answer the question that matters most to the people it is meant to protect: who decides that the islands are no longer habitable, and on what evidence. A voluntary pathway leaves the decision with households, which is right in principle and slow in practice, because the people most exposed are often the least able to use a visa, and the cap makes the queue competitive. The recognition of maritime boundaries is a separate kind of promise, made by one state and not by the international system, and it will be tested only in the dispute that follows the first drowned exclusive economic zone. What the treaty demonstrates is that the legal tools for displacement exist and can be written; what it leaves open is whether other states will copy the model or treat it as an exception granted to a small and strategically useful ally.</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(UNHCR, 2023).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 Table 11.1 breaks the migration figures down by region of origin, and Figure 11.1 plots the same totals so that the magnitude is visible at a glance.</w:t>
      </w:r>
    </w:p>
    <w:p>
      <w:pPr>
        <w:keepNext/>
        <w:spacing w:before="160"/>
        <w:ind w:firstLine="0"/>
        <w:jc w:val="center"/>
      </w:pPr>
      <w:r>
        <w:rPr>
          <w:b/>
          <w:sz w:val="20"/>
        </w:rPr>
        <w:t>Table 11.1 Projected climate migration by 2050</w:t>
      </w:r>
    </w:p>
    <w:p>
      <w:pPr>
        <w:keepNext/>
        <w:spacing w:before="20"/>
        <w:ind w:firstLine="0"/>
        <w:jc w:val="left"/>
      </w:pPr>
      <w:r>
        <w:rPr>
          <w:i/>
          <w:sz w:val="17"/>
        </w:rPr>
        <w:t>Source: compiled by the author from World Bank (2021) and UNHCR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r>
        <w:t>Migration is predicted with wide ranges, and the honest test is about composition rather than totals. The claim is that displacement over the next decades is mostly internal and mostly short-distance, so that the number of cross-border climate refugees grows much more slowly than the number of people displaced inside their own countries; the projections in Table 11.1 should hold within their ranges for internal movement while international asylum claims rise only modestly. The assumption is that no new legal pathway is created at scale. If cross-border movement grows faster than internal movement, then the model in this chapter is wrong about how households move. Watch disaster displacements, remittance flows, and the number of bilateral agreements of the Falepili kind.</w:t>
      </w:r>
    </w:p>
    <w:p>
      <w:r>
        <w:t>When people begin to move, the legal route matters more than the distance. The sequence is: make the destination legal and reachable, because a closed border turns a managed move into a smuggling market; secure tenure at the origin, so the household keeps an asset it can sell or return to; extend services in the receiving town before the arrival rather than after it; and keep the remittance channel open, which is often the only social protection a displaced family has. Planned retreat is cheaper than rescue. What not to do is to treat the first arrivals as a temporary problem, because the first arrivals decide whether the move becomes orderly or sudden.</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(Gleick, 2023).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(Gleick, 2023).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Shared rivers are covered by thousands of treaties and basin agreements, and violence over water is rare next to the frequency of negotiation, even where neighbours are openly hostile. The recurring pattern is that upstream development is read downstream as a threat, and the dispute becomes a proxy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The figures quoted for Lake Chad differ enough that the difference is itself part of the story. Estimates depend on whether the measurement counts open water, the seasonal wetland that expands during the flood, or the whole basin that once held water, and the three produce declines that range from severe to catastrophic. This book uses the conservative figure, because the argument does not need the largest number: even on the smallest measured area, the lake that remains supports a population several times larger than the one that lived around it when it was larger, through irrigation, recession farming on the exposed bed and fishing in channels that satellites record as dry land. The disagreement about the number has been used politically, by governments that prefer to describe the lake as recovering and by analysts who prefer to describe it as lost, and the honest position is that a shrunken lake with a larger population on its shore is a harder problem than either description suggests.</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Attributing a lake’s retreat is harder than attributing a heatwave, because the drivers are economic as much as climatic. Rain fell less, and irrigation upstream diverted more, and the population around the shore grew and drew more, and no technique separates these causes cleanly: a model that removes the rainfall signal leaves an irrigation signal, and a model that removes the irrigation leaves a rainfall signal, and both can be presented as the dominant one. What the research converges on is a compound explanation in which climate reduced the supply and human use redistributed it, and what the politics converges on is a single cause that suits a preferred policy. This is the pattern the chapter’s argument needs: the physical change is real, the attribution is contested, and the people who lose are the ones who depended on the water while the argument was being had.</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 Table 12.1 lists the fragile regions where climate exposure and conflict risk overlap, with the mechanism that connects them.</w:t>
      </w:r>
    </w:p>
    <w:p>
      <w:pPr>
        <w:keepNext/>
        <w:spacing w:before="160"/>
        <w:ind w:firstLine="0"/>
        <w:jc w:val="center"/>
      </w:pPr>
      <w:r>
        <w:rPr>
          <w:b/>
          <w:sz w:val="20"/>
        </w:rPr>
        <w:t>Table 12.1 Climate exposure and conflict risk in fragile regions</w:t>
      </w:r>
    </w:p>
    <w:p>
      <w:pPr>
        <w:keepNext/>
        <w:spacing w:before="20"/>
        <w:ind w:firstLine="0"/>
        <w:jc w:val="left"/>
      </w:pPr>
      <w:r>
        <w:rPr>
          <w:i/>
          <w:sz w:val="17"/>
        </w:rPr>
        <w:t>Source: compiled by the author from Mach et al. (2019)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r>
        <w:t>Conflict is where prediction is most dangerous, so this chapter’s test is narrow. The claim is not that warming causes war but that it raises the risk of low-level violence in places that are already fragile, and the testable part is timing: in the regions of Table 12.1, local clashes and riots should follow climate shocks within one or two seasons, and should be muted where local institutions mediate disputes. The assumption is that food prices and pasture condition transmit the shock to households before it reaches the state. If violence rises in years of good rainfall and falls in drought years, then the mechanism described in this chapter is wrong. The number that makes it checkable is the count of people in need of assistance: in the fragile regions of Table 12.1 it should rise in drought years and fall in wet ones, by a margin visible in the published appeals and not only in the news. Watch staple prices, pasture condition, and the number of people in need of assistance in the fragile regions.</w:t>
      </w:r>
    </w:p>
    <w:p>
      <w:r>
        <w:t>When food prices rise and the pasture fails, the risk is less a war than the local dispute that the state meets with force. The sequence is: publish the price and the stock, because opacity is what turns a shortage into a rumour; keep the market open and the movement of herders and traders legal, since a checkpoint is a tax on food; support the institution that already arbitrates access to water rather than replace it with a new committee; and put the early-warning data in front of the local official who can act on it. What not to do is to securitise the drought, because troops at a water point turn a negotiation into a confrontation and remove the information the warning system needs.</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 (Texas Comptroller of Public Accounts, 2021).</w:t>
      </w:r>
    </w:p>
    <w:p>
      <w:r>
        <w:t>The state’s own count put the dead at more than 200 (Texas Department of State Health Services, 2023). Direct damage was estimated at about US$26 billion (NOAA National Centers for Environmental Information, 2024), but total losses to the state economy — lost output, burst pipes, spoiled stock — were put at US$80–130 billion in the estimates cited by the Federal Reserve Bank of Dallas and summarised by the Texas Comptroller of Public Accounts (2021). That gap shows how far a damage estimate sits below the cost a society actually carries.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(UN-Habitat, 2022).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 (WHO Regional Office for Europe, 2023).</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(FERC &amp; NERC, 2021).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(Liemberger &amp; Wyatt, 2019).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(Gleick, 2023).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a larger public health event than the storm itself (Texas Comptroller of Public Accounts, 2021).</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(National Institute of Building Sciences, 2019).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(IRENA, 2023).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instructive part of the Texas week is not the size of the outage but the order in which the systems failed. Gas production lost pressure first, because wellheads and gathering lines were not insulated for a hard freeze; electricity generation depended on that gas, so capacity fell; water utilities depended on electricity to pump and treat, so pressure collapsed; and hospitals and dialysis centres depended on water and electricity at once. Each link was individually reasonable and collectively brittle, because none of the three systems was designed with the others’ failure in mind. Cascades of this kind are a property of tight coupling rather than of unusually bad weather, and they recur in heat, flood and wildfire with the same structure: a single commodity or network fails, and the services that quietly depend on it follow. The remedy is not redundancy in general but identified dependency in particular, mapped in advance and backed by on-site supply for the services that cannot pause.</w:t>
      </w:r>
    </w:p>
    <w:p>
      <w:r>
        <w:t>Counting the dead in an infrastructure failure is a methodological problem before it is a moral one. Death certificates record causes, not causes of causes, so a death in a cold flat is recorded as hypothermia rather than as a grid failure, a death on a dialysis machine that stopped is recorded as renal failure, and a death from carbon monoxide is recorded as poisoning from a device that a family would not have used had the power stayed on. The review that followed the storm re-read certificates rather than count bodies, which is why the official total rose and why the distribution of deaths became visible: the same event killed people whose homes, medical equipment and transport made them dependent on a system that failed, and left most others unharmed. Every chapter that discusses mortality in this book runs into the same problem, and the rule adopted here is to say which figure is being used and what it counts.</w:t>
      </w:r>
    </w:p>
    <w:p>
      <w:r>
        <w:t>Total losses to the state economy were put at US$80–130 billion (Texas Comptroller of Public Accounts, 2021), several times the direct damage estimate.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The deeper failure was informational. The warnings existed: the federal regulator, the regional reliability council and the state’s own market monitor had all published analyses of winter vulnerability after earlier cold snaps, and the recommendations were filed rather than implemented, because no mechanism paid for compliance and no penalty followed non-compliance. An energy-only market rewards the cheapest megawatt-hour and has no line item for the capacity that may be needed once a decade, so winterisation competed against a cost it would never recover. That is a design choice, and it can be unmade in three ways that appear in every chapter of this book: a mandatory standard with an audit attached, a payment for the reliability that the market does not price, and a public register of which units are compliant, so that the risk is visible before the event rather than after the inquiry.</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(FERC &amp; NERC, 2021).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 Table 13.1 ranks infrastructure sectors by the resilience gap between current practice and what the record requires.</w:t>
      </w:r>
    </w:p>
    <w:p>
      <w:pPr>
        <w:keepNext/>
        <w:spacing w:before="160"/>
        <w:ind w:firstLine="0"/>
        <w:jc w:val="center"/>
      </w:pPr>
      <w:r>
        <w:rPr>
          <w:b/>
          <w:sz w:val="20"/>
        </w:rPr>
        <w:t>Table 13.1 Infrastructure resilience by sector</w:t>
      </w:r>
    </w:p>
    <w:p>
      <w:pPr>
        <w:keepNext/>
        <w:spacing w:before="20"/>
        <w:ind w:firstLine="0"/>
        <w:jc w:val="left"/>
      </w:pPr>
      <w:r>
        <w:rPr>
          <w:i/>
          <w:sz w:val="17"/>
        </w:rPr>
        <w:t>Source: compiled by the author from IPCC (2022a) and FERC &amp; NERC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r>
        <w:t>Infrastructure fails on a schedule that can be audited, and that is what makes this prediction useful. The claim is that the dominant failure of the next two decades will be cascading rather than catastrophic: outages, boil-water notices and closed roads that follow a hazard and turn it into a public health event, as in Texas, Puerto Rico and the Ahr valley; by 2035 the number of such notices should rise faster than the number of storms. The assumption is that maintenance budgets stay at present levels and that standards are not revised. If failure rates fall while the hazard intensifies, then this chapter’s prediction is wrong. The threshold that makes the claim checkable is a rise of at least half in outage minutes per customer between 2025 and 2035 in systems that keep present maintenance budgets, and a rise of at least a third in boil-water notices within 10 years. Watch outage minutes per customer, water losses in distribution, and the share of critical facilities with on-site power.</w:t>
      </w:r>
    </w:p>
    <w:p>
      <w:r>
        <w:t>When the water plant loses power, the repair should follow the chain that failed rather than the budget line that is easiest to open. The sequence is: secure power for the water plant, the clinic and the pumping station, which means a generator with fuel and a tested transfer switch rather than a promise; hold spares for the parts that take months to order; sign mutual-aid agreements with the neighbouring utility, so that crews arrive before a contract exists; and only then harden the asset against the next event. Maintenance is the cheapest adaptation on the list. What not to do is to fund a new landmark while the pump that keeps the hospital dry waits for a budget line, because the landmark will not be judged by the flood.</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 (Yale Program on Climate Change Communication, 2023).</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Italy’s reform is often described by its most quotable feature, the thirty-three hours a year, and judged by it, which is a mistake the rest of this chapter tries to correct. The hours were the easy part. The difficult parts were the training of teachers who had never studied the subject, the production of materials in a language and register that a twelve-year-old could use, and the assessment of whether anything had been learned. Italy addressed the first two with a national programme of in-service courses and a published curriculum framework, and struggled with the third, because a compulsory subject without an examination is a subject that schools may timetable and teachers may quietly skip. The lesson is transferable and unglamorous: a mandate changes what appears in a timetable, and only training, materials and assessment change what happens in a classroom.</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The evidence on whether such a reform works is thinner than the enthusiasm it attracts, and the gap is itself a finding. Climate literacy is measured mostly by self-report: surveys ask students whether they feel informed, teachers whether they feel prepared, and ministries whether the hours were delivered, and none of these answers whether a fifteen-year-old can read a temperature projection and say what it does and does not imply. The measurement that would matter is a set of tasks — interpreting a graph with a baseline, distinguishing weather from climate, recognising an attribution claim — administered before and after a course, and very few systems collect it. Italy’s programme is the most ambitious attempt to put the subject in front of every student; whether it produces understanding is still an open question, and the country that answers it will have done something more useful than the one that copied the hours.</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(Roser &amp; Ortiz-Ospina, 2018).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 Table 14.1 compares the literacy indicators that can be measured across countries and shows how far the measurement itself is incomplete.</w:t>
      </w:r>
    </w:p>
    <w:p>
      <w:pPr>
        <w:keepNext/>
        <w:spacing w:before="160"/>
        <w:ind w:firstLine="0"/>
        <w:jc w:val="center"/>
      </w:pPr>
      <w:r>
        <w:rPr>
          <w:b/>
          <w:sz w:val="20"/>
        </w:rPr>
        <w:t>Table 14.1 Climate education indicators, 2050</w:t>
      </w:r>
    </w:p>
    <w:p>
      <w:pPr>
        <w:keepNext/>
        <w:spacing w:before="20"/>
        <w:ind w:firstLine="0"/>
        <w:jc w:val="left"/>
      </w:pPr>
      <w:r>
        <w:rPr>
          <w:i/>
          <w:sz w:val="17"/>
        </w:rPr>
        <w:t>Source: compiled by the author from UNESCO (2021) and Yale Program on Climate Change Communication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r>
        <w:t>Education is the slowest lever in the book, so its predictions are about generations rather than years. The claim is that climate literacy improves where curricula change and teachers are trained, and stagnates where a mandate is issued without either; by 2035 the gap between countries that trained teachers and those that only added hours should be visible in what students can do rather than in what they have heard. The assumption is that assessment eventually follows the curriculum. If measured literacy rises just as fast in countries that added no teacher training, this chapter overstates the constraint. Watch school days lost to hazards, the share of national curricula that mention climate, and the share of teachers trained to teach it.</w:t>
      </w:r>
    </w:p>
    <w:p>
      <w:r>
        <w:t>When schools close, learning does not pause; it moves to the households that can afford it. The sequence is: publish a continuity plan before the season, with the lessons and the channel already agreed; make classrooms heat-safe, which usually means shade, fans and a roof that reflects rather than a new building; move the school and examination calendar into the cooler or drier weeks; and use the school as a shelter only when the shelter has water and a toilet. What not to do is to treat schooling as the last service to be restored, because the children who lose a year rarely get it back, and the poorest lose it first.</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(NOAA National Centers for Environmental Information, 2024).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 (WMO, 2025).</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(WMO, 2025).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(WMO, 2025).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 (IPCC, 2021).</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(Cook et al., 2013).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(Yale Program on Climate Change Communication, 2023).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(Lynas et al., 2021).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(Gigerenzer, 2015).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(NOAA National Centers for Environmental Information, 2024).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(Newman et al., 2024).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 Table 15.1 lists the information-environment indicators that distinguish a well-informed public from a misinformed one.</w:t>
      </w:r>
    </w:p>
    <w:p>
      <w:pPr>
        <w:keepNext/>
        <w:spacing w:before="160"/>
        <w:ind w:firstLine="0"/>
        <w:jc w:val="center"/>
      </w:pPr>
      <w:r>
        <w:rPr>
          <w:b/>
          <w:sz w:val="20"/>
        </w:rPr>
        <w:t>Table 15.1 Information environment indicators, 2050</w:t>
      </w:r>
    </w:p>
    <w:p>
      <w:pPr>
        <w:keepNext/>
        <w:spacing w:before="20"/>
        <w:ind w:firstLine="0"/>
        <w:jc w:val="left"/>
      </w:pPr>
      <w:r>
        <w:rPr>
          <w:i/>
          <w:sz w:val="17"/>
        </w:rPr>
        <w:t>Source: compiled by the author from WMO (2025) and Cook et al. (2013)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r>
        <w:t>The information chapter predicts a contest between evidence and volume, and the test is whether evidence holds. The claim is that the scientific consensus stays above ninety per cent while public belief moves independently of it, so that the gap between expert agreement and public certainty is the number that matters; synthetic text and images should make the volume of false claims rise faster than the volume of corrections through the 2030s. The assumption is that platform policy changes slowly and that no labelling regime becomes mandatory. If public certainty converges on the expert consensus without any change in policy, this chapter’s model of the information environment is wrong. The measurable version: the consensus should stay above 90 per cent of papers through 2035, continuing the level that reviews of 2012–2020 already put above 99 per cent (Lynas et al., 2021), while the share of adults who name climate as a top national concern should move less than five points over the same period despite the increase in extreme events. Watch the consensus studies, survey measures of belief, and the correction rate on major platforms.</w:t>
      </w:r>
    </w:p>
    <w:p>
      <w:r>
        <w:t>During an event, the agency that issues the warning has to get the correction out before the rumour does. The sequence is: pre-bunk the claims the record shows will appear, in the same language and on the same channel; name one authority and one number that people can check; staff a correction desk that answers within hours, with the source attached; and keep an escalation contact at the platform, so that a false evacuation order can be removed while it still matters. What not to do is to answer a viral falsehood with a long rebuttal, because the rebuttal repeats the claim and reaches fewer people than the lie.</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 (FERC &amp; NERC, 2021).</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(Sphere Association, 2018).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(Sphere Association, 2018).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(Sphere Association, 2018).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(Brunkard et al., 2008).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Counting deaths after a disaster of this kind is a political act as much as a statistical one, and the Puerto Rican case is the clearest demonstration. The initial official count was produced from death certificates that named a cause and did not attribute it to the storm; the revised estimate came from comparing the number of deaths recorded in the months after the event with the number expected from previous years, which is the standard method in epidemiology and the one that counts deaths from interrupted care. The difference between the two numbers is not an error to be corrected but a definition to be chosen, and the choice has consequences: compensation, federal aid and the public memory of the event all follow the count. What the episode teaches is that a death toll is an argument with a method attached, and that the method should be stated whenever the number is used.</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What the island shows is that a household’s margin is not a personal quality. The families who came through the first week had a relative with a car, a savings balance, a prescription history that could be refilled elsewhere, or a neighbour with a generator; the families who did not were not less prudent, they were less connected. That is why preparedness campaigns built on the image of the self-reliant household mislead: the unit that survives is the network, and the network is built before the storm by the ordinary business of belonging to a street, a church, a union or a family that lives close by. The policy implication runs against the individualist grain of most advice literature: the most effective investment is not a better kit but a register of who lives alone, who needs power for a medical device, and who has a key to the neighbour’s flat.</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(Kishore et al., 2018).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 Table 16.1 sets out household preparedness hazard by hazard, from what most households have to what the evidence says saves lives.</w:t>
      </w:r>
    </w:p>
    <w:p>
      <w:pPr>
        <w:keepNext/>
        <w:spacing w:before="160"/>
        <w:ind w:firstLine="0"/>
        <w:jc w:val="center"/>
      </w:pPr>
      <w:r>
        <w:rPr>
          <w:b/>
          <w:sz w:val="20"/>
        </w:rPr>
        <w:t>Table 16.1 Household preparedness by hazard</w:t>
      </w:r>
    </w:p>
    <w:p>
      <w:pPr>
        <w:keepNext/>
        <w:spacing w:before="20"/>
        <w:ind w:firstLine="0"/>
        <w:jc w:val="left"/>
      </w:pPr>
      <w:r>
        <w:rPr>
          <w:i/>
          <w:sz w:val="17"/>
        </w:rPr>
        <w:t>Source: compiled by the author from IFRC (2022) and Sphere Association (2018)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r>
        <w:t>Household preparedness is measurable and therefore falsifiable, which is rare in this book. The claim is that the difference between households that cope and households that do not is concentrated in three things — stored water, documents and a contact plan — and that the share of households meeting the seventy-two-hour standard rises only where governments or employers pay for it; by 2035 that share should still be below half in most of the cities discussed here. The assumption is that no country makes preparedness compulsory. If the standard is widely met without subsidy or requirement, this chapter’s account of household behaviour is wrong. Watch the share of households with three days of water, the share with documents copied, and the share that received a warning they understood.</w:t>
      </w:r>
    </w:p>
    <w:p>
      <w:r>
        <w:t>When a warning is issued, a household buys preparedness in a fixed order, and the order follows what cannot be improvised. The sequence is: store drinking water and the means to purify more; put the documents, the medicines and the cash where a person can carry them; agree a meeting point and a contact outside the area, and write them on paper because the phone may be dead; then add the torch, the radio and the power bank; and only after that buy the equipment that looks like preparedness. Practise the plan once, in the dark, with the water shut off. What not to do is to buy gear that cannot be carried or used without instructions, because a household reading a manual during the event has not prepared.</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(WHO, 2023).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(Hess et al., 2018).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(WHO, 2023).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What changed after 2003 was less the science than the machinery of response. France created a national heat plan with a four-level alert, a register of isolated elderly residents held by municipalities, and a public obligation on hospitals to report emergency admissions daily; other European countries built versions of the same architecture, and the European monitoring system that now publishes weekly excess mortality by region dates from this period. The plan works because it converts a meteorological forecast into named actions for named institutions, which is the definition of preparedness used throughout this book. It also has a known limit, visible in every subsequent season: a register counts the people who are already known to the social services, and the people who die in a heatwave are disproportionately the ones who were not.</w:t>
      </w:r>
    </w:p>
    <w:p>
      <w:r>
        <w:t>The institutional failure was not a missing warning but a missing register. Municipalities that had lists of vulnerable residents telephoned them, and the calls worked: the French plan counts thousands of checks each summer and credits them with part of the fall in mortality per degree of heat. Municipalities without lists relied on neighbours, and neighbours were often away in August, which is precisely the month when the risk peaks and when the social fabric of a city is at its thinnest. The lesson has been absorbed unevenly: heat plans now exist almost everywhere in Europe, and the quality of the register — how it is built, how often it is updated, whether people consent to be on it — varies more than the plans themselves. A plan without a register is a document; a register without a drill is a list.</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 Table 17.1 translates adaptation into health outcomes, with the annual excess heat deaths implied by each level of investment; Figure 17.1 plots the same three paths against a common baseline.</w:t>
      </w:r>
    </w:p>
    <w:p>
      <w:pPr>
        <w:keepNext/>
        <w:spacing w:before="160"/>
        <w:ind w:firstLine="0"/>
        <w:jc w:val="center"/>
      </w:pPr>
      <w:r>
        <w:rPr>
          <w:b/>
          <w:sz w:val="20"/>
        </w:rPr>
        <w:t>Table 17.1 Health system indicators, 2050</w:t>
      </w:r>
    </w:p>
    <w:p>
      <w:pPr>
        <w:keepNext/>
        <w:spacing w:before="20"/>
        <w:ind w:firstLine="0"/>
        <w:jc w:val="left"/>
      </w:pPr>
      <w:r>
        <w:rPr>
          <w:i/>
          <w:sz w:val="17"/>
        </w:rPr>
        <w:t>Source: compiled by the author from WHO (2023) and Robine et al.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~735,000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~245,000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35,000 deaths with low adaptation, 500,000 with current trends, 245,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 The baseline behind it is the WHO estimate of about 489,000 heat-related deaths a year for 2000–2019 (WHO, 2023): the current-trends column sits almost exactly on that baseline, the low-adaptation column stands about 50 % above it, and the high-adaptation column about half below it — the same band Table 9.1 reports for 2 °C without additional adaptation.</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r>
        <w:t>Health systems fail quietly before they fail visibly, so the test is set on the quiet indicators. The claim is that excess deaths in heat and flood events track the resilience of the receiving system rather than the severity of the hazard: hospitals with on-site power and staff trained in surge protocols should record lower mortality in comparable events, and the gap between the best and worst prepared systems should widen through the 2030s. The assumption is that health spending grows roughly with national income. If mortality in well-prepared systems rises as fast as in unprepared ones, the adaptation argument in this chapter fails. Watch facility power reliability, the share of the population covered by essential services, and excess mortality in event seasons.</w:t>
      </w:r>
    </w:p>
    <w:p>
      <w:r>
        <w:t>A health system fails quietly, through the cold chain, the generator and the rota. The sequence is: test the backup power under load and keep fuel for the days when the road is closed; protect the vaccine and medicine cold chain with an alarm that someone is paid to answer; write the staff rota for the surge, including the people who will not come because their own homes are flooded; and agree the referral route to a facility that is still working. What not to do is to assume that a hospital with a generator has power, because a generator that has never been tested is a tank of diesel and a hope.</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 (Kreienkamp et al., 2021).</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(CRED, 2023).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 (CRED, 2023).</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The warning performance in the Ahr valley is the part that transfers. Rainfall forecasts were broadly correct and were issued in time, and people still died in their basements, because a forecast becomes protective action only through a chain that includes a trusted source, a message that names the place and the action, and a decision made before the water arrives (Lindell &amp; Perry, 2012). Where the chain held, in villages whose fire brigades had drilled and whose mayors knew which cellars were used as bedrooms, people moved upstairs early. Where it broke, the message arrived as weather rather than as instruction. The remedy is not a louder siren but a shorter chain: warnings issued by the body that will carry out the rescue, in the language of the street rather than of the catchment, and rehearsed in the season when nothing is happening.</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 Table 18.1 compares governance indicators across the functions that determine whether a response holds.</w:t>
      </w:r>
    </w:p>
    <w:p>
      <w:pPr>
        <w:keepNext/>
        <w:spacing w:before="160"/>
        <w:ind w:firstLine="0"/>
        <w:jc w:val="center"/>
      </w:pPr>
      <w:r>
        <w:rPr>
          <w:b/>
          <w:sz w:val="20"/>
        </w:rPr>
        <w:t>Table 18.1 Governance indicators</w:t>
      </w:r>
    </w:p>
    <w:p>
      <w:pPr>
        <w:keepNext/>
        <w:spacing w:before="20"/>
        <w:ind w:firstLine="0"/>
        <w:jc w:val="left"/>
      </w:pPr>
      <w:r>
        <w:rPr>
          <w:i/>
          <w:sz w:val="17"/>
        </w:rPr>
        <w:t>Source: compiled by the author from UNDRR (2015) and Cutter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r>
        <w:t>Social capital is the hardest thing in this book to measure and the easiest to observe after an event. The claim is that recovery speed depends on the density of neighbourhood ties more than on the size of the aid budget, so that communities with organised mutual aid return to normal faster at equal damage; the comparison between the response to Hurricane Katrina and the Kerala floods is the reference case. The assumption is that no authority suppresses independent organisation. If recovery time tracks money alone, with no independent effect of association, this chapter’s central claim is wrong. The test is a comparison of two districts with similar damage and different levels of organisation: the better-organised one should restore water, power and schooling in about half the time, within 12 months rather than 24 months, and the gap should not disappear when incomes are held equal. Watch volunteer turnout, the number of active community organisations per district, and the time to restore services after an event.</w:t>
      </w:r>
    </w:p>
    <w:p>
      <w:r>
        <w:t>When the flood arrives, the organisations that already exist will do the work, so the time for the city to meet them is before it does. The sequence is: map the groups that already gather people, the mosque, the church, the union, the sports club and the neighbourhood watch, and write down who speaks for each; agree in advance what each will do, and test it in a drill that costs an afternoon; keep a register of volunteers with their skills and their vehicles; and give the groups a small budget they can spend without writing a proposal. What not to do is to arrive after the disaster with a new committee, because a new committee has no trust and the old groups already hold the phone numbers.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consequence for planning is that the forecasts embedded in national energy plans are almost always too pessimistic, and the error compounds. A grid plan written in 2015 that assumed a slow decline in solar cost now contains an overbuilt allowance for generation that never arrived and an underbuilt allowance for the transmission, storage and flexibility that the cheap panels require; the second error is the expensive one, because panels can be added in a year and a substation cannot. The same asymmetry appears in climate models that assume a slower transition than the market has delivered, which is why the more aggressive scenarios have repeatedly looked less unrealistic with time. The lesson is not that forecasts are useless but that a cost curve falling faster than expected transfers risk from generation to the network that connects it, and the network is the part with the longest lead time.</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(IRENA, 2023).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(IEA, 2023).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(IEA, 2023).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2.1 billion people still cook with solid fuels — wood, charcoal, dung, crop residue — in open fires or inefficient stoves (WHO, 2023b). The resulting household air pollution is estimated to cause about 2.9 million premature deaths a year, mostly among women and children, from respiratory disease, heart disease and stroke (WHO, 2023b).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2.1 billion people still cook with solid fuels or kerosene, and household air pollution from those fuels is associated with about 2.9 million premature deaths a year, disproportionately among women and children (WHO, 2023b).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2.1 billion people cook with solid fuels, and the smoke from those fires kills about 2.9 million people a year, mostly women and children, from respiratory and cardiovascular disease (WHO, 2023b).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(IRENA, 2023).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(IRENA, 2023).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The design is the lesson, and it is a lesson about institutions rather than technology. The programme worked because a state-owned infrastructure finance company set technical standards and refinanced loans, while microfinance institutions that already knew their borrowers collected the payments, and local technicians were certified to install and repair. That division of labour solved the three problems that kill off-grid programmes elsewhere: quality control, repayment and maintenance. It also created a boundary that the same programme later had to cross, when the price of grid-quality solar fell below what the subsidised systems cost and customers began to want appliances a small panel could not run. The institutional achievement and the institutional rigidity came from the same architecture, which is the pattern this book keeps finding: the arrangement that makes a programme possible is the arrangement that makes it hard to change.</w:t>
      </w:r>
    </w:p>
    <w:p>
      <w:r>
        <w:t>The Bangladeshi solar home system programme reached more than four million households, and the reason it reached them was a business model rather than a subsidy (IRENA, 2023).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2.1 billion lack clean cooking, while global energy demand continues to rise (IEA, 2023; WHO, 2023b).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 Table 19.1 tracks the clean-energy indicators and shows where the gap is now an integration problem rather than a cost problem.</w:t>
      </w:r>
    </w:p>
    <w:p>
      <w:pPr>
        <w:keepNext/>
        <w:spacing w:before="160"/>
        <w:ind w:firstLine="0"/>
        <w:jc w:val="center"/>
      </w:pPr>
      <w:r>
        <w:rPr>
          <w:b/>
          <w:sz w:val="20"/>
        </w:rPr>
        <w:t>Table 19.1 Clean energy indicators</w:t>
      </w:r>
    </w:p>
    <w:p>
      <w:pPr>
        <w:keepNext/>
        <w:spacing w:before="20"/>
        <w:ind w:firstLine="0"/>
        <w:jc w:val="left"/>
      </w:pPr>
      <w:r>
        <w:rPr>
          <w:i/>
          <w:sz w:val="17"/>
        </w:rPr>
        <w:t>Source: compiled by the author from IRENA (2023) and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r>
        <w:t>Energy is the one arena where the direction of travel is nearly certain and the rate is not, so the test is about rate. The claim is that solar and wind keep growing faster than most official forecasts, that battery costs keep falling, and that access for the roughly 700 million people without electricity counted by the IEA (2023) improves slowly unless off-grid finance is subsidised; by 2035 solar should exceed the capacity assumed in today’s national plans. The assumption is that manufacturing capacity keeps expanding and that grid connection does not become the binding constraint. If deployment stalls while module prices fall, the barrier is institutional and this chapter has the wrong culprit. Watch annual capacity added, battery pack prices, and the access rate in sub-Saharan Africa.</w:t>
      </w:r>
    </w:p>
    <w:p>
      <w:r>
        <w:t>When the grid is the constraint, the response of the grid operator is flexibility, not another forecast. The sequence is: pay for demand response, so that load moves before the blackout; match storage to the service it provides, short duration for the evening peak and long duration for the windless week; protect the supply chain for the parts that are scarce; and keep the connection queue short, because a project that waits years for a grid offer is a project that does not exist. What not to do is to stake the plan on a single technology reaching a cost that the record has not yet shown.</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(WHO, 2023).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(Norris et al., 2002).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(Norris et al., 2002).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(Galea et al., 2005).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(Hickman et al., 2021).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(WHO, 2023).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(WHO, 2023).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(WHO, 2022).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What the book aims for is honest hope: the risk stated plainly, and alongside it a plain account of what can still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The Camp Fire is studied less for its ignition than for its evacuation, because it showed how a warning system and a road network can fail at the same moment. The town had few routes out, the fire moved faster than the modelling assumed, and the people who died were disproportionately those without a car, without a neighbour who could drive them, or without the mobility to leave a care home. Evacuation planning that counts vehicles therefore counts the wrong thing: the question is not how many cars can pass a junction per hour but how many residents would still be at home when the order comes. The lessons that transferred into building codes and vegetation management elsewhere came second; what came first, and what is still least often budgeted, is transport for the people who cannot self-evacuate and a register that tells responders where they are.</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 Table 20.1 sets out the mental-health indicators and the service coverage behind each one.</w:t>
      </w:r>
    </w:p>
    <w:p>
      <w:pPr>
        <w:keepNext/>
        <w:spacing w:before="160"/>
        <w:ind w:firstLine="0"/>
        <w:jc w:val="center"/>
      </w:pPr>
      <w:r>
        <w:rPr>
          <w:b/>
          <w:sz w:val="20"/>
        </w:rPr>
        <w:t>Table 20.1 Mental health indicators</w:t>
      </w:r>
    </w:p>
    <w:p>
      <w:pPr>
        <w:keepNext/>
        <w:spacing w:before="20"/>
        <w:ind w:firstLine="0"/>
        <w:jc w:val="left"/>
      </w:pPr>
      <w:r>
        <w:rPr>
          <w:i/>
          <w:sz w:val="17"/>
        </w:rPr>
        <w:t>Source: compiled by the author from WHO (2023) and Clayton (2020)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r>
        <w:t>Mental health predictions are usually too vague to test, so this one is tied to a number. The claim is that the treatment gap narrows only where mental health is integrated into primary care and disaster planning, and that climate anxiety among young people rises even where services improve, because it tracks the hazard rather than the treatment; by 2035 the workforce per hundred thousand should still be far below need in most of the countries discussed here. The assumption is that financing grows at the present rate. If measured distress falls while the hazard worsens and services do not expand, this chapter overstates the burden. The number to settle it is the treatment gap: it should narrow by no more than a quarter in the 10 years to 2035 in countries that do not integrate mental health into primary care, and by more than that where they do. Watch the treatment gap, mental health workers per hundred thousand, and the share of disaster plans that include psychosocial support.</w:t>
      </w:r>
    </w:p>
    <w:p>
      <w:r>
        <w:t>Distress after a disaster is normal, and the response should be ordinary too. The sequence is: train the people already in the room, the teachers, the clinic staff and the volunteers, in psychological first aid, which is listening and practical help rather than therapy; screen in primary care, so that a person who comes for a cough can be asked about sleep; keep the community workers paid, because the service collapses when the volunteer goes home; and protect the helpers, who carry the same loss as the people they serve. What not to do is to wait for a specialist service that will arrive after the need has become chronic.</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(Friedlingstein et al., 2024).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(Friedlingstein et al., 2024). Africa accounts for less than 4 per cent (Friedlingstein et al., 2024).</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(Friedlingstein et al., 2024).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(UNEP, 2023).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(Urgenda Foundation, 2019).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(UNEP, 2023b).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(ILO, 2019).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(Stern, 2007).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 (UNEP, 2023).</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 Table 21.1 compares the justice indicators and the instruments that move each of them.</w:t>
      </w:r>
    </w:p>
    <w:p>
      <w:pPr>
        <w:keepNext/>
        <w:spacing w:before="160"/>
        <w:ind w:firstLine="0"/>
        <w:jc w:val="center"/>
      </w:pPr>
      <w:r>
        <w:rPr>
          <w:b/>
          <w:sz w:val="20"/>
        </w:rPr>
        <w:t>Table 21.1 Climate justice indicators</w:t>
      </w:r>
    </w:p>
    <w:p>
      <w:pPr>
        <w:keepNext/>
        <w:spacing w:before="20"/>
        <w:ind w:firstLine="0"/>
        <w:jc w:val="left"/>
      </w:pPr>
      <w:r>
        <w:rPr>
          <w:i/>
          <w:sz w:val="17"/>
        </w:rPr>
        <w:t>Source: compiled by the author from UNEP (2023) and Schlosberg (2007)</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r>
        <w:t>Justice is the arena where prediction is a political statement, so this chapter commits to measurements rather than outcomes. The claim is that litigation and loss-and-damage finance grow faster than mitigation ambition, that the number of climate cases keeps rising through the 2030s, and that the funds pledged remain small relative to assessed needs; the ratio of pledged to assessed loss and damage should stay below a tenth through this decade. The assumption is that no binding liability regime is created. If pledged finance approaches assessed needs while litigation declines, then this chapter is wrong about the direction of the regime. The checkable ratio is disbursed loss-and-damage finance against assessed needs: it should stay below one part in ten through 2035 while the case count keeps rising past two thousand filings. Watch the case count, the disbursed share of pledged funds, and the per-capita allocation of the remaining carbon budget.</w:t>
      </w:r>
    </w:p>
    <w:p>
      <w:r>
        <w:t>When a disaster is declared, justice is measured at the point of disbursement, not at the pledge. The sequence is: release money against a pre-agreed trigger, without a project proposal that the affected government cannot write; channel it to the local level, where the clinic and the water authority can spend it; treat the debt at the same time, because a country servicing its loans cannot also rebuild; and publish the allocation, so that the next pledge can be compared with the last. What not to do is to build a new fund that takes years to become operational, because a fund that opens after the emergency has already moved the cost onto the household.</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(BC Coroners Service, 2022).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The pattern of death in a temperate heatwave is a housing story. In cities built to retain heat, flats without cooling become ovens by the second night, and the people inside them are usually older, often living alone, and often without the habit of thinking of heat as dangerous, because in this climate it never was. That is why the warning that works here is not a temperature threshold but a knock on the door: the coroners’ reviews of these events consistently find that social isolation predicted death better than any medical condition, and that the interventions which reached people were the ones delivered by a named person with a reason to call. The implication for cities in cooler climates is uncomfortable, because it means that air conditioning is necessary and insufficient: it protects those who have it, and it raises the outdoor temperature for those who do not.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(CAL FIRE, 2019).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(CIFFC, 2023).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 (CRED, 2023).</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a dozen people, many of them poor residents living in the cheapest housing (CRED, 2023).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(CRED, 2023).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Lytton matters for what happened after the record, because a place that survives the heat can still be unmade by what follows. The village burned the next day, and the reconstruction that followed became an argument about whether to rebuild on the same footprint, on higher ground, or not at all, in a country wealthy enough to choose and slow enough that the choice was still open years later. That sequence — heat, fire, then a planning dispute — is the pattern this chapter has described for poorer places, and its appearance in British Columbia is a reminder that wealth buys options rather than immunity. The attribution work mattered here as it does everywhere: establishing that the heat dome was made far more likely by warming converted a local disaster into a national argument about preparedness, which is the only route by which a record becomes a policy.</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 (BC Coroners Service, 2022).</w:t>
      </w:r>
    </w:p>
    <w:p>
      <w:r>
        <w:t>Lytton burned two days later, when a wind-driven fire ran through the village and left most of it in ashes.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 Table 22.1 places eight disasters side by side on the same five columns, so that the failures can be compared rather than described one at a time; Figure 22.1 plots the death tolls against one another.</w:t>
      </w:r>
    </w:p>
    <w:p>
      <w:pPr>
        <w:keepNext/>
        <w:spacing w:before="160"/>
        <w:ind w:firstLine="0"/>
        <w:jc w:val="center"/>
      </w:pPr>
      <w:r>
        <w:rPr>
          <w:b/>
          <w:sz w:val="20"/>
        </w:rPr>
        <w:t>Table 22.1 Comparative disaster cases</w:t>
      </w:r>
    </w:p>
    <w:p>
      <w:pPr>
        <w:keepNext/>
        <w:spacing w:before="20"/>
        <w:ind w:firstLine="0"/>
        <w:jc w:val="left"/>
      </w:pPr>
      <w:r>
        <w:rPr>
          <w:i/>
          <w:sz w:val="17"/>
        </w:rPr>
        <w:t>Source: compiled by the author from CRED (2023) and WMO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12+</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r>
        <w:t>Two conventions govern the death column, and they are not interchangeable. Most rows report deaths directly attributed to the event; Lytton 2021 reports the 619 heat deaths recorded across British Columbia that summer (BC Coroners Service, 2022), not deaths inside the village, because the fire destroyed the place before an exact local count could be made. The comparison is therefore of orders of magnitude, not of like with like — which is the reason the column is read in the chapter against what failed, not as a ranking.</w:t>
      </w:r>
    </w:p>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2 or more,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excess heat deaths for British Columbia in 2021; Seoul shows the reported count, which is a minimum.</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r>
        <w:t>The comparative chapters earn their place only if they yield a forecast, so here it is. The claim is that compound and cascading events, not single hazards, produce the largest losses in wealthy countries over the next two decades, and that deaths per event keep falling in places that invest in warning and social protection while rising in places that do not; the cases assembled here — Texas, Lytton, the Ahr valley, Seoul, Camp Fire — should be read as the templates rather than the outliers. The assumption is that no single event exceeds the design limits of a nuclear or dam facility. If the largest losses come from single-hazard events with no cascade, the framing here is wrong. The testable pattern is that at least half of the ten costliest events of the next decade should involve two or more systems failing together, and that deaths per event should keep falling in countries that score well on the readiness measures in Chapter 24. Watch the count of billion-dollar events, deaths per event, and recovery time to pre-disaster service levels.</w:t>
      </w:r>
    </w:p>
    <w:p>
      <w:r>
        <w:t>When the next flood arrives, a comparison between cities is useful only if it changes the order of their work. The sequence is: warnings and drills first, because they are cheap and they buy the hours in which everything else is decided; heat plans and cooling rooms second, because heat kills more quietly than flood; water storage and drainage third, because they fail in the same storm; and sea walls, grid upgrades and large structures last, because they take a decade and protect less per unit of money. What not to do is to open with the structure that photographs best, because the city that survives is the one that rehearsed.</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across southern Somalia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(IPC Global Support Unit, 2021).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(CRED, 2023).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(Sen, 1981).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death toll from 2011 is an estimate from retrospective surveys, and how it was produced matters for how it should be used. Teams returned to affected settlements, asked households about deaths in the previous year, and scaled the answers to the population, a method that produces a range rather than a count and that depends on the recall of the people who survived. That is why the published figure carries an uncertainty band wide enough to contain both the number usually quoted and a substantially larger one, and why it is more honest to say about a quarter of a million than to quote the digits. The same method applied to 2022 produced a much smaller estimate, and the comparison between the two is the clearest evidence available that earlier money changes the arithmetic of death.</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The determining variable was access, and access is negotiated before the crisis rather than during it. In 2011 the areas worst affected were controlled by an armed group that restricted humanitarian agencies, and the agencies that could reach them were few and poorly funded; by the time the declaration changed the funding calculations, the harvest had failed, the herds had been sold and the population had already begun to move. The reforms that followed were built around that lesson: agreements with local authorities and community leaders in advance, delivery through organisations that live in the area rather than fly into it, and cash that can be spent through existing markets instead of food that must be shipped. None of it removes the political problem of negotiating with armed actors, and all of it shortens the distance between a warning and a payment.</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(WHO, 2023).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(Gleick, 2023).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(Gleick, 2023).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(Gleick, 2023).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What makes the Somali famine a case for this chapter is that the warning worked and the response did not. Early warning systems flagged the failure of the rains, the food security classification moved through its phases, and the declaration of famine came months after the evidence did, because the classification requires thresholds that are met only when the crisis is already advanced and because the agencies operating in the area could not reach the people who needed help. The lesson is not that prediction is impossible but that a prediction without access changes nothing; it also explains why the response architecture built afterwards has emphasised anticipatory finance, released against forecasts rather than starvation, and negotiated access before the emergency rather than during it.</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 (FAO, 2022).</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 Table 23.1 does the same for slow-onset crises, where the outcome column records mortality, displacement or epidemic disease as the case allows; Figure 23.1 plots the losses on a logarithmic scale so that crises a thousand times apart can share one chart.</w:t>
      </w:r>
    </w:p>
    <w:p>
      <w:pPr>
        <w:keepNext/>
        <w:spacing w:before="160"/>
        <w:ind w:firstLine="0"/>
        <w:jc w:val="center"/>
      </w:pPr>
      <w:r>
        <w:rPr>
          <w:b/>
          <w:sz w:val="20"/>
        </w:rPr>
        <w:t>Table 23.1 Slow-onset cases</w:t>
      </w:r>
    </w:p>
    <w:p>
      <w:pPr>
        <w:keepNext/>
        <w:spacing w:before="20"/>
        <w:ind w:firstLine="0"/>
        <w:jc w:val="left"/>
      </w:pPr>
      <w:r>
        <w:rPr>
          <w:i/>
          <w:sz w:val="17"/>
        </w:rPr>
        <w:t>Source: compiled by the author from CRED (2023)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Outcome</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Mass 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 epidemic</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 deaths recorded</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 deaths recorded</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that row records displacement rather than mortality.</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r>
        <w:t>Slow-onset crises are the ones where early warning has the most value and the least political reward, so the test is about timing. The claim is that famine declarations keep arriving after the evidence, as in Somalia in 2011, and that the gap between the first warning and the first large payment narrows only where finance is pre-arranged; by 2035 anticipatory disbursement should exceed post-declaration appeals in the countries that adopted it in this decade. The assumption is that access to contested areas can be negotiated in advance. If declarations come before the crisis peaks in countries without pre-arranged finance, this chapter overstates the institutional obstacle. The measurable version is the lag itself: the median gap between the first warning and the first large disbursement should fall below three months where finance is pre-arranged, and stay above nine months where it is not. Watch IPC phase populations, the date of the first anticipatory payment, and the price of the local staple.</w:t>
      </w:r>
    </w:p>
    <w:p>
      <w:r>
        <w:t>When a slow crisis begins, it rewards the decision taken before the peak, which is why the agency that will pay has to write the trigger in advance. The sequence is: agree the trigger with the agency that will pay — a rainfall figure, a pasture index, a price — and publish it; release cash to households before the harvest fails, so that they do not sell the animals that would have carried them through; negotiate access to the contested district before the emergency turns access into a bargaining chip; and keep the market and the movement of people open. What not to do is to wait for the declaration, because the declaration follows the evidence, and the evidence follows the hunger.</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(CRED, 2023).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 (CRED, 2023).</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Small firms are where continuity planning fails, and the failure is structural rather than negligent. A hospital, a utility or an airport has a continuity department because regulation or reputation requires one; a workshop with nine employees has an owner who is also the operations manager, and the plan that would protect the firm is a document nobody has time to write. The interventions that change this are collective rather than individual: business improvement districts that share a generator, chambers of commerce that keep a register of relocation space, insurers that price a plan into the premium, and municipalities that pre-approve permits so a firm can reopen on a rented site within days. The lesson of every post-disaster survey is the same: firms that failed did so for lack of power, premises or working capital, not for lack of a binder of procedures.</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The geography explains the arithmetic. The Bay of Bengal is a funnel: the coastline curves inward, the continental shelf is shallow, and a storm surge pushed ahead of a cyclone has nowhere to spread and nothing to slow it, so a storm of moderate strength can raise water several metres over a delta that is only a metre or two above the sea. Add the timing of landfall at night, the absence of shelters, and a population living on islands of silt with no higher ground within reach, and the death toll becomes a property of the terrain rather than of the wind speed. That is also why the remedy worked as well as it did: when the same geography is met with raised shelters, volunteers with megaphones and a warning that arrives in daylight, the surge still comes and the deaths do not.</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 (CRED, 2023).</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The next fifty years will not repeat the last fifty, and the reason is physical. The preparedness that worked was calibrated to a distribution of storm surges that existed when the shelters were built; sea-level rise shifts that distribution upward, so a shelter raised to a standard that was adequate in 1990 becomes inadequate without anything about the shelter changing. The same logic applies to the warning system: a message that reaches a village in daylight assumes a population that knows where to go, and the villages are growing, the migration to coastal cities is accelerating, and the people arriving have not grown up with the drills. Maintaining the achievement therefore requires recalibrating it, which is the least glamorous task in this book and the one that separates a country that had a successful programme from a country that has one.</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 Table 24.1 sets out the priorities by horizon, from the actions due before the next event to those due before mid-century.</w:t>
      </w:r>
    </w:p>
    <w:p>
      <w:pPr>
        <w:keepNext/>
        <w:spacing w:before="160"/>
        <w:ind w:firstLine="0"/>
        <w:jc w:val="center"/>
      </w:pPr>
      <w:r>
        <w:rPr>
          <w:b/>
          <w:sz w:val="20"/>
        </w:rPr>
        <w:t>Table 24.1 Preparedness priorities by horizon</w:t>
      </w:r>
    </w:p>
    <w:p>
      <w:pPr>
        <w:keepNext/>
        <w:spacing w:before="20"/>
        <w:ind w:firstLine="0"/>
        <w:jc w:val="left"/>
      </w:pPr>
      <w:r>
        <w:rPr>
          <w:i/>
          <w:sz w:val="17"/>
        </w:rPr>
        <w:t>Source: compiled by the author from Hess et al. (2018) and CRED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r>
        <w:t>The final chapter turns prediction into a checklist, and a checklist has to be auditable. The claim is that the sequence — warnings, drills, heat plans, water storage, drainage maintenance and social protection before sea walls and grid upgrades — produces more protection per unit of money, and that countries following it should record falling deaths per event by 2040 while those that build first and prepare later do not. The assumption is that the cheap measures are actually maintained, which is the step most often skipped. If deaths per event fall fastest in countries that invested mainly in large infrastructure, the sequencing argument in this chapter is wrong. Watch deaths per event, the share of households meeting the seventy-two-hour standard, and the number of exercises conducted per year.</w:t>
      </w:r>
    </w:p>
    <w:p>
      <w:r>
        <w:t>The last chapter of this book is a checklist, and a checklist is used in order. When a warning arrives, the sequence is: check the water, the medicines and the documents; confirm the meeting point and the contact outside the area; look in on the two nearest households, especially anyone who lives alone; then decide whether to stay or to move, on the trigger agreed in advance rather than on the noise of the moment. After the event, record what failed and repair one thing before the next season. What not to do is to wait for certainty, because a warning is never certain, and the household that acts on a probable warning is the one that still has a home to return to.</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gap: The distance between the adaptation that is needed and the adaptation that is financed and delivered.</w:t>
      </w:r>
    </w:p>
    <w:p>
      <w:pPr>
        <w:ind w:firstLine="0" w:left="454"/>
        <w:jc w:val="left"/>
      </w:pPr>
      <w:r>
        <w:t>• Adaptation: Adjusting to actual or expected climate impacts in order to reduce harm or exploit a benign opportunity.</w:t>
      </w:r>
    </w:p>
    <w:p>
      <w:pPr>
        <w:ind w:firstLine="0" w:left="454"/>
        <w:jc w:val="left"/>
      </w:pPr>
      <w:r>
        <w:t>• Adaptive capacity: The ability to adjust to climate change, determined by money, institutions, infrastructure and knowledge.</w:t>
      </w:r>
    </w:p>
    <w:p>
      <w:pPr>
        <w:ind w:firstLine="0" w:left="454"/>
        <w:jc w:val="left"/>
      </w:pPr>
      <w:r>
        <w:t>• Aerosol: Fine particles suspended in the atmosphere. Most reflect sunlight and cool the surface, masking part of greenhouse warming.</w:t>
      </w:r>
    </w:p>
    <w:p>
      <w:pPr>
        <w:ind w:firstLine="0" w:left="454"/>
        <w:jc w:val="left"/>
      </w:pPr>
      <w:r>
        <w:t>• Albedo: The share of incoming sunlight a surface reflects. Snow and ice reflect most; open ocean and dark rock reflect least.</w:t>
      </w:r>
    </w:p>
    <w:p>
      <w:pPr>
        <w:ind w:firstLine="0" w:left="454"/>
        <w:jc w:val="left"/>
      </w:pPr>
      <w:r>
        <w:t>• AMOC: The Atlantic Meridional Overturning Circulation, the ocean conveyor that carries heat northwards and helps stabilise the European climate.</w:t>
      </w:r>
    </w:p>
    <w:p>
      <w:pPr>
        <w:ind w:firstLine="0" w:left="454"/>
        <w:jc w:val="left"/>
      </w:pPr>
      <w:r>
        <w:t>• Attribution: The method for estimating how much climate change raised the probability or the severity of a specific event.</w:t>
      </w:r>
    </w:p>
    <w:p>
      <w:pPr>
        <w:ind w:firstLine="0" w:left="454"/>
        <w:jc w:val="left"/>
      </w:pPr>
      <w:r>
        <w:t>• Blue carbon: Carbon stored in mangroves, seagrasses and salt marshes, both in the plants and in the waterlogged sediment beneath them.</w:t>
      </w:r>
    </w:p>
    <w:p>
      <w:pPr>
        <w:ind w:firstLine="0" w:left="454"/>
        <w:jc w:val="left"/>
      </w:pPr>
      <w:r>
        <w:t>• Carbon budget: The cumulative carbon dioxide that can still be emitted while holding warming below a stated level.</w:t>
      </w:r>
    </w:p>
    <w:p>
      <w:pPr>
        <w:ind w:firstLine="0" w:left="454"/>
        <w:jc w:val="left"/>
      </w:pPr>
      <w:r>
        <w:t>• Carbon dioxide removal: Deliberately taking carbon dioxide out of the atmosphere and storing it in trees, soils, rocks or engineered facilities.</w:t>
      </w:r>
    </w:p>
    <w:p>
      <w:pPr>
        <w:ind w:firstLine="0" w:left="454"/>
        <w:jc w:val="left"/>
      </w:pPr>
      <w:r>
        <w:t>• Carbon footprint: The total greenhouse gas emissions attributable to a person, product, organisation or activity.</w:t>
      </w:r>
    </w:p>
    <w:p>
      <w:pPr>
        <w:ind w:firstLine="0" w:left="454"/>
        <w:jc w:val="left"/>
      </w:pPr>
      <w:r>
        <w:t>• Carbon price: A charge or tradable price on emissions, designed to make the polluter bear the cost of the damage.</w:t>
      </w:r>
    </w:p>
    <w:p>
      <w:pPr>
        <w:ind w:firstLine="0" w:left="454"/>
        <w:jc w:val="left"/>
      </w:pPr>
      <w:r>
        <w:t>• Climate finance: Public or private money directed at mitigation and adaptation, including the multilateral funds and the pledges made at the annual negotiations.</w:t>
      </w:r>
    </w:p>
    <w:p>
      <w:pPr>
        <w:ind w:firstLine="0" w:left="454"/>
        <w:jc w:val="left"/>
      </w:pPr>
      <w:r>
        <w:t>• Climate justice: The claim that those least responsible for emissions, and least able to adapt, should not carry the burden of both.</w:t>
      </w:r>
    </w:p>
    <w:p>
      <w:pPr>
        <w:ind w:firstLine="0" w:left="454"/>
        <w:jc w:val="left"/>
      </w:pPr>
      <w:r>
        <w:t>• Climate literacy: The knowledge and skills needed to read climate information, judge its reliability and act on it.</w:t>
      </w:r>
    </w:p>
    <w:p>
      <w:pPr>
        <w:ind w:firstLine="0" w:left="454"/>
        <w:jc w:val="left"/>
      </w:pPr>
      <w:r>
        <w:t>• Co-benefit: A benefit of a climate policy that is not about climate, such as cleaner air, cheaper energy or quieter streets.</w:t>
      </w:r>
    </w:p>
    <w:p>
      <w:pPr>
        <w:ind w:firstLine="0" w:left="454"/>
        <w:jc w:val="left"/>
      </w:pPr>
      <w:r>
        <w:t>• Committed warming: Warming already locked in by past emissions, which will occur even if emissions stop today.</w:t>
      </w:r>
    </w:p>
    <w:p>
      <w:pPr>
        <w:ind w:firstLine="0" w:left="454"/>
        <w:jc w:val="left"/>
      </w:pPr>
      <w:r>
        <w:t>• Compound event: Two or more hazards, or a hazard and an exposure, occurring together or in sequence so that the combined effect is worse than the sum of the parts.</w:t>
      </w:r>
    </w:p>
    <w:p>
      <w:pPr>
        <w:ind w:firstLine="0" w:left="454"/>
        <w:jc w:val="left"/>
      </w:pPr>
      <w:r>
        <w:t>• COP: Conference of the Parties, the annual meeting of the countries that signed the UN Framework Convention on Climate Change.</w:t>
      </w:r>
    </w:p>
    <w:p>
      <w:pPr>
        <w:ind w:firstLine="0" w:left="454"/>
        <w:jc w:val="left"/>
      </w:pPr>
      <w:r>
        <w:t>• Cryosphere: The frozen part of the Earth system: glaciers, ice sheets, sea ice, permafrost and snow.</w:t>
      </w:r>
    </w:p>
    <w:p>
      <w:pPr>
        <w:ind w:firstLine="0" w:left="454"/>
        <w:jc w:val="left"/>
      </w:pPr>
      <w:r>
        <w:t>• Deforestation: The permanent loss of forest cover, usually to agriculture, which releases carbon and dries the surrounding landscape.</w:t>
      </w:r>
    </w:p>
    <w:p>
      <w:pPr>
        <w:ind w:firstLine="0" w:left="454"/>
        <w:jc w:val="left"/>
      </w:pPr>
      <w:r>
        <w:t>• Disaster risk reduction: Policy and practice that lowers exposure and vulnerability before an event, instead of responding after it.</w:t>
      </w:r>
    </w:p>
    <w:p>
      <w:pPr>
        <w:ind w:firstLine="0" w:left="454"/>
        <w:jc w:val="left"/>
      </w:pPr>
      <w:r>
        <w:t>• Downscaling: Translating global model output into local or regional detail fine enough for planning decisions.</w:t>
      </w:r>
    </w:p>
    <w:p>
      <w:pPr>
        <w:ind w:firstLine="0" w:left="454"/>
        <w:jc w:val="left"/>
      </w:pPr>
      <w:r>
        <w:t>• Drought: A sustained water deficit, defined meteorologically (rainfall), hydrologically (rivers and groundwater) or agriculturally (soil moisture).</w:t>
      </w:r>
    </w:p>
    <w:p>
      <w:pPr>
        <w:ind w:firstLine="0" w:left="454"/>
        <w:jc w:val="left"/>
      </w:pPr>
      <w:r>
        <w:t>• El Niño / La Niña: The periodic warming and cooling of the tropical Pacific that shifts rainfall and temperature across the world.</w:t>
      </w:r>
    </w:p>
    <w:p>
      <w:pPr>
        <w:ind w:firstLine="0" w:left="454"/>
        <w:jc w:val="left"/>
      </w:pPr>
      <w:r>
        <w:t>• Emission scenario: A quantified storyline of future emissions. The SSPs combine socioeconomic assumptions with levels of radiative forcing.</w:t>
      </w:r>
    </w:p>
    <w:p>
      <w:pPr>
        <w:ind w:firstLine="0" w:left="454"/>
        <w:jc w:val="left"/>
      </w:pPr>
      <w:r>
        <w:t>• ENSO: The El Niño–Southern Oscillation, the coupled ocean–atmosphere cycle that produces El Niño and La Niña.</w:t>
      </w:r>
    </w:p>
    <w:p>
      <w:pPr>
        <w:ind w:firstLine="0" w:left="454"/>
        <w:jc w:val="left"/>
      </w:pPr>
      <w:r>
        <w:t>• Evapotranspiration: Water lost from soil and vegetation to the atmosphere. It rises with temperature, which dries land further.</w:t>
      </w:r>
    </w:p>
    <w:p>
      <w:pPr>
        <w:ind w:firstLine="0" w:left="454"/>
        <w:jc w:val="left"/>
      </w:pPr>
      <w:r>
        <w:t>• Exposure: The presence of people, livelihoods or assets in places and conditions where hazards can reach them.</w:t>
      </w:r>
    </w:p>
    <w:p>
      <w:pPr>
        <w:ind w:firstLine="0" w:left="454"/>
        <w:jc w:val="left"/>
      </w:pPr>
      <w:r>
        <w:t>• Extreme event: A value of a climate variable far outside the range historically observed at a given place.</w:t>
      </w:r>
    </w:p>
    <w:p>
      <w:pPr>
        <w:ind w:firstLine="0" w:left="454"/>
        <w:jc w:val="left"/>
      </w:pPr>
      <w:r>
        <w:t>• Feedback loop: A process in which warming triggers a change that causes more warming, such as permafrost thaw or the loss of reflective ice.</w:t>
      </w:r>
    </w:p>
    <w:p>
      <w:pPr>
        <w:ind w:firstLine="0" w:left="454"/>
        <w:jc w:val="left"/>
      </w:pPr>
      <w:r>
        <w:t>• Flood return period: The average interval between floods of a given size. A 1-in-100-year flood has a 1 % chance of occurring in any year.</w:t>
      </w:r>
    </w:p>
    <w:p>
      <w:pPr>
        <w:ind w:firstLine="0" w:left="454"/>
        <w:jc w:val="left"/>
      </w:pPr>
      <w:r>
        <w:t>• Food security: Reliable access to sufficient, safe and nutritious food, which depends on availability, access, use and stability at once.</w:t>
      </w:r>
    </w:p>
    <w:p>
      <w:pPr>
        <w:ind w:firstLine="0" w:left="454"/>
        <w:jc w:val="left"/>
      </w:pPr>
      <w:r>
        <w:t>• Fossil fuel subsidy: Government support that lowers the cost of producing or consuming coal, oil or gas, whether through direct payment or tax treatment.</w:t>
      </w:r>
    </w:p>
    <w:p>
      <w:pPr>
        <w:ind w:firstLine="0" w:left="454"/>
        <w:jc w:val="left"/>
      </w:pPr>
      <w:r>
        <w:t>• Greenhouse effect: The trapping of outgoing heat by gases in the atmosphere, which keeps the surface warmer than it would otherwise be.</w:t>
      </w:r>
    </w:p>
    <w:p>
      <w:pPr>
        <w:ind w:firstLine="0" w:left="454"/>
        <w:jc w:val="left"/>
      </w:pPr>
      <w:r>
        <w:t>• Grid resilience: The capacity of an electricity network to keep supplying, or to restore supply quickly, through a shock.</w:t>
      </w:r>
    </w:p>
    <w:p>
      <w:pPr>
        <w:ind w:firstLine="0" w:left="454"/>
        <w:jc w:val="left"/>
      </w:pPr>
      <w:r>
        <w:t>• Heat action plan: A set of temperature triggers and pre-agreed responses, from warnings to cooling centres, that activates when thresholds are crossed.</w:t>
      </w:r>
    </w:p>
    <w:p>
      <w:pPr>
        <w:ind w:firstLine="0" w:left="454"/>
        <w:jc w:val="left"/>
      </w:pPr>
      <w:r>
        <w:t>• Heat island: The tendency of built-up areas to run hotter than the surrounding countryside, because surfaces store heat and vegetation is scarce.</w:t>
      </w:r>
    </w:p>
    <w:p>
      <w:pPr>
        <w:ind w:firstLine="0" w:left="454"/>
        <w:jc w:val="left"/>
      </w:pPr>
      <w:r>
        <w:t>• Internal migration: Movement within a country’s own borders, as distinct from cross-border displacement or refugee movement.</w:t>
      </w:r>
    </w:p>
    <w:p>
      <w:pPr>
        <w:ind w:firstLine="0" w:left="454"/>
        <w:jc w:val="left"/>
      </w:pPr>
      <w:r>
        <w:t>• IPCC: The Intergovernmental Panel on Climate Change, the body that assesses published climate science for governments.</w:t>
      </w:r>
    </w:p>
    <w:p>
      <w:pPr>
        <w:ind w:firstLine="0" w:left="454"/>
        <w:jc w:val="left"/>
      </w:pPr>
      <w:r>
        <w:t>• Land-use change: Conversion of land between uses, such as forest to pasture, which alters carbon storage, water cycling and albedo.</w:t>
      </w:r>
    </w:p>
    <w:p>
      <w:pPr>
        <w:ind w:firstLine="0" w:left="454"/>
        <w:jc w:val="left"/>
      </w:pPr>
      <w:r>
        <w:t>• Loss and damage: Harm from climate impacts that mitigation and adaptation cannot prevent, including permanent and irreversible loss.</w:t>
      </w:r>
    </w:p>
    <w:p>
      <w:pPr>
        <w:ind w:firstLine="0" w:left="454"/>
        <w:jc w:val="left"/>
      </w:pPr>
      <w:r>
        <w:t>• Maladaptation: An adaptation that reduces one risk while creating another, or that shifts harm onto a group less able to bear it.</w:t>
      </w:r>
    </w:p>
    <w:p>
      <w:pPr>
        <w:ind w:firstLine="0" w:left="454"/>
        <w:jc w:val="left"/>
      </w:pPr>
      <w:r>
        <w:t>• Mangrove: A salt-tolerant tree or shrub on tropical coasts that buffers storm surge and stores blue carbon in its sediment.</w:t>
      </w:r>
    </w:p>
    <w:p>
      <w:pPr>
        <w:ind w:firstLine="0" w:left="454"/>
        <w:jc w:val="left"/>
      </w:pPr>
      <w:r>
        <w:t>• Mitigation: Reducing greenhouse gas emissions, or enhancing the sinks that remove them.</w:t>
      </w:r>
    </w:p>
    <w:p>
      <w:pPr>
        <w:ind w:firstLine="0" w:left="454"/>
        <w:jc w:val="left"/>
      </w:pPr>
      <w:r>
        <w:t>• Nationally Determined Contribution: The emission pledge each country makes under the Paris Agreement, and revises every five years.</w:t>
      </w:r>
    </w:p>
    <w:p>
      <w:pPr>
        <w:ind w:firstLine="0" w:left="454"/>
        <w:jc w:val="left"/>
      </w:pPr>
      <w:r>
        <w:t>• Ocean acidification: The fall in seawater pH as the ocean absorbs carbon dioxide, which impairs shell-forming organisms and slows coral growth.</w:t>
      </w:r>
    </w:p>
    <w:p>
      <w:pPr>
        <w:ind w:firstLine="0" w:left="454"/>
        <w:jc w:val="left"/>
      </w:pPr>
      <w:r>
        <w:t>• Permafrost: Ground that stays frozen for two years or more. Thawing releases carbon and destabilises buildings, roads and pipelines.</w:t>
      </w:r>
    </w:p>
    <w:p>
      <w:pPr>
        <w:ind w:firstLine="0" w:left="454"/>
        <w:jc w:val="left"/>
      </w:pPr>
      <w:r>
        <w:t>• Phenology: The timing of seasonal biological events such as flowering, nesting or migration, which shifts as the climate warms.</w:t>
      </w:r>
    </w:p>
    <w:p>
      <w:pPr>
        <w:ind w:firstLine="0" w:left="454"/>
        <w:jc w:val="left"/>
      </w:pPr>
      <w:r>
        <w:t>• ppm and CO2e: Parts per million, used for atmospheric concentration. CO2-equivalent expresses the forcing of other gases in carbon dioxide terms.</w:t>
      </w:r>
    </w:p>
    <w:p>
      <w:pPr>
        <w:ind w:firstLine="0" w:left="454"/>
        <w:jc w:val="left"/>
      </w:pPr>
      <w:r>
        <w:t>• Radiative forcing: The change in the balance of incoming and outgoing energy at the top of the atmosphere, measured in watts per square metre.</w:t>
      </w:r>
    </w:p>
    <w:p>
      <w:pPr>
        <w:ind w:firstLine="0" w:left="454"/>
        <w:jc w:val="left"/>
      </w:pPr>
      <w:r>
        <w:t>• Relative sea level: The change in sea level measured at a particular coast, which combines global ocean rise with local subsidence or uplift.</w:t>
      </w:r>
    </w:p>
    <w:p>
      <w:pPr>
        <w:ind w:firstLine="0" w:left="454"/>
        <w:jc w:val="left"/>
      </w:pPr>
      <w:r>
        <w:t>• Representative Concentration Pathway: The earlier scenario framework, indexed by the radiative forcing reached by 2100.</w:t>
      </w:r>
    </w:p>
    <w:p>
      <w:pPr>
        <w:ind w:firstLine="0" w:left="454"/>
        <w:jc w:val="left"/>
      </w:pPr>
      <w:r>
        <w:t>• Resilience: The capacity to absorb a disturbance, reorganise and keep functioning.</w:t>
      </w:r>
    </w:p>
    <w:p>
      <w:pPr>
        <w:ind w:firstLine="0" w:left="454"/>
        <w:jc w:val="left"/>
      </w:pPr>
      <w:r>
        <w:t>• Sensitivity: The degree to which a system is affected, adversely or beneficially, by a given change in climate.</w:t>
      </w:r>
    </w:p>
    <w:p>
      <w:pPr>
        <w:ind w:firstLine="0" w:left="454"/>
        <w:jc w:val="left"/>
      </w:pPr>
      <w:r>
        <w:t>• Shared Socioeconomic Pathway: The current scenario framework, combining population and income assumptions with forcing levels.</w:t>
      </w:r>
    </w:p>
    <w:p>
      <w:pPr>
        <w:ind w:firstLine="0" w:left="454"/>
        <w:jc w:val="left"/>
      </w:pPr>
      <w:r>
        <w:t>• Solar radiation modification: Deliberately reflecting more sunlight, for example by injecting particles into the stratosphere. It lowers temperature without addressing the cause.</w:t>
      </w:r>
    </w:p>
    <w:p>
      <w:pPr>
        <w:ind w:firstLine="0" w:left="454"/>
        <w:jc w:val="left"/>
      </w:pPr>
      <w:r>
        <w:t>• Stranded asset: An investment that loses its value before it is paid off because policy or the market moves against it.</w:t>
      </w:r>
    </w:p>
    <w:p>
      <w:pPr>
        <w:ind w:firstLine="0" w:left="454"/>
        <w:jc w:val="left"/>
      </w:pPr>
      <w:r>
        <w:t>• Subsidence: The sinking of the land surface. In deltas it is often accelerated by groundwater extraction and by the weight of built structures.</w:t>
      </w:r>
    </w:p>
    <w:p>
      <w:pPr>
        <w:ind w:firstLine="0" w:left="454"/>
        <w:jc w:val="left"/>
      </w:pPr>
      <w:r>
        <w:t>• Tipping point: A threshold beyond which change becomes self-sustaining, so that returning to the previous state requires far more than reversing the original push.</w:t>
      </w:r>
    </w:p>
    <w:p>
      <w:pPr>
        <w:ind w:firstLine="0" w:left="454"/>
        <w:jc w:val="left"/>
      </w:pPr>
      <w:r>
        <w:t>• Vulnerability: The propensity of a system to be harmed, given its exposure and its capacity to cope and adapt.</w:t>
      </w:r>
    </w:p>
    <w:p>
      <w:pPr>
        <w:ind w:firstLine="0" w:left="454"/>
        <w:jc w:val="left"/>
      </w:pPr>
      <w:r>
        <w:t>• Water stress: Freshwater withdrawal that is large relative to the supply available, so that shortages appear under ordinary variation.</w:t>
      </w:r>
    </w:p>
    <w:p>
      <w:pPr>
        <w:ind w:firstLine="0" w:left="454"/>
        <w:jc w:val="left"/>
      </w:pPr>
      <w:r>
        <w:t>• Wet-bulb temperature: The lowest temperature a body can reach by evaporative cooling. Sustained values above roughly 35 °C are unsurvivable for a healthy adult at rest.</w:t>
      </w:r>
    </w:p>
    <w:p>
      <w:pPr>
        <w:ind w:firstLine="0" w:left="454"/>
        <w:jc w:val="left"/>
      </w:pPr>
      <w:r>
        <w:t>• Zoonosis: An infection that passes from animals to humans, common where land use change brings people and wildlife into new contact.</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ind w:firstLine="0" w:left="454"/>
        <w:jc w:val="left"/>
      </w:pPr>
      <w:r>
        <w:t>• Bhola cyclone, 1970, and Cyclone Amphan, 2020 — CRED (2023), EM-DAT; WMO (2023), State of the Global Climate. The Amphan death toll is taken from CRED, not from the early government count, which was revised upward.</w:t>
      </w:r>
    </w:p>
    <w:p>
      <w:pPr>
        <w:ind w:firstLine="0" w:left="454"/>
        <w:jc w:val="left"/>
      </w:pPr>
      <w:r>
        <w:t>• Tuvalu and the Falepili Union, 2023 — UNHCR (2023), climate displacement and statelessness reporting; treaty text as ratified by Australia and Tuvalu.</w:t>
      </w:r>
    </w:p>
    <w:p>
      <w:pPr>
        <w:ind w:firstLine="0" w:left="454"/>
        <w:jc w:val="left"/>
      </w:pPr>
      <w:r>
        <w:t>• Lake Chad shrinkage — Gleick (2023), Water, Climate and Governance Crises; IPCC (2019a), Climate Change and Land.</w:t>
      </w:r>
    </w:p>
    <w:p>
      <w:pPr>
        <w:ind w:firstLine="0" w:left="454"/>
        <w:jc w:val="left"/>
      </w:pPr>
      <w:r>
        <w:t>• Emilia-Romagna floods, 2023 — CRED (2023), EM-DAT; regional damage assessments summarised in WMO (2023).</w:t>
      </w:r>
    </w:p>
    <w:p>
      <w:pPr>
        <w:ind w:firstLine="0" w:left="454"/>
        <w:jc w:val="left"/>
      </w:pPr>
      <w:r>
        <w:t>• Hurricane Helene, 2024 — NOAA National Centers for Environmental Information (2024), Billion-Dollar Weather and Climate Disasters; WMO (2025), State of the Global Climate 2024.</w:t>
      </w:r>
    </w:p>
    <w:p>
      <w:pPr>
        <w:ind w:firstLine="0" w:left="454"/>
        <w:jc w:val="left"/>
      </w:pPr>
      <w:r>
        <w:t>• Solar mini-grids and solar home systems in Bangladesh — IRENA (2023), World Energy Transitions Outlook; deployment figures are national programme totals, not model output.</w:t>
      </w:r>
    </w:p>
    <w:p>
      <w:pPr>
        <w:ind w:firstLine="0" w:left="454"/>
        <w:jc w:val="left"/>
      </w:pPr>
      <w:r>
        <w:t>• Loss and Damage Fund, agreed 2022 — UNEP (2023), Adaptation Gap Report; negotiation record from the COP decisions themselves rather than from commentary.</w:t>
      </w:r>
    </w:p>
    <w:p>
      <w:pPr>
        <w:ind w:firstLine="0" w:left="454"/>
        <w:jc w:val="left"/>
      </w:pPr>
      <w:r>
        <w:t>• Jakarta subsidence and the sea wall — IPCC (2022a), Impacts, Adaptation and Vulnerability, urban chapter; UN-Habitat (2022), World Cities Report.</w:t>
      </w:r>
    </w:p>
    <w:p>
      <w:pPr>
        <w:ind w:firstLine="0" w:left="454"/>
        <w:jc w:val="left"/>
      </w:pPr>
      <w:r>
        <w:t>• Dengue, record year in the Americas, 2024 — WHO (2023), global health estimates, with national surveillance data for the 2024 total; case counts are reported cases, which understate infections.</w:t>
      </w:r>
    </w:p>
    <w:p>
      <w:pPr>
        <w:ind w:firstLine="0" w:left="454"/>
        <w:jc w:val="left"/>
      </w:pPr>
      <w:r>
        <w:t>• Rice export restrictions, 2023 — FAO (2023), Food Outlook; World Bank (2022), food security and climate change briefing. Price movements are given as ranges because export bans and weather losses overlapped and cannot be separated cleanly.</w:t>
      </w:r>
    </w:p>
    <w:p>
      <w:pPr>
        <w:pStyle w:val="Heading1"/>
        <w:pageBreakBefore/>
      </w:pPr>
      <w:r>
        <w:t>References</w:t>
      </w:r>
    </w:p>
    <w:p>
      <w:pPr>
        <w:pStyle w:val="Heading2"/>
      </w:pPr>
      <w:r>
        <w:t>Works Cited</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CRED &amp; UNISDR. 2015. </w:t>
      </w:r>
      <w:r>
        <w:rPr>
          <w:i/>
        </w:rPr>
        <w:t>The Human Cost of Weather-Related Disasters 1995–2015</w:t>
      </w:r>
      <w:r>
        <w:t>. CRED, Brussels, and UNISDR, Geneva.</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2023. </w:t>
      </w:r>
      <w:r>
        <w:rPr>
          <w:i/>
        </w:rPr>
        <w:t>Global Carbon Budget 2023: carbon cycle and sinks</w:t>
      </w:r>
      <w:r>
        <w:t>. Earth System Science Data.</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National Institute of Building Sciences. 2019. </w:t>
      </w:r>
      <w:r>
        <w:rPr>
          <w:i/>
        </w:rPr>
        <w:t>Natural Hazard Mitigation Saves: 2019 Report</w:t>
      </w:r>
      <w:r>
        <w:t>. NIBS, Washington DC.</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Newman, N. et al.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Texas Comptroller of Public Accounts. 2021. </w:t>
      </w:r>
      <w:r>
        <w:rPr>
          <w:i/>
        </w:rPr>
        <w:t>Winter Storm Uri 2021: The Economic Impact of the Storm</w:t>
      </w:r>
      <w:r>
        <w:t>. Fiscal Notes, October 2021. Austin.</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WHO. 2023b. </w:t>
      </w:r>
      <w:r>
        <w:rPr>
          <w:i/>
        </w:rPr>
        <w:t>Ambient (outdoor) air pollution</w:t>
      </w:r>
      <w:r>
        <w:t xml:space="preserve"> and </w:t>
      </w:r>
      <w:r>
        <w:rPr>
          <w:i/>
        </w:rPr>
        <w:t>Household air pollution</w:t>
      </w:r>
      <w:r>
        <w:t xml:space="preserve"> fact sheets. WHO, Geneva.</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World Bank. 2024. </w:t>
      </w:r>
      <w:r>
        <w:rPr>
          <w:i/>
        </w:rPr>
        <w:t>Migration and Development Brief 40</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