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James Hansen, former director of NASA’s Goddard Institute for Space Studies, argued in 2013 that two degrees of warming would be enough to expect several metres of sea-level rise, and called the consequences disastrous.</w:t>
      </w:r>
    </w:p>
    <w:p>
      <w:pPr>
        <w:ind w:left="720" w:firstLine="0"/>
      </w:pPr>
      <w:r>
        <w:rPr>
          <w:i/>
        </w:rPr>
        <w:t>Katharine Hayhoe, Texas Tech climate scientist (2014, after the IPCC fifth assessment): climate change is here and now rather than in some distant time or place, and the choices made today will shape what the future holds.</w:t>
      </w:r>
    </w:p>
    <w:p>
      <w:pPr>
        <w:ind w:left="720" w:firstLine="0"/>
      </w:pPr>
      <w:r>
        <w:rPr>
          <w:i/>
        </w:rPr>
        <w:t>Michael Mann, Penn State climatologist (2004; 2021): the scientific consensus on human-caused climate change is comparable to the consensus on gravity, because multiple independent lines of evidence converge.</w:t>
      </w:r>
    </w:p>
    <w:p>
      <w:pPr>
        <w:ind w:left="720" w:firstLine="0"/>
      </w:pPr>
      <w:r>
        <w:rPr>
          <w:i/>
        </w:rPr>
        <w:t>Friederike Otto, Imperial College and co-founder of World Weather Attribution (2021): the Pacific Northwest heatwave of 2021 would have been virtually impossible without human-caused climate change.</w:t>
      </w:r>
    </w:p>
    <w:p>
      <w:pPr>
        <w:ind w:left="720" w:firstLine="0"/>
      </w:pPr>
      <w:r>
        <w:rPr>
          <w:i/>
        </w:rPr>
        <w:t>Johan Rockström, Potsdam Institute for Climate Impact Research and Stockholm Resilience Centre (2009 Nature; 2023 update): planetary boundaries define a safe operating space for humanity, and six of the nine are now transgressed.</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(CIFFC, 2023).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 °C above the 1850–1900 baseline, at about 1.55 °C, with 2023 close behind at 1.45 °C (WMO, 2025).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 °C therefore describes a world in which some regions have already experienced 2.5 °C or 3 °C of local warming, and in which the statistics of extreme heat have shifted far more than the mean.</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(UNDRR, 2022).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(Ballester et al., 2023).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 °C and 4.4 °C at the end of the century is not a difference in physics; it is a difference in cumulative carbon, and cumulative carbon is still being decided.</w:t>
      </w:r>
    </w:p>
    <w:p>
      <w:r>
        <w:t>The remaining carbon budget makes the arithmetic explicit. To have a fifty per cent chance of holding warming to 1.5 °C, the world can emit roughly 250 billion tonnes of carbon dioxide more — about six years at current rates (IPCC, 2021). For 2 °C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r>
        <w:t>A second flood makes the same point from another continent. In March 2019, Cyclone Idai came ashore near Beira, Mozambique, and pushed the sea up the Pungue and Buzi rivers instead of letting it drain away; more than a thousand people died across the three affected countries and roughly three million were affected, in a city whose drainage had not been maintained for years (IFRC, 2022). Pakistan and Mozambique share the mechanism: extreme rainfall is only half of a flood, and the other half is the condition of the ground the water crosses. Neither country lacked a warning. Both lacked the capacity to act on one, which is why the next two decades cannot be forecast from rainfall alone.</w:t>
      </w:r>
    </w:p>
    <w:p>
      <w:pPr>
        <w:pStyle w:val="Heading2"/>
      </w:pPr>
      <w:r>
        <w:t>1.12 Future Scenarios and Predictions: What the Next Two Decades Hold</w:t>
      </w:r>
    </w:p>
    <w:p>
      <w:r>
        <w:t>Everything that follows in this book rests on a trend that is already measurable. Since 1970, global surface temperature has risen by about 0.18 °C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 °C of warming by 2100 if current policies are maintained, according to the International Energy Agency’s assessment of announced pledges and implemented measures. That is below the 4.4 °C of the highest scenario but well above the 1.5 °C target. The near-term trajectory is largely locked in by emissions already released and by infrastructure already built: even if every country met its net-zero pledge, the next two decades would still warm by about 0.4 °C above the current level.</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 °C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w:t>
      </w:r>
    </w:p>
    <w:p>
      <w:pPr>
        <w:keepNext/>
        <w:spacing w:before="160"/>
        <w:ind w:firstLine="0"/>
        <w:jc w:val="center"/>
      </w:pPr>
      <w:r>
        <w:rPr>
          <w:b/>
          <w:sz w:val="20"/>
        </w:rPr>
        <w:t>Table 1.1 Three futures for the next two decades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 °C and one that warms by 4.4 °C by 2100 is not a matter of scientific taste.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Two of the four gases are usually left out of public discussion, and both matter. Nitrous oxide comes mainly from nitrogen fertiliser and manure, is nearly three hundred times more potent than carbon dioxide per molecule and lasts about a century; it is also the largest remaining threat to the ozone layer. The fluorinated gases — hydrofluorocarbons, perfluorocarbons and sulphur hexafluoride — are present in tiny quantities and are used in refrigeration, air conditioning and industrial processes; some have warming potentials in the thousands. The Kigali Amendment to the Montreal Protocol, agreed in 2016, schedules their phase-down and is expected to avoid a measurable fraction of a degree. Neither gas can be addressed by energy policy alone, which is why agricultural and industrial policy belong in any credible climate plan.</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 °C above the 1850–1900 average and 2024 at about 1.55 °C, the warmest year in the instrumental record (WMO, 2025). Neither figure should be read as ‘the climate has reached 1.5 °C’; a single year bounces above and below the trend because of El Niño, volcanic aerosols, solar variability and the weather of the ocean (Haigh, 2020). The trend itself, averaged over a decade, is currently rising at roughly 0.2 °C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 °C (Morice et al., 2021; Lenssen et al., 2019; Rohde and Hausfather, 2020; Hausfather et al., 2023).</w:t>
      </w:r>
    </w:p>
    <w:p>
      <w:r>
        <w:t>What the corrected record shows is a rise of about 1.2 °C since the late nineteenth century, unevenly distributed: land has warmed faster than ocean, the Arctic three to four times faster than the global average, and nights faster than days.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 °C above 1850–1900 (IPCC, 2021). The second group found that roughly 3.3 to 3.6 billion people live in contexts that are highly vulnerable to climate change (IPCC, 2022a). The third found that the policies in place at the time of writing would produce warming of about 2.7 °C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It also distinguishes between an assessed range, which reflects the judgement of the author team across all available evidence, and the spread of model results, which reflects only the models. Statements such as ‘warming of 1.5 °C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 °C and 2 °C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 °C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(NOAA, 2025).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r>
        <w:t>The record has a second kind of test, and it arrived by accident. When Mount Pinatubo erupted in June 1991, it injected roughly twenty million tonnes of sulphur dioxide into the stratosphere, where it formed a sulphate aerosol layer and cooled the global surface by about half a degree for two years (IPCC, 2021). The cooling appeared in the same instruments that measure the Keeling curve, and its magnitude matched what the physics predicted. That episode carries more weight than it is usually given: the system responded to a known forcing in a measurable way, which is why the response to a known accumulation of carbon dioxide is not seriously in dispute.</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 °C over the same period and is currently rising at roughly 0.2 °C per decade (IPCC, 2021). Sea level, which lagged the temperature rise for most of the twentieth century, is now accelerating.</w:t>
      </w:r>
    </w:p>
    <w:p>
      <w:r>
        <w:t>The present position can be stated with unusual precision. For a fifty per cent chance of holding warming below 1.5 °C, the remaining carbon budget is roughly 250 billion tonnes of CO2 — about six years of current emissions (Friedlingstein et al., 2023). For 2 °C the budget is larger but still finite, and the policies in place in 2025 imply warming of about 2.7 °C by 2100 rather than the 1.5 °C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 °C and declines slowly thereafter. The second assumes that current policies continue and are strengthened gradually, producing net zero late in the century; warming reaches about 2.7 °C. The third assumes that decarbonisation stalls and that coal, oil and gas remain dominant; warming reaches roughly 4.4 °C,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w:t>
      </w:r>
    </w:p>
    <w:p>
      <w:pPr>
        <w:keepNext/>
        <w:spacing w:before="160"/>
        <w:ind w:firstLine="0"/>
        <w:jc w:val="center"/>
      </w:pPr>
      <w:r>
        <w:rPr>
          <w:b/>
          <w:sz w:val="20"/>
        </w:rPr>
        <w:t>Table 2.1 Three physical trajectories to 2100 (relative to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Slope chart: warming rises from about 1.6, 2.0 and 2.6 degrees in 2050 to 1.8, 2.7 and 4.4 degrees in 2100 for the three trajectories."/>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2.1 </w:t>
      </w:r>
      <w:r>
        <w:rPr>
          <w:sz w:val="19"/>
        </w:rPr>
        <w:t>Warming in 2050 and 2100 under three emission trajectories</w:t>
      </w:r>
    </w:p>
    <w:p>
      <w:pPr>
        <w:spacing w:after="200"/>
        <w:ind w:firstLine="0"/>
        <w:jc w:val="center"/>
      </w:pPr>
      <w:r>
        <w:rPr>
          <w:i/>
          <w:color w:val="5A5A5A"/>
          <w:sz w:val="16"/>
        </w:rPr>
        <w:t>Source: Table 2.1. Bars show the 2100 range; SSP scenarios as summarised in IPCC (2021, 2023).</w:t>
      </w:r>
    </w:p>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 °C,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 °C as a limit to be approached with caution rather than a target to be traded against other priorities.</w:t>
      </w:r>
    </w:p>
    <w:p>
      <w:r>
        <w:t>Tipping points are thresholds beyond which a component of the system reorganises into a different state, often irreversibly on human timescales.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(IPCC, 2019b). That changed with Argo, an international programme that began deploying autonomous profiling floats in 2000 and now maintains roughly four thousand of them (IPCC, 2019b).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r>
        <w:t>Argo measures temperature; a later generation of instruments measures mass. The GRACE satellites, launched in 2002, detect the minute variations in Earth’s gravity that correspond to the movement of water and ice, and they let glaciologists weigh ice sheets rather than estimate their volume from the surface. The result was a correction: Greenland and Antarctica were losing mass faster than the older estimates suggested, and the loss has continued (Shepherd et al., 2020). Argo and GRACE turned the ocean and the ice from inferred quantities into measured ones, which is why the sea-level projections in this chapter carry a narrower range than those published a decade ago.</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w:t>
      </w:r>
    </w:p>
    <w:p>
      <w:pPr>
        <w:keepNext/>
        <w:spacing w:before="160"/>
        <w:ind w:firstLine="0"/>
        <w:jc w:val="center"/>
      </w:pPr>
      <w:r>
        <w:rPr>
          <w:b/>
          <w:sz w:val="20"/>
        </w:rPr>
        <w:t>Table 3.1 System thresholds and what to watch for</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 °C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 °C; collapse at 2 °C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 °C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 °C is dangerous; a humid 35 °C wet-bulb is close to unsurvivable for more than a few hours (Vecellio et al., 2022).</w:t>
      </w:r>
    </w:p>
    <w:p>
      <w:r>
        <w:t>The theoretical limit of 35 °C wet-bulb was proposed by Sherwood and Huber (2010) on the basis of a resting metabolic rate. Laboratory work since then has found that the critical wet-bulb temperature for healthy young adults at rest is closer to 31 °C,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 °C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 °C for one afternoon is a different emergency from a forecast of 35 °C for seven consecutive days with nights above 28 °C.</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 °C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 °C warmer than their rural surroundings during the day and can be more than 10 °C warmer at night.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 °C between neighbourhoods a few kilometres apart, with the hottest areas corresponding to dense informal settlements, industrial zones and bare ground, and the coolest to parks, tree-lined streets and water bodies.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The urban heat island is the difference between the temperature of a city and the temperature of the countryside around it, and it is produced by the materials rather than by the climate. Asphalt and concrete absorb solar radiation and release it slowly, the geometry of streets traps the heat that would otherwise escape, vehicles and air conditioners add waste heat, and the vegetation that would have cooled the air through evaporation has been replaced by surfaces that cannot. The difference is typically a few degrees, and it is largest at night and during calm, clear weather, which is precisely when the danger to health is highest. Within a city the difference is not uniform: the hottest neighbourhoods are usually the ones with the least shade and the least money.</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(ILO, 2019). Agriculture accounts for about 60 per cent of the lost hours, followed by construction and industry (ILO, 2019). The losses are concentrated in South Asia, Sub-Saharan Africa and Southeast Asia, where outdoor work is common and cooling is scarce.</w:t>
      </w:r>
    </w:p>
    <w:p>
      <w:r>
        <w:t>The mechanism is physiological. Above about 26 °C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 °C and air temperature by 2 to 4 °C within its shade.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 °C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Urban design can lower temperatures by several degrees without mechanical cooling. Street trees provide shade and release water vapour; reflective roofs and pavements reduce heat absorption; green roofs and walls insulate buildings; parks and water bodies create cool islands; and building orientation and ventilation allow night-time flushing of heat. The measures are well understood, and the main barriers are cost, maintenance and the distribution of benefits, because trees planted in wealthy neighbourhoods improve the microclimate for people who already have air conditioning.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 °C or 2 °C of warming (Ebi et al., 2021). At 3 °C or 4 °C,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 °C in Britain for the first time, reached 47 °C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r>
        <w:t>The east provides the comparison. In the summer of 2010 a blocking high settled over western Russia for six weeks, Moscow recorded 38.2 °C, and the death toll has been estimated at around fifty-six thousand, with smoke from peat and forest fires compounding the heat (IPCC, 2022a). The European summer of 2022 and the Russian summer of 2010 differ in geography and not in mechanism: a persistent ridge, a stagnant atmosphere, and a population housed for a different climate. Both were treated as emergencies when they arrived and as design conditions only afterwards, which is the gap the predictions in this chapter assume will narrow.</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 °C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w:t>
      </w:r>
    </w:p>
    <w:p>
      <w:pPr>
        <w:keepNext/>
        <w:spacing w:before="160"/>
        <w:ind w:firstLine="0"/>
        <w:jc w:val="center"/>
      </w:pPr>
      <w:r>
        <w:rPr>
          <w:b/>
          <w:sz w:val="20"/>
        </w:rPr>
        <w:t>Table 4.1 Heat exposure in selected cities,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 °C now</w:t>
            </w:r>
          </w:p>
        </w:tc>
        <w:tc>
          <w:tcPr>
            <w:tcW w:type="dxa" w:w="1701"/>
          </w:tcPr>
          <w:p>
            <w:pPr>
              <w:spacing w:line="240" w:lineRule="auto"/>
              <w:ind w:firstLine="0"/>
            </w:pPr>
            <w:r>
              <w:rPr>
                <w:rFonts w:ascii="Times New Roman" w:hAnsi="Times New Roman"/>
                <w:b/>
                <w:sz w:val="19"/>
              </w:rPr>
              <w:t>Days above 35 °C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Dumbbell chart: Delhi rises from 100 to 140 hot days, Phoenix from 110 to 150, Karachi from 60 to 100, Jakarta from 30 to 70, Lagos from 20 to 60 and Athens from 30 to 55."/>
            <wp:cNvGraphicFramePr>
              <a:graphicFrameLocks noChangeAspect="1"/>
            </wp:cNvGraphicFramePr>
            <a:graphic>
              <a:graphicData uri="http://schemas.openxmlformats.org/drawingml/2006/picture">
                <pic:pic>
                  <pic:nvPicPr>
                    <pic:cNvPr id="0" name="fig4_1.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4.1 </w:t>
      </w:r>
      <w:r>
        <w:rPr>
          <w:sz w:val="19"/>
        </w:rPr>
        <w:t>Days above 35 °C now and in 2050 in six cities</w:t>
      </w:r>
    </w:p>
    <w:p>
      <w:pPr>
        <w:spacing w:after="200"/>
        <w:ind w:firstLine="0"/>
        <w:jc w:val="center"/>
      </w:pPr>
      <w:r>
        <w:rPr>
          <w:i/>
          <w:color w:val="5A5A5A"/>
          <w:sz w:val="16"/>
        </w:rPr>
        <w:t>Source: Table 4.1; SSP2-4.5 for the 2050 column.</w:t>
      </w:r>
    </w:p>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 °C and still save many at 2.5 °C,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The four definitions of drought — meteorological, hydrological, agricultural and socioeconomic — describe different stages of the same process, and they move at different speeds. A meteorological drought appears within weeks of below-average rainfall; an agricultural drought appears when soil moisture falls below what crops need; a hydrological drought appears when rivers, reservoirs and aquifers fall below normal, often months later; and a socioeconomic drought appears when the resulting shortage begins to affect people, prices and production. Confusing the stages produces bad policy, because a response designed for the first cannot address the fourth.</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Meteorological drought is a deficit of rainfall against a long-term average. Agricultural drought is a deficit of soil moisture during the growing season, which can arrive before the rainfall deficit is visible. Hydrological drought is a deficit in rivers, reservoirs and groundwater, and it arrives last because the catchment buffers the rainfall for months or years. Socio-economic drought is the point at which the shortage begins to constrain the water that people can actually use. The lag between them is what makes drought hard to govern: the rain can return while the reservoir is still empty, and a declaration based on rainfall will end the emergency before the water does.</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The river supplies water to about 40 million people and 1.2 million hectares of farmland across seven US states and northern Mexico, under an allocation system designed in 1922 that assumed a flow larger than the river has delivered.</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 (WHO &amp; UNICEF, 2023).</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Chennai’s water crisis did not arrive without warning. The city depends on four reservoirs and on groundwater, and the reservoirs had been declining for years as urban expansion covered the lakes that once captured monsoon rain. In 2018 the northeast monsoon failed, and by June 2019 the reservoirs held about one per cent of their capacity. The city government declared a water emergency and began to truck water to neighbourhoods, while the state arranged for trains to carry water from the Cauvery.</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r>
        <w:t>Cape Town supplies the counter-case, and it is the reason this chapter does not end in despair. In 2018 the city approached Day Zero with its reservoirs near a fifth of capacity, and it avoided the shut-off by cutting consumption by more than half over three years through tariffs, pressure management and the public reporting of daily use (Gleick, 2023). The difference between Chennai and Cape Town was not rainfall but governance: one city discovered its shortfall in the middle of a crisis, the other measured it in advance and put a price on it. Both are coastal cities of similar size, and both now plan for a drier century.</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w:t>
      </w:r>
    </w:p>
    <w:p>
      <w:pPr>
        <w:keepNext/>
        <w:spacing w:before="160"/>
        <w:ind w:firstLine="0"/>
        <w:jc w:val="center"/>
      </w:pPr>
      <w:r>
        <w:rPr>
          <w:b/>
          <w:sz w:val="20"/>
        </w:rPr>
        <w:t>Table 5.1 Water stress in major basins,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pPr>
        <w:keepNext/>
        <w:spacing w:before="160"/>
        <w:ind w:firstLine="0"/>
        <w:jc w:val="center"/>
      </w:pPr>
      <w:r>
        <w:drawing>
          <wp:inline xmlns:a="http://schemas.openxmlformats.org/drawingml/2006/main" xmlns:pic="http://schemas.openxmlformats.org/drawingml/2006/picture">
            <wp:extent cx="5400000" cy="2485665"/>
            <wp:docPr id="3" name="Picture 3" descr="Horizontal bar chart of basin population: Indus 300 million, Nile 280, Tigris-Euphrates 60, Colorado 40, Citarum 25, Murray-Darling 2.4, each labelled with its 2050 gap."/>
            <wp:cNvGraphicFramePr>
              <a:graphicFrameLocks noChangeAspect="1"/>
            </wp:cNvGraphicFramePr>
            <a:graphic>
              <a:graphicData uri="http://schemas.openxmlformats.org/drawingml/2006/picture">
                <pic:pic>
                  <pic:nvPicPr>
                    <pic:cNvPr id="0" name="fig5_1.png"/>
                    <pic:cNvPicPr/>
                  </pic:nvPicPr>
                  <pic:blipFill>
                    <a:blip r:embed="rId13"/>
                    <a:stretch>
                      <a:fillRect/>
                    </a:stretch>
                  </pic:blipFill>
                  <pic:spPr>
                    <a:xfrm>
                      <a:off x="0" y="0"/>
                      <a:ext cx="5400000" cy="2485665"/>
                    </a:xfrm>
                    <a:prstGeom prst="rect"/>
                  </pic:spPr>
                </pic:pic>
              </a:graphicData>
            </a:graphic>
          </wp:inline>
        </w:drawing>
      </w:r>
    </w:p>
    <w:p>
      <w:pPr>
        <w:keepNext/>
        <w:spacing w:before="80"/>
        <w:ind w:firstLine="0"/>
        <w:jc w:val="center"/>
      </w:pPr>
      <w:r>
        <w:rPr>
          <w:b/>
          <w:sz w:val="19"/>
        </w:rPr>
        <w:t xml:space="preserve">Figure 5.1 </w:t>
      </w:r>
      <w:r>
        <w:rPr>
          <w:sz w:val="19"/>
        </w:rPr>
        <w:t>People depending on six stressed basins, and the supply gap they face in 2050</w:t>
      </w:r>
    </w:p>
    <w:p>
      <w:pPr>
        <w:spacing w:after="200"/>
        <w:ind w:firstLine="0"/>
        <w:jc w:val="center"/>
      </w:pPr>
      <w:r>
        <w:rPr>
          <w:i/>
          <w:color w:val="5A5A5A"/>
          <w:sz w:val="16"/>
        </w:rPr>
        <w:t>Source: Table 5.1; gap is the shortfall against projected demand under SSP2-4.5.</w:t>
      </w:r>
    </w:p>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according to the United Nations Office for Disaster Risk Reduction.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(IPCC, 2019b).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about 1,800 people and causing more than US$125 billion in damage (Brunkard et al., 2008).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r>
        <w:t>Jakarta is not the first city to face this sequence, and the American case shows what the end of it looks like. New Orleans was built on drained wetland that continues to subside, was protected by levees that failed in 2005, and lost about half its population after Hurricane Katrina; the city that rebuilt did so behind a larger and more expensive system of defences, and it still sits below sea level (Brunkard et al., 2008). Jakarta is at an earlier point on the same curve: subsidence of up to twenty-five centimetres a year in the north, a sea wall that is partly built, and a government that has chosen to move the capital rather than defend the whole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w:t>
      </w:r>
    </w:p>
    <w:p>
      <w:pPr>
        <w:keepNext/>
        <w:spacing w:before="160"/>
        <w:ind w:firstLine="0"/>
        <w:jc w:val="center"/>
      </w:pPr>
      <w:r>
        <w:rPr>
          <w:b/>
          <w:sz w:val="20"/>
        </w:rPr>
        <w:t>Table 6.1 Coastal exposure in selected cities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Bar chart of exposed people: Jakarta 2.5 million, Manila 1.5 million, Bangkok and Ho Chi Minh City 1 million each, Alexandria 0.5 million, Miami 0.4 million."/>
            <wp:cNvGraphicFramePr>
              <a:graphicFrameLocks noChangeAspect="1"/>
            </wp:cNvGraphicFramePr>
            <a:graphic>
              <a:graphicData uri="http://schemas.openxmlformats.org/drawingml/2006/picture">
                <pic:pic>
                  <pic:nvPicPr>
                    <pic:cNvPr id="0" name="fig6_1.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6.1 </w:t>
      </w:r>
      <w:r>
        <w:rPr>
          <w:sz w:val="19"/>
        </w:rPr>
        <w:t>People exposed to a 1-in-100-year coastal flood in six cities</w:t>
      </w:r>
    </w:p>
    <w:p>
      <w:pPr>
        <w:spacing w:after="200"/>
        <w:ind w:firstLine="0"/>
        <w:jc w:val="center"/>
      </w:pPr>
      <w:r>
        <w:rPr>
          <w:i/>
          <w:color w:val="5A5A5A"/>
          <w:sz w:val="16"/>
        </w:rPr>
        <w:t>Source: Table 6.1; exposure counts include subsidence where reported.</w:t>
      </w:r>
    </w:p>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 °C; maize around 25 to 30 °C. Above the optimum, photosynthesis slows, respiration increases, and the plant partitions less energy into grain. The effect is not linear: a few days above 35 °C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 °C, respiration continues through the night, consuming the carbohydrates that would otherwise become yield.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(FAO, 2022).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 °C is projected to eliminate most of the world’s reefs (IPCC, 2018).</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r>
        <w:t>The rice shock of 2023 has an earlier twin. When wheat prices doubled in 2010 and 2011, the countries that restricted exports were not the largest producers, and the market tightened within weeks; the unrest that followed in North Africa and the Middle East had many causes, but its timing followed food prices closely (Mach et al., 2019). Rice and wheat behave the same way: only a small share of world production is traded, so a restriction by one exporter moves the world price far more than its share of output would suggest. What differed in 2023 was that the restriction came from one country holding forty per cent of the export market.</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w:t>
      </w:r>
    </w:p>
    <w:p>
      <w:pPr>
        <w:keepNext/>
        <w:spacing w:before="160"/>
        <w:ind w:firstLine="0"/>
        <w:jc w:val="center"/>
      </w:pPr>
      <w:r>
        <w:rPr>
          <w:b/>
          <w:sz w:val="20"/>
        </w:rPr>
        <w:t>Table 7.1 Crop yield sensitivity and 2050 projections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Bar chart of yield change per degree: maize minus 7.4 per cent, wheat minus 6, rice minus 3.2, soybean minus 3.1, coffee between minus 10 and minus 20, livestock between minus 5 and minus 10."/>
            <wp:cNvGraphicFramePr>
              <a:graphicFrameLocks noChangeAspect="1"/>
            </wp:cNvGraphicFramePr>
            <a:graphic>
              <a:graphicData uri="http://schemas.openxmlformats.org/drawingml/2006/picture">
                <pic:pic>
                  <pic:nvPicPr>
                    <pic:cNvPr id="0" name="fig7_1.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7.1 </w:t>
      </w:r>
      <w:r>
        <w:rPr>
          <w:sz w:val="19"/>
        </w:rPr>
        <w:t>Yield change per additional degree of warming, by crop</w:t>
      </w:r>
    </w:p>
    <w:p>
      <w:pPr>
        <w:spacing w:after="200"/>
        <w:ind w:firstLine="0"/>
        <w:jc w:val="center"/>
      </w:pPr>
      <w:r>
        <w:rPr>
          <w:i/>
          <w:color w:val="5A5A5A"/>
          <w:sz w:val="16"/>
        </w:rPr>
        <w:t>Source: Table 7.1. Bars for coffee and livestock show the reported range.</w:t>
      </w:r>
    </w:p>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 °C and 3 °C is the difference between a food system that can adapt and one that cannot (FAO, 2023).</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in 2011 found that species have been moving poleward at roughly seventeen kilometres per decade and upslope at eleven metres per decade, with the fastest movement among insects and marine species.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 °C of warming, about 70 to 90 per cent of warm-water reefs are projected to decline; at 2 °C, more than 99 per cent (IPCC, 2018).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w:t>
      </w:r>
    </w:p>
    <w:p>
      <w:r>
        <w:t>Coral reefs are the ecosystem where the arithmetic of warming is least forgiving, and the numbers are now well established. The Great Barrier Reef has experienced five mass bleaching events since 2016, and the 2024 event affected more than seventy per cent of the reef in some surveys. Hughes and colleagues have argued that repeated bleaching has reduced the recovery interval below the time the reef needs to regrow, which converts a disturbance into a trajectory. Reefs support roughly a quarter of marine species at some stage of their life cycle, and the fisheries that depend on them feed hundreds of millions of people.</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Climate models and observational studies suggest that beyond a threshold of about 20 to 25 per cent deforestation, the forest may lose its ability to recycle moisture and begin to convert to savannah in the eastern and southern parts.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(IPCC, 2019b).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 (IPCC, 2019b).</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Ocean acidification is a separate problem from warming, and its chemistry is simpler and more certain. Carbon dioxide dissolves in seawater to form carbonic acid, which releases hydrogen ions and lowers pH; the same chemistry consumes carbonate ions, which corals, oysters and some plankton need to build shells and skeletons. Since the industrial revolution, surface pH has fallen by about a tenth of a unit, which sounds small until it is understood as a roughly thirty per cent increase in hydrogen ion concentration. Deoxygenation accompanies it: warmer water holds less oxygen, and nutrient runoff drives the formation of low-oxygen zones. The two together narrow the habitat available to fish that people depend on.</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 °C of warming, about 18 per cent of insects, 16 per cent of plants and 8 per cent of vertebrates would lose more than half their geographic range, and that at 3.2 °C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w:t>
      </w:r>
    </w:p>
    <w:p>
      <w:pPr>
        <w:pStyle w:val="Heading2"/>
      </w:pPr>
      <w:r>
        <w:t>8.11 Case Study: The Great Barrier Reef</w:t>
      </w:r>
    </w:p>
    <w:p>
      <w:r>
        <w:t>The Great Barrier Reef is the largest living structure on Earth, extending more than 2,300 kilometres along the Queensland coast and comprising about 3,000 individual reefs.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r>
        <w:t>The reef’s history is longer than the record usually quoted. The first global bleaching event, in 1998, coincided with a strong El Niño and bleached reefs in every ocean basin; it was treated then as an anomaly, and it has since become the baseline (IPCC, 2018). The sequence that followed—2002, 2010, 2016, 2017, 2020, 2022 and 2024—is not a series of accidents but one mechanism returning at a shortening interval. That is the difference between a reef that has a bad year and a reef that no longer has time to recover between bad years, and the projections in this chapter turn on which of the two the Great Barrier Reef has become.</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w:t>
      </w:r>
    </w:p>
    <w:p>
      <w:pPr>
        <w:keepNext/>
        <w:spacing w:before="160"/>
        <w:ind w:firstLine="0"/>
        <w:jc w:val="center"/>
      </w:pPr>
      <w:r>
        <w:rPr>
          <w:b/>
          <w:sz w:val="20"/>
        </w:rPr>
        <w:t>Table 8.1 Ecosystem thresholds and projected change</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 °C; frequent bleaching</w:t>
            </w:r>
          </w:p>
        </w:tc>
        <w:tc>
          <w:tcPr>
            <w:tcW w:type="dxa" w:w="1701"/>
          </w:tcPr>
          <w:p>
            <w:pPr>
              <w:spacing w:line="240" w:lineRule="auto"/>
              <w:ind w:firstLine="0"/>
            </w:pPr>
            <w:r>
              <w:rPr>
                <w:rFonts w:ascii="Times New Roman" w:hAnsi="Times New Roman"/>
                <w:sz w:val="19"/>
              </w:rPr>
              <w:t>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Grouped range bars: coral reefs decline 70–90 per cent at 2 degrees and more than 99 per cent at 3; permafrost thaws 10–20 against 30–50; mangroves lose 10–30 against 30–50; freshwater species lose 20–30 against 40–60."/>
            <wp:cNvGraphicFramePr>
              <a:graphicFrameLocks noChangeAspect="1"/>
            </wp:cNvGraphicFramePr>
            <a:graphic>
              <a:graphicData uri="http://schemas.openxmlformats.org/drawingml/2006/picture">
                <pic:pic>
                  <pic:nvPicPr>
                    <pic:cNvPr id="0" name="fig8_1.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8.1 </w:t>
      </w:r>
      <w:r>
        <w:rPr>
          <w:sz w:val="19"/>
        </w:rPr>
        <w:t>Decline at 2 °C and at 3 °C for four systems with measurable thresholds</w:t>
      </w:r>
    </w:p>
    <w:p>
      <w:pPr>
        <w:spacing w:after="200"/>
        <w:ind w:firstLine="0"/>
        <w:jc w:val="center"/>
      </w:pPr>
      <w:r>
        <w:rPr>
          <w:i/>
          <w:color w:val="5A5A5A"/>
          <w:sz w:val="16"/>
        </w:rPr>
        <w:t>Source: Table 8.1. Coral value at 3 °C is the reported “greater than 99 per cent”.</w:t>
      </w:r>
    </w:p>
    <w:p>
      <w:r>
        <w:t>The analysis points to two conclusions. First, the difference between 2 °C and 3 °C is the difference between a world where coral reefs survive in reduced form and one where they are largely gone, and between a forest that stores carbon and one that releases it.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(Ballester et al., 2023).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 (WHO, 2023).</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The dengue epidemic of 2024 in the Americas was the largest on record, with more than twelve million cases reported and a concentration in countries whose health systems were already stretched (Cissé et al., 2022). The epidemic was driven by a combination of warm and wet conditions that shortened the virus’s incubation inside the mosquito, urbanisation that created breeding sites, and a mosquito species that has adapted to live closely with people. The response combined vector control, clinical protocols, and public communication about standing water. The lesson is about thresholds: transmission does not rise smoothly with temperature, it crosses from sporadic to sustained when a set of conditions align, which makes early warning a matter of watching several variables at once.</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r>
        <w:t>Malaria makes the same point with a different vector. The disease was historically absent from the Ethiopian highlands above about two thousand metres, because the parasite could not complete its cycle in the cool nights; warming has moved that boundary uphill, and epidemics have appeared in districts with no acquired immunity and no mosquito programme (Cissé et al., 2022). Dengue in Nepal and malaria in Ethiopia are the same process seen at two latitudes: a temperature threshold that health systems had treated as fixed has begun to move, and the populations on the far side of it are the least prepared. In both places the first obstacle is not treatment but diagnosis, because the disease is not yet the one a doctor thinks of first.</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(Romanello et al., 2024).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w:t>
      </w:r>
    </w:p>
    <w:p>
      <w:pPr>
        <w:keepNext/>
        <w:spacing w:before="160"/>
        <w:ind w:firstLine="0"/>
        <w:jc w:val="center"/>
      </w:pPr>
      <w:r>
        <w:rPr>
          <w:b/>
          <w:sz w:val="20"/>
        </w:rPr>
        <w:t>Table 9.1 Climate-sensitive health risks,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losses of US$77 billion and US$90 billion respectively (Kishore et al., 2018).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(ILO, 2019). Agriculture accounts for about 60 per cent of the lost hours, followed by construction, manufacturing and transport (ILO, 2019).</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Few Atlantic seasons have been as destructive as 2017. Hurricane Harvey made landfall in Texas in August and stalled, dropping more than 1,500 millimetres of rain over Houston, with losses put at US$125 billion. Hurricane Irma followed in September, devastating several Caribbean islands and inflicting losses of US$77 billion. Hurricane Maria struck Puerto Rico two weeks later, destroying the electricity grid and inflicting damage of about US$90 billion (Kishore et al., 2018).</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r>
        <w:t>The Pacific supplies the comparison for loss accounting. Typhoon Haiyan crossed the central Philippines in November 2013 with winds near three hundred kilometres an hour and killed about six thousand people, while direct damage came to roughly two billion dollars—small relative to the losses, because what was destroyed was modest (UNDRR, 2022). The Atlantic hurricanes of 2017 caused far more damage in dollars and far fewer deaths. The difference is not the severity of the storms but the value of what stood in their path, and that is why the economics of disasters is a story about wealth at least as much as about weather.</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w:t>
      </w:r>
    </w:p>
    <w:p>
      <w:pPr>
        <w:keepNext/>
        <w:spacing w:before="160"/>
        <w:ind w:firstLine="0"/>
        <w:jc w:val="center"/>
      </w:pPr>
      <w:r>
        <w:rPr>
          <w:b/>
          <w:sz w:val="20"/>
        </w:rPr>
        <w:t>Table 10.1 Economic losses under three pathways,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Range bars: low emissions 3 to 5 per cent of GDP, current policies 8 to 12, high emissions 15 to 20."/>
            <wp:cNvGraphicFramePr>
              <a:graphicFrameLocks noChangeAspect="1"/>
            </wp:cNvGraphicFramePr>
            <a:graphic>
              <a:graphicData uri="http://schemas.openxmlformats.org/drawingml/2006/picture">
                <pic:pic>
                  <pic:nvPicPr>
                    <pic:cNvPr id="0" name="fig10_1.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10.1 </w:t>
      </w:r>
      <w:r>
        <w:rPr>
          <w:sz w:val="19"/>
        </w:rPr>
        <w:t>Global GDP loss by 2050 under three emission paths</w:t>
      </w:r>
    </w:p>
    <w:p>
      <w:pPr>
        <w:spacing w:after="200"/>
        <w:ind w:firstLine="0"/>
        <w:jc w:val="center"/>
      </w:pPr>
      <w:r>
        <w:rPr>
          <w:i/>
          <w:color w:val="5A5A5A"/>
          <w:sz w:val="16"/>
        </w:rPr>
        <w:t>Source: Table 10.1; loss is measured against a no-climate baseline.</w:t>
      </w:r>
    </w:p>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signed with Australia in November 2023, is the most comprehensive bilateral arrangement of its kind. It provides a special visa pathway for Tuvaluans to live and work in Australia, with an initial cap and growth over time; it commits Australia to assist Tuvalu in the event of a major natural disaster or a security threat; and it recognizes Tuvalu’s maritime boundaries and statehood even if the land is lost to the sea. The agreement is reciprocal: Australia gains strategic influence in the Pacific, and Tuvalu gains a pathway for its people.</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r>
        <w:t>Tuvalu is the most legally inventive case, not the only one. Kiribati, thirty-three atolls scattered across three and a half million square kilometres of ocean, bought about twenty square kilometres of land in Fiji in 2014 as a hedge against the loss of its own territory, and it funds a programme it calls migration with dignity rather than displacement (UNHCR, 2023). The two countries chose different instruments—a treaty with a neighbour in one case, land purchase and skills migration in the other—and both answer the same legal question: what becomes of a state whose territory is no longer habitable? The difference matters for prediction because treaties can be renegotiated and land cannot be un-bought.</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(IPCC, 2022a).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(World Bank, 2021).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w:t>
      </w:r>
    </w:p>
    <w:p>
      <w:pPr>
        <w:keepNext/>
        <w:spacing w:before="160"/>
        <w:ind w:firstLine="0"/>
        <w:jc w:val="center"/>
      </w:pPr>
      <w:r>
        <w:rPr>
          <w:b/>
          <w:sz w:val="20"/>
        </w:rPr>
        <w:t>Table 11.1 Projected climate migration by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Bar chart: Sub-Saharan Africa 85 million, East Asia and Pacific 48, South Asia 40, North Africa 19, Latin America 17, small island states 2 to 3."/>
            <wp:cNvGraphicFramePr>
              <a:graphicFrameLocks noChangeAspect="1"/>
            </wp:cNvGraphicFramePr>
            <a:graphic>
              <a:graphicData uri="http://schemas.openxmlformats.org/drawingml/2006/picture">
                <pic:pic>
                  <pic:nvPicPr>
                    <pic:cNvPr id="0" name="fig11_1.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11.1 </w:t>
      </w:r>
      <w:r>
        <w:rPr>
          <w:sz w:val="19"/>
        </w:rPr>
        <w:t>Internal climate migrants by 2050, by region of origin</w:t>
      </w:r>
    </w:p>
    <w:p>
      <w:pPr>
        <w:spacing w:after="200"/>
        <w:ind w:firstLine="0"/>
        <w:jc w:val="center"/>
      </w:pPr>
      <w:r>
        <w:rPr>
          <w:i/>
          <w:color w:val="5A5A5A"/>
          <w:sz w:val="16"/>
        </w:rPr>
        <w:t>Source: Table 11.1; estimates are internal movements, not cross-border refugees.</w:t>
      </w:r>
    </w:p>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(Kelley et al., 2015).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Thousands of treaties and basin agreements govern shared rivers, and violent conflict over water is rare compared with the frequency of negotiation, even between hostile neighbours. What recurs is a pattern in which upstream development is perceived as a threat downstream, and the dispute becomes a surrogate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Lake Chad sits at the junction of Chad, Niger, Nigeria and Cameroon, and it has supported human settlement for thousands of years. In the 1960s it covered about 25,000 square kilometres, making it one of the largest lakes in Africa. By the 2000s it had shrunk to about 2,500 square kilometres, a decline of roughly 90 per cent, driven by reduced rainfall, increased irrigation and the growing demands of a population that rose from a few million to more than 30 million in the basin.</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Lake Chad’s retreat is a case where the physical change is real, the attribution is complicated, and the consequences are unambiguous. The lake covered about twenty-five thousand square kilometres in the 1960s and about a tenth of that by the 2000s, having shrunk through reduced rainfall, increased irrigation and the demands of a population that grew from a few million to more than thirty million. The retreat left dry lakebed, competing claims to fishing grounds and pasture, and a population dependent on an ecosystem that no longer supports it. The insurgency that followed exploited those grievances rather than creating them, which is the pattern that the research on climate and conflict most consistently describes.</w:t>
      </w:r>
    </w:p>
    <w:p>
      <w:r>
        <w:t>Lake Chad is not the largest case of its kind. The Aral Sea was the fourth largest lake in the world in 1960, and the diversion of its two feeder rivers for cotton irrigation reduced it to a fraction of its former area by the 2000s; the fishing towns that remain stand tens of kilometres from water, and the exposed seabed has become a source of salt and dust (Gleick, 2023). The Aral is the clearest demonstration that a shared water body can be destroyed by decisions taken upstream while the communities downstream continue to plan as if it will remain. The Lake Chad basin is smaller in scale and harder in its politics, and the mechanism is identical.</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w:t>
      </w:r>
    </w:p>
    <w:p>
      <w:pPr>
        <w:keepNext/>
        <w:spacing w:before="160"/>
        <w:ind w:firstLine="0"/>
        <w:jc w:val="center"/>
      </w:pPr>
      <w:r>
        <w:rPr>
          <w:b/>
          <w:sz w:val="20"/>
        </w:rPr>
        <w:t>Table 12.1 Climate exposure and conflict risk in fragile regions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 °C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 °C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(FERC &amp; NERC, 2021). Pipes burst in houses and in municipal water systems, and about 14 million people were placed under boil-water notices.</w:t>
      </w:r>
    </w:p>
    <w:p>
      <w:r>
        <w:t>The storm killed at least 210 people, according to the state’s own estimate, and caused about US$195 billion in damage, making it the costliest disaster in Texas history.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which is a larger public health event than the storm itself.</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failures cascaded. Natural gas wells and processing plants froze, reducing fuel supply; thermal plants tripped offline; wind turbines, some of them not weatherised, also failed; and the grid lost more than a third of its generating capacity. ERCOT ordered rolling blackouts, but the outages lasted for days in many areas, and more than 4.5 million customers lost power at the peak. Pipes burst in homes and in municipal systems, and about 14 million people were placed under boil-water notices.</w:t>
      </w:r>
    </w:p>
    <w:p>
      <w:r>
        <w:t>The human cost was concentrated among the vulnerable. At least 210 people died, according to the state, and independent estimates were higher. Many died of carbon monoxide poisoning from generators and grills used indoors; others died of hypothermia, of dialysis that could not be performed, and of oxygen that could not be delivered. The deaths were not evenly distributed: they were higher in low-income neighbourhoods and among people who could not afford to evacuate or to heat their homes.</w:t>
      </w:r>
    </w:p>
    <w:p>
      <w:r>
        <w:t>The economic cost was about US$195 billion, making it the costliest disaster in Texas history.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Winter Storm Uri exposed a grid that had been designed for summer peaks and regulated for a climate that did not include a week below minus ten. Natural gas wells froze, pipelines lost pressure, and thermal plants tripped, and the operator ordered rolling blackouts to prevent a total collapse. More than four and a half million homes and businesses lost power, pipes burst in houses and municipal systems, and about fourteen million people were placed under boil-water notices. The failure was not a surprise to the engineers who had warned about it; it was the predictable result of a market design that did not pay for winterisation and a regulatory culture that treated rare events as negligible.</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r>
        <w:t>Texas is not the only grid that failed in the same decade. Hurricane Maria destroyed most of Puerto Rico’s transmission system in September 2017, power was not restored to every customer for eleven months, and the official death count of 64 was later revised to an estimated 2,975 excess deaths, most of them in the months when the outage continued (Kishore et al., 2018). The Texas failure was caused by cold and the Puerto Rican failure by wind, but both exposed one design assumption: a system built to a single hazard profile, operated without redundancy, and restored on a schedule set by procurement rather than by need.</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w:t>
      </w:r>
    </w:p>
    <w:p>
      <w:pPr>
        <w:keepNext/>
        <w:spacing w:before="160"/>
        <w:ind w:firstLine="0"/>
        <w:jc w:val="center"/>
      </w:pPr>
      <w:r>
        <w:rPr>
          <w:b/>
          <w:sz w:val="20"/>
        </w:rPr>
        <w:t>Table 13.1 Infrastructure resilience by sector,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In November 2019, Italy’s education minister announced that climate change and sustainable development would become compulsory in all state schools. The reform took effect in the 2020–2021 school year and requires about thirty-three hours a year of climate education at every level, from primary to upper secondary. The hours are integrated into existing subjects rather than taught as a separate course, and the ministry framed the change as a response to the demands of students and to the obligations of the state.</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Italy’s compulsory climate curriculum is the most ambitious national reform attempted so far, and its early lessons are about implementation. The law requires about thirty-three hours a year at every level, integrated into existing subjects rather than taught separately. That design avoided the fragility of an optional subject, but it placed the burden on teachers of geography, science and civic education who had not been trained for it. The ministry invested in teacher training and materials, and the reform was framed as an obligation to the next generation rather than a political preference, which insulated it from some of the partisan contest that climate education attracts elsewhere.</w:t>
      </w:r>
    </w:p>
    <w:p>
      <w:r>
        <w:t>Italy is the first country; it is not the only jurisdiction. New Jersey became the first American state to require climate change to be taught in every grade and every subject, adopting the requirement in 2020 and writing it into its standards two years later. The Italian model is national and compulsory, the American one is state-level and cross-curricular, and both were designed to make climate literacy a condition of graduation rather than an elective. The difference that matters for the next two decades is not which model is better but whether either survives a change of government, which is why this chapter treats curriculum as infrastructure rather than as policy.</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w:t>
      </w:r>
    </w:p>
    <w:p>
      <w:pPr>
        <w:keepNext/>
        <w:spacing w:before="160"/>
        <w:ind w:firstLine="0"/>
        <w:jc w:val="center"/>
      </w:pPr>
      <w:r>
        <w:rPr>
          <w:b/>
          <w:sz w:val="20"/>
        </w:rPr>
        <w:t>Table 14.1 Climate education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(Cook et al., 2013).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r>
        <w:t>The same failure appeared in a quieter form after Hurricane Maria. The official death toll in Puerto Rico stood at 64 for months, and independent researchers later estimated 2,975 excess deaths; the discrepancy persisted because the counting method excluded deaths caused by the collapse of services rather than by wind and water (Kishore et al., 2018). Nobody had to invent a false story. The first number was simply wrong, and it was repeated by officials who had no reason to doubt it. That is the more common failure of climate information: not the deliberate lie but the figure that is never corrected, and it costs the same credibility when it is finally exposed.</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w:t>
      </w:r>
    </w:p>
    <w:p>
      <w:pPr>
        <w:keepNext/>
        <w:spacing w:before="160"/>
        <w:ind w:firstLine="0"/>
        <w:jc w:val="center"/>
      </w:pPr>
      <w:r>
        <w:rPr>
          <w:b/>
          <w:sz w:val="20"/>
        </w:rPr>
        <w:t>Table 15.1 Information environment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The mortality data tell the story of a slow emergency. The initial official count of 64 deaths was widely criticised, and a study by researchers at George Washington University estimated 2,975 excess deaths in the months following the storm (Kishore et al., 2018). Many were caused by the interruption of care: dialysis, oxygen, insulin refrigeration and access to medication. Others were caused by heat, unsafe water, carbon monoxide from generators, and the cumulative stress of months without basic services.</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Hurricane Maria is the clearest recent case of households carrying the response. The storm destroyed the electricity grid, knocked out water treatment and pumping, and closed roads and ports, leaving 3.4 million people without the systems they relied on (WHO &amp; UNICEF, 2023). In the weeks that followed, households that had stored water, food, medication and fuel managed; those that had not queued for hours or went without. The recovery was uneven in a way that mapped onto income and social connection: families with relatives on the mainland, with savings and with insurance recovered; those without any of the three did not. The lesson is not that preparation is sufficient, but that it is the difference between a bad month and a lost decade.</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The case changed the way that disaster mortality is counted, and it established that the official figure is often a count of the records rather than of the dead.</w:t>
      </w:r>
    </w:p>
    <w:p>
      <w:r>
        <w:t>Japan supplies the contrast from the other end of the preparedness scale. The Tōhoku earthquake of March 2011 triggered a tsunami warning within minutes, the warning reached almost every phone on the coast, and the seawalls held in some places and were overtopped in others; around eighteen thousand people died, and the great majority of them drowned rather than being caught without any warning at all (IFRC, 2022). Japan had the system the Puerto Rican households did not: alerts, shelters, drills and a population that knew what the siren meant. It still lost eighteen thousand people. That is the honest benchmark for household preparedness—not the absence of warning, but what a warning is worth when the water arrives faster than the plan.</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w:t>
      </w:r>
    </w:p>
    <w:p>
      <w:pPr>
        <w:keepNext/>
        <w:spacing w:before="160"/>
        <w:ind w:firstLine="0"/>
        <w:jc w:val="center"/>
      </w:pPr>
      <w:r>
        <w:rPr>
          <w:b/>
          <w:sz w:val="20"/>
        </w:rPr>
        <w:t>Table 16.1 Household preparedness by hazard,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(Robine et al., 2008).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 (Romanello et al., 2024).</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In the first two weeks of August 2003, a persistent high-pressure system brought exceptional heat to western and central Europe (Robine et al., 2008). Temperatures in France exceeded 40 °C in many places, night-time temperatures remained high, and the heat lasted long enough to exhaust the physiological reserves of vulnerable people. Across twelve countries, an estimated 70,000 people died; France alone recorded about 14,800 excess deaths (Robine et al., 2008).</w:t>
      </w:r>
    </w:p>
    <w:p>
      <w:r>
        <w:t>Death was concentrated among older people living alone, often in flats with poor insulation and no cooling. Many were not discovered for days, because neighbours and family were away on holiday and because the systems that might have checked on them did not exist. Nursing homes were overwhelmed; hospitals were stretched; and morgues ran out of capacity. The event exposed a gap between the meteorological warning and the public health response.</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r>
        <w:t>Chicago in 1995 is the comparison that keeps the European case honest. A heat wave of comparable severity struck a city with a modern health system, and about seven hundred and forty people died; the investigation that followed found that the deaths were concentrated among people who lived alone, in apartments without air conditioning, in neighbourhoods where fear of crime kept windows shut (Klinenberg, 2002). France in 2003 and Chicago in 1995 differ in the size of the toll and not in the profile of the dead. Both show that the mortality of a heat wave is decided before the heat arrives—by housing, by social contact, and by whether the city treats its elderly as a population or as a private matter.</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w:t>
      </w:r>
    </w:p>
    <w:p>
      <w:pPr>
        <w:keepNext/>
        <w:spacing w:before="160"/>
        <w:ind w:firstLine="0"/>
        <w:jc w:val="center"/>
      </w:pPr>
      <w:r>
        <w:rPr>
          <w:b/>
          <w:sz w:val="20"/>
        </w:rPr>
        <w:t>Table 17.1 Health system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Bar chart: 700,000 deaths with low adaptation, 500,000 with current trends, 250,000 with high adaptation."/>
            <wp:cNvGraphicFramePr>
              <a:graphicFrameLocks noChangeAspect="1"/>
            </wp:cNvGraphicFramePr>
            <a:graphic>
              <a:graphicData uri="http://schemas.openxmlformats.org/drawingml/2006/picture">
                <pic:pic>
                  <pic:nvPicPr>
                    <pic:cNvPr id="0" name="fig17_1.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17.1 </w:t>
      </w:r>
      <w:r>
        <w:rPr>
          <w:sz w:val="19"/>
        </w:rPr>
        <w:t>Annual excess heat deaths in 2050 under three adaptation paths</w:t>
      </w:r>
    </w:p>
    <w:p>
      <w:pPr>
        <w:spacing w:after="200"/>
        <w:ind w:firstLine="0"/>
        <w:jc w:val="center"/>
      </w:pPr>
      <w:r>
        <w:rPr>
          <w:i/>
          <w:color w:val="5A5A5A"/>
          <w:sz w:val="16"/>
        </w:rPr>
        <w:t>Source: Table 17.1.</w:t>
      </w:r>
    </w:p>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On 14 and 15 July 2021, a slow-moving low-pressure system produced extreme rainfall over western Germany, Belgium and the Netherlands. In the Ahr valley, up to 200 millimetres fell in less than 24 hours, and the river rose within hours. The flood destroyed houses, roads and bridges, cut power and communications, and killed 134 people in the Ahrweiler district alone; across Germany and Belgium the death toll exceeded 180, and damage was estimated at more than €30 billion (Kreienkamp et al., 2021).</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r>
        <w:t>The Ahr valley has an American counterpart that makes the governance point sharper. Hurricane Harvey stalled over Houston in August 2017 and dropped more than a thousand millimetres of rain in a week; the forecast was accurate days in advance, the warnings were issued, and the damage still came to about a hundred and twenty-five billion dollars, because the city had permitted development on the floodplain for decades (UNDRR, 2022). Germany and Texas differ in almost every institutional respect and agree on one thing: the information arrived and the land use did not change. Governance in the next two decades will be judged less on forecasting than on what is allowed to be built where.</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w:t>
      </w:r>
    </w:p>
    <w:p>
      <w:pPr>
        <w:keepNext/>
        <w:spacing w:before="160"/>
        <w:ind w:firstLine="0"/>
        <w:jc w:val="center"/>
      </w:pPr>
      <w:r>
        <w:rPr>
          <w:b/>
          <w:sz w:val="20"/>
        </w:rPr>
        <w:t>Table 18.1 Governance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(IRENA, 2023).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(IRENA, 2023).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(IRENA, 2023).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cost of solar electricity has fallen so far and so fast that the historical forecasts have become a joke at the expense of the forecasters. The module price has dropped by roughly ninety per cent since 2010, and the fall has continued through periods when the industry was losing money, which is the signature of a learning curve rather than a subsidy cycle (IRENA, 2023). The consequence is that solar is now the cheapest new source of electricity in most sunny places, and the constraint has shifted from the cost of the panel to the cost of the land, the grid connection and the storage that makes the output firm. Manufacturing is concentrated in a single country, which is now a resilience question of its own.</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(IRENA, 2023).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(IRENA, 2023).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(IEA, 2023).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(IEA, 2023).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Bangladesh’s solar home system programme is the largest off-grid electrification effort in the world and a case study in how institutions determine whether a technology spreads. In the 1990s most rural households had no electricity, and kerosene was the main source of light (IEA, 2023). The government, with support from the World Bank and other donors, established a programme to finance solar home systems through microcredit institutions, and the microcredit institutions already had the relationships and the repayment infrastructure that a new market needed. The result was millions of systems installed, a local technician network, and a market that continued after the subsidy changed. The programme worked because it used an existing institution rather than creating a new one.</w:t>
      </w:r>
    </w:p>
    <w:p>
      <w:r>
        <w:t>The Bangladeshi solar home system programme reached more than four million households, and the reason it reached them was a business model rather than a subsidy.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r>
        <w:t>Bangladesh shows that financing can be solved at small scale; Morocco shows what happens when it is attempted at large scale. The Noor Ouarzazate complex in the Moroccan desert reached about six hundred megawatts of concentrated solar capacity, a scale that made it the largest of its kind when its final phase came online, and it was financed by a combination of concessional loans, climate funds and a sovereign guarantee (IRENA, 2023). The two cases mark the two ends of the same problem: the solar home system works because the unit is small enough for a household to pay for, and the utility-scale plant works because a state can borrow against it. What fails is everything in between, which is where most of the next two decades will be spent.</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w:t>
      </w:r>
    </w:p>
    <w:p>
      <w:pPr>
        <w:keepNext/>
        <w:spacing w:before="160"/>
        <w:ind w:firstLine="0"/>
        <w:jc w:val="center"/>
      </w:pPr>
      <w:r>
        <w:rPr>
          <w:b/>
          <w:sz w:val="20"/>
        </w:rPr>
        <w:t>Table 19.1 Clean energy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(CAL FIRE, 2019).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(Hickman et al., 2021).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The balance is honest hope: a clear account of the risk combined with a clear account of what can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On 8 November 2018 a fire began near Pulga, California, and spread rapidly through the town of Paradise (CAL FIRE, 2019). Within hours, much of the town was destroyed. Eighty-five people died, most of them older or disabled residents who could not evacuate quickly, and nearly 19,000 structures were lost. It was the deadliest and most destructive wildfire in California’s history.</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r>
        <w:t>The mental health literature has a second case that makes the same point over a longer period. Studies after Hurricane Katrina found rates of post-traumatic stress disorder and depression well above baseline among residents of New Orleans, and the rates were highest among those who had not returned, who had lost their homes, and who had no financial margin to absorb the loss (Galea et al., 2005). The Camp Fire and Katrina differ in scale and in kind of hazard, and they agree on the mechanism: psychological harm follows the loss of place and the failure of institutions more closely than it follows the wind speed. That is why the projections in this chapter treat displacement as a mental health exposure rather than an economic one.</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w:t>
      </w:r>
    </w:p>
    <w:p>
      <w:pPr>
        <w:keepNext/>
        <w:spacing w:before="160"/>
        <w:ind w:firstLine="0"/>
        <w:jc w:val="center"/>
      </w:pPr>
      <w:r>
        <w:rPr>
          <w:b/>
          <w:sz w:val="20"/>
        </w:rPr>
        <w:t>Table 20.1 Mental health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Africa accounts for less than 4 per cent.</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(IPCC, 2021).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r>
        <w:t>The fund has an antecedent that explains why it was demanded. Typhoon Haiyan made landfall in the Philippines in November 2013 and killed about six thousand people; the Philippine delegation at the climate talks that followed refused to accept a voluntary pledge system and demanded a mechanism in which the countries that had emitted most would pay for the damage from events they had not caused (UNDRR, 2022). Tuvalu and the Philippines differ in size, in geography and in the hazard they face, and they agree on the legal argument: compensation is not charity, because charity can be withdrawn. The predictions in this chapter therefore turn less on how much the fund holds than on whether its payouts are treated as an obligation.</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w:t>
      </w:r>
    </w:p>
    <w:p>
      <w:pPr>
        <w:keepNext/>
        <w:spacing w:before="160"/>
        <w:ind w:firstLine="0"/>
        <w:jc w:val="center"/>
      </w:pPr>
      <w:r>
        <w:rPr>
          <w:b/>
          <w:sz w:val="20"/>
        </w:rPr>
        <w:t>Table 21.1 Climate justice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Those who died had no experience of such heat and no means to escape it. In British Columbia, about 619 deaths were attributed to the event, most of them people over 70 living alone in homes without air conditioning. In Oregon, officials reported more than 100 deaths; in Washington, dozens. Many died indoors, which is characteristic of heat events in temperate cities where housing is designed to retain heat.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(Victorian Bushfires Royal Commission, 2010). In California in 2018, eighty-five people died in a town that burned in a few hours, most of them older or disabled residents who could not evacuate (CAL FIRE, 2019).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 (Kreienkamp et al., 2021).</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141 people, many of them poor residents living in the cheapest housing.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In late June 2021, a ridge of high pressure settled over the Pacific Northwest and produced temperatures unprecedented in the instrumental record. Lytton, a village of about 250 people in the Fraser Canyon, recorded 49.6 °C on 29 June, the highest temperature ever measured in Canada (Philip et al., 2022). The previous national record had been 45 °C, set in 1937, and the margin was so large that some scientists initially questioned the measurement.</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w:t>
      </w:r>
    </w:p>
    <w:p>
      <w:r>
        <w:t>Two days after the record, a wildfire swept through Lytton and destroyed most of the village.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r>
        <w:t>Europe supplies the case that shows how fast a first-time record becomes routine. In July 2022 the United Kingdom recorded 40.3 °C at Coningsby, the first temperature above 40 °C ever measured in the country, and the heat caused the first attributed excess mortality of its kind in a country whose housing had been designed to retain warmth (Philip et al., 2022). Lytton and Coningsby are the same event in two climates: a temperature that the local built environment, the local health service and the local population had never experienced. The difference is that Britain had a warning system and a health service, and still lost thousands; that gap between having institutions and being ready is what the 2050 scenarios in this chapter quantify.</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w:t>
      </w:r>
    </w:p>
    <w:p>
      <w:pPr>
        <w:keepNext/>
        <w:spacing w:before="160"/>
        <w:ind w:firstLine="0"/>
        <w:jc w:val="center"/>
      </w:pPr>
      <w:r>
        <w:rPr>
          <w:b/>
          <w:sz w:val="20"/>
        </w:rPr>
        <w:t>Table 22.1 Comparative disaster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Logarithmic bar chart: Europe 2003 about 70,000 deaths, Pakistan 2022 1,700, Chicago 1995 739, Lytton 619, Germany 2021 more than 180, Black Saturday 173, Seoul 141, Camp Fire 85."/>
            <wp:cNvGraphicFramePr>
              <a:graphicFrameLocks noChangeAspect="1"/>
            </wp:cNvGraphicFramePr>
            <a:graphic>
              <a:graphicData uri="http://schemas.openxmlformats.org/drawingml/2006/picture">
                <pic:pic>
                  <pic:nvPicPr>
                    <pic:cNvPr id="0" name="fig22_1.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Figure 22.1 </w:t>
      </w:r>
      <w:r>
        <w:rPr>
          <w:sz w:val="19"/>
        </w:rPr>
        <w:t>Deaths in eight urban and wildfire disasters, on a logarithmic scale</w:t>
      </w:r>
    </w:p>
    <w:p>
      <w:pPr>
        <w:spacing w:after="200"/>
        <w:ind w:firstLine="0"/>
        <w:jc w:val="center"/>
      </w:pPr>
      <w:r>
        <w:rPr>
          <w:i/>
          <w:color w:val="5A5A5A"/>
          <w:sz w:val="16"/>
        </w:rPr>
        <w:t>Source: Table 22.1. Lytton shows deaths for British Columbia in 2021.</w:t>
      </w:r>
    </w:p>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2011 Somali famine was declared after months of warning, and it killed about 258,000 people (Checchi &amp; Robinson, 2013). The 2022 crisis was different in important respects: early action by humanitarian agencies and local organisations, including cash transfers and livestock support, is thought to have prevented a declared famine, although the death toll was still high. A study published in 2023 estimated about 43,000 excess deaths in Somalia in 2022, half of them among children under five.</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Somalia in 2011 and 2022 offers a comparison in which the difference was largely operational (Checchi &amp; Robinson, 2013). In 2011, warnings were issued months before the famine declaration, but access to territory controlled by al-Shabaab was restricted, donor response was slow, and about a quarter of a million people died, half of them children under five. In 2022, a similar drought produced a much larger humanitarian response before famine was declared, including cash transfers and livestock support delivered by local organisations, and the worst outcomes were avoided in many areas. The contrast is evidence that early action works when it is funded and when local access exists.</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The 2011 famine in southern Somalia followed two consecutive failed rainy seasons and a drought that affected the wider Horn of Africa (Checchi &amp; Robinson, 2013). Pastoralists lost their herds, farmers lost their harvests, and food prices rose sharply. By July, the United Nations declared famine in two regions, and the eventual death toll was estimated at about 258,000, half of them children under five.</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r>
        <w:t>Somalia in 2017 is the case that shows what early warning can buy. The same rains failed, the same drought developed, and this time the warning came early enough for a large-scale response; famine was not declared, although the crisis killed tens of thousands of people and displaced more than a million (Checchi &amp; Robinson, 2013). The comparison with 2011 is the most useful one in the famine literature, because almost nothing changed in the weather and almost everything changed in the timing of the money. That is the basis for the projections in this chapter: famine in the next two decades will be a failure of procurement and logistics far more often than a failure of rainfall.</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w:t>
      </w:r>
    </w:p>
    <w:p>
      <w:r>
        <w:t>The baseline is a hunger crisis that is already here. About 735 million people faced hunger in 2022, and nearly 3 billion could not afford a healthy diet (FAO, 2023).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w:t>
      </w:r>
    </w:p>
    <w:p>
      <w:pPr>
        <w:keepNext/>
        <w:spacing w:before="160"/>
        <w:ind w:firstLine="0"/>
        <w:jc w:val="center"/>
      </w:pPr>
      <w:r>
        <w:rPr>
          <w:b/>
          <w:sz w:val="20"/>
        </w:rPr>
        <w:t>Table 23.1 Slow-onset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Logarithmic bar chart: Ethiopia 1984–85 about 1,000,000 deaths, Somalia 2011 258,000, Sahel 1972–74 about 100,000, Somalia 2022 about 43,000."/>
            <wp:cNvGraphicFramePr>
              <a:graphicFrameLocks noChangeAspect="1"/>
            </wp:cNvGraphicFramePr>
            <a:graphic>
              <a:graphicData uri="http://schemas.openxmlformats.org/drawingml/2006/picture">
                <pic:pic>
                  <pic:nvPicPr>
                    <pic:cNvPr id="0" name="fig23_1.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23.1 </w:t>
      </w:r>
      <w:r>
        <w:rPr>
          <w:sz w:val="19"/>
        </w:rPr>
        <w:t>Deaths in four drought and famine crises, on a logarithmic scale</w:t>
      </w:r>
    </w:p>
    <w:p>
      <w:pPr>
        <w:spacing w:after="200"/>
        <w:ind w:firstLine="0"/>
        <w:jc w:val="center"/>
      </w:pPr>
      <w:r>
        <w:rPr>
          <w:i/>
          <w:color w:val="5A5A5A"/>
          <w:sz w:val="16"/>
        </w:rPr>
        <w:t>Source: Table 23.1. Syria 2006–10 is omitted because the table records displacement, not deaths.</w:t>
      </w:r>
    </w:p>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Business continuity is the private sector’s version of the household plan, and it matters because most of the economy is private. A business that has identified its critical functions, its dependencies on power, water, transport and data, and its alternative suppliers, can resume within days; a business that has not may never reopen. The research on small firms after disasters finds that the ones with a plan and a line of credit recover, and the ones without them fail at a high rate. Insurance is part of the plan, and the policy must be read before the event, because the exclusions are where the disputes are.</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In November 1970 the Bhola cyclone killed an estimated 300,000 to 500,000 people in the low-lying delta of East Pakistan. There was no warning system capable of reaching coastal villages, almost no cyclone shelters, and no organised evacuation. The storm surge arrived at night, and most victims drowned in their homes.</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Between the Bhola cyclone of 1970 and Cyclone Amphan of 2020 lie fifty years, the clearest record of what preparedness can achieve. Bhola killed an estimated three hundred to five hundred thousand people in the low-lying delta of East Pakistan, with no warning system capable of reaching coastal villages, almost no cyclone shelters, and no organised evacuation. Bangladesh then built a warning system that reaches villages by megaphone and mobile phone, a network of raised shelters, and a volunteer network that moves people before the surge arrives. When Amphan made landfall in 2020, it was a comparably powerful storm, and the death toll was in the dozens rather than the hundreds of thousands. The lesson is not that the country was lucky; it is that five decades of unglamorous investment changed the arithmetic of survival.</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r>
        <w:t>Cuba supplies the comparison that keeps the Bangladesh story from looking inevitable. The island is hit by hurricanes more often than almost anywhere in the region, and its civil defence system—mandatory evacuation, pre-assigned shelters, neighbourhood wardens who know who is elderly and who needs transport—has kept death tolls in the tens for storms that killed hundreds elsewhere in the Caribbean (IFRC, 2022). Bhola, Odisha in 1999, Odisha in 2013 and Cuba in the same decades describe one trajectory: the death toll falls when the warning reaches the household and the household has somewhere to go. The remaining gap in every one of these cases is the same, and it is not meteorological.</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w:t>
      </w:r>
    </w:p>
    <w:p>
      <w:pPr>
        <w:keepNext/>
        <w:spacing w:before="160"/>
        <w:ind w:firstLine="0"/>
        <w:jc w:val="center"/>
      </w:pPr>
      <w:r>
        <w:rPr>
          <w:b/>
          <w:sz w:val="20"/>
        </w:rPr>
        <w:t>Table 24.1 Preparedness priorities by horizon,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pPr>
        <w:pStyle w:val="Heading1"/>
        <w:pageBreakBefore/>
      </w:pPr>
      <w:r>
        <w:t>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Glossary</w:t>
      </w:r>
    </w:p>
    <w:p>
      <w:pPr>
        <w:ind w:firstLine="0" w:left="454"/>
        <w:jc w:val="left"/>
      </w:pPr>
      <w:r>
        <w:t>• Adaptation: Adjusting to actual or expected climate impacts.</w:t>
      </w:r>
    </w:p>
    <w:p>
      <w:pPr>
        <w:ind w:firstLine="0" w:left="454"/>
        <w:jc w:val="left"/>
      </w:pPr>
      <w:r>
        <w:t>• Mitigation: Reducing greenhouse gas emissions.</w:t>
      </w:r>
    </w:p>
    <w:p>
      <w:pPr>
        <w:ind w:firstLine="0" w:left="454"/>
        <w:jc w:val="left"/>
      </w:pPr>
      <w:r>
        <w:t>• Resilience: Capacity to absorb disturbance and reorganize.</w:t>
      </w:r>
    </w:p>
    <w:p>
      <w:pPr>
        <w:ind w:firstLine="0" w:left="454"/>
        <w:jc w:val="left"/>
      </w:pPr>
      <w:r>
        <w:t>• Vulnerability: Susceptibility to harm.</w:t>
      </w:r>
    </w:p>
    <w:p>
      <w:pPr>
        <w:ind w:firstLine="0" w:left="454"/>
        <w:jc w:val="left"/>
      </w:pPr>
      <w:r>
        <w:t>• Exposure: Presence of people or assets in hazard-prone areas.</w:t>
      </w:r>
    </w:p>
    <w:p>
      <w:pPr>
        <w:ind w:firstLine="0" w:left="454"/>
        <w:jc w:val="left"/>
      </w:pPr>
      <w:r>
        <w:t>• Sensitivity: Degree to which a system is affected by climate.</w:t>
      </w:r>
    </w:p>
    <w:p>
      <w:pPr>
        <w:ind w:firstLine="0" w:left="454"/>
        <w:jc w:val="left"/>
      </w:pPr>
      <w:r>
        <w:t>• Adaptive capacity: Ability to adjust to climate change.</w:t>
      </w:r>
    </w:p>
    <w:p>
      <w:pPr>
        <w:ind w:firstLine="0" w:left="454"/>
        <w:jc w:val="left"/>
      </w:pPr>
      <w:r>
        <w:t>• Tipping point: Threshold beyond which change becomes self-sustaining.</w:t>
      </w:r>
    </w:p>
    <w:p>
      <w:pPr>
        <w:ind w:firstLine="0" w:left="454"/>
        <w:jc w:val="left"/>
      </w:pPr>
      <w:r>
        <w:t>• Greenhouse effect: Trapping of heat by atmospheric gases.</w:t>
      </w:r>
    </w:p>
    <w:p>
      <w:pPr>
        <w:ind w:firstLine="0" w:left="454"/>
        <w:jc w:val="left"/>
      </w:pPr>
      <w:r>
        <w:t>• Carbon footprint: Total greenhouse gas emissions caused by an entity.</w:t>
      </w:r>
    </w:p>
    <w:p>
      <w:pPr>
        <w:ind w:firstLine="0" w:left="454"/>
        <w:jc w:val="left"/>
      </w:pPr>
      <w:r>
        <w:t>• SSP: Shared Socioeconomic Pathway (scenario framework).</w:t>
      </w:r>
    </w:p>
    <w:p>
      <w:pPr>
        <w:ind w:firstLine="0" w:left="454"/>
        <w:jc w:val="left"/>
      </w:pPr>
      <w:r>
        <w:t>• RCP: Representative Concentration Pathway.</w:t>
      </w:r>
    </w:p>
    <w:p>
      <w:pPr>
        <w:ind w:firstLine="0" w:left="454"/>
        <w:jc w:val="left"/>
      </w:pPr>
      <w:r>
        <w:t>• Committed warming: Warming locked in by past emissions.</w:t>
      </w:r>
    </w:p>
    <w:p>
      <w:pPr>
        <w:pStyle w:val="Heading1"/>
        <w:pageBreakBefore/>
      </w:pPr>
      <w:r>
        <w:t>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pStyle w:val="Heading1"/>
        <w:pageBreakBefore/>
      </w:pPr>
      <w:r>
        <w:t>References</w:t>
      </w:r>
    </w:p>
    <w:p>
      <w:pPr>
        <w:pStyle w:val="Heading2"/>
      </w:pPr>
      <w:r>
        <w:t>Works Cited</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et al.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 °C rather than 2 °C.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et al.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holds a bachelor’s degree in history education (S.Pd.) from Universitas Negeri Malang, Indonesia. His degree is a teaching degree in history, and the habit it instils is the one this book depends on: read a primary record closely, weigh one source against another, and separate what the evidence establishes from what the narrator assumes. That discipline is what he brings to the climate record.</w:t>
      </w:r>
    </w:p>
    <w:p>
      <w:r>
        <w:t>The method here is the historian’s method applied to a faster subject. Patterns of the past — the order in which a hazard becomes a famine, a warning becomes a failure, a coastline becomes a city — are read beside data from the present: temperature records, displacement counts, loss estimates, the price of bread. Where the two agree, the repetition is treated as a signal rather than a coincidence. Where they diverge, the book says so rather than smoothing the difference away.</w:t>
      </w:r>
    </w:p>
    <w:p>
      <w:r>
        <w:t>Predicting the future from that comparison is not prophecy. The claim is narrower: human systems tend to fail in recognisable orders, and the order can be learned from the record of the past two decades. A book of predictions is worth reading only if it can be checked, which is why every chapter here closes by naming the observation that would prove it wrong.</w:t>
      </w:r>
    </w:p>
    <w:p>
      <w:r>
        <w:t>He lives in Indonesia, where the hazards described in these pages — heat, flood, drought and displacement — are ordinary experience rather than projection. That proximity shapes the argument: the difference between a hazard and a disaster is usually a decision, and decisions can be made differently. What follows is an attempt to make those decisions legible while there is still time to take them.</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11 data figures,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