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3"/>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That changed with Argo, an international programme that began deploying autonomous profiling floats in 2000 and now maintains roughly four thousand of them.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Agriculture accounts for about 60 per cent of the lost hours, followed by construction and industry.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4"/>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5"/>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6"/>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7"/>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8"/>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Agriculture accounts for about 60 per cent of the lost hours, followed by construction, manufacturing and transport.</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9"/>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20"/>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2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In California in 2018, eighty-five people died in a town that burned in a few hours, most of them older or disabled residents who could not evacuate.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2"/>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3"/>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Appendix A: 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Appendix B: 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Appendix C: 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Appendix D: 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is a professional working across AI development, product management and digital marketing, with a focus on AI-based products and digital services.</w:t>
      </w:r>
    </w:p>
    <w:p>
      <w:r>
        <w:t>He is based in Indonesia, where the hazards this book describes — heat, flood, drought and displacement — are part of ordinary experience rather than projection. That proximity shapes the argument here: the difference between a hazard and a disaster is usually a decision, and decisions can be made differently.</w:t>
      </w:r>
    </w:p>
    <w:sectPr w:rsidR="00FC693F" w:rsidRPr="0006063C" w:rsidSect="00034616">
      <w:headerReference w:type="default" r:id="rId9"/>
      <w:headerReference w:type="even" r:id="rId10"/>
      <w:footerReference w:type="default" r:id="rId11"/>
      <w:footerReference w:type="even" r:id="rId12"/>
      <w:pgSz w:w="11906" w:h="16838"/>
      <w:pgMar w:top="1701" w:right="1474" w:bottom="2268" w:left="1928"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lef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sz w:val="17"/>
      </w:rPr>
      <w:t>SURVIVING THE FUTURE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