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w:t>
      </w:r>
    </w:p>
    <w:p>
      <w:r>
        <w:t>The remaining carbon budget makes the arithmetic explicit. To have a fifty per cent chance of holding warming to 1.5 °C, the world can emit roughly 250 billion tonnes of carbon dioxide more — about six years at current rates.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That changed with Argo, an international programme that began deploying autonomous profiling floats in 2000 and now maintains roughly four thousand of them.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Agriculture accounts for about 60 per cent of the lost hours, followed by construction and industry.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pStyle w:val="Heading2"/>
      </w:pPr>
      <w: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Agriculture accounts for about 60 per cent of the lost hours, followed by construction, manufacturing and transport.</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In California in 2018, eighty-five people died in a town that burned in a few hours, most of them older or disabled residents who could not evacuate.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Appendix A: 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Appendix B: 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Appendix C: 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Appendix D: 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