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 (Robine et al., 2008).</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