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James Hansen, former director of NASA’s Goddard Institute for Space Studies, argued in 2013 that two degrees of warming would be enough to expect several metres of sea-level rise, and called the consequences disastrous.</w:t>
      </w:r>
    </w:p>
    <w:p>
      <w:pPr>
        <w:ind w:left="720" w:firstLine="0"/>
      </w:pPr>
      <w:r>
        <w:rPr>
          <w:i/>
        </w:rPr>
        <w:t>Katharine Hayhoe, Texas Tech climate scientist (2014, after the IPCC fifth assessment): climate change is here and now rather than in some distant time or place, and the choices made today will shape what the future holds.</w:t>
      </w:r>
    </w:p>
    <w:p>
      <w:pPr>
        <w:ind w:left="720" w:firstLine="0"/>
      </w:pPr>
      <w:r>
        <w:rPr>
          <w:i/>
        </w:rPr>
        <w:t>Michael Mann, Penn State climatologist (2004; 2021): the scientific consensus on human-caused climate change is comparable to the consensus on gravity, because multiple independent lines of evidence converge.</w:t>
      </w:r>
    </w:p>
    <w:p>
      <w:pPr>
        <w:ind w:left="720" w:firstLine="0"/>
      </w:pPr>
      <w:r>
        <w:rPr>
          <w:i/>
        </w:rPr>
        <w:t>Friederike Otto, Imperial College and co-founder of World Weather Attribution (2021): the Pacific Northwest heatwave of 2021 would have been virtually impossible without human-caused climate change.</w:t>
      </w:r>
    </w:p>
    <w:p>
      <w:pPr>
        <w:ind w:left="720" w:firstLine="0"/>
      </w:pPr>
      <w:r>
        <w:rPr>
          <w:i/>
        </w:rPr>
        <w:t>Johan Rockström, Potsdam Institute for Climate Impact Research and Stockholm Resilience Centre (2009 Nature; 2023 update): planetary boundaries define a safe operating space for humanity, and six of the nine are now transgressed.</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(CIFFC, 2023).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 °C above the 1850–1900 baseline, at about 1.55 °C, with 2023 close behind at 1.45 °C (WMO, 2025).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 °C therefore describes a world in which some regions have already experienced 2.5 °C or 3 °C of local warming, and in which the statistics of extreme heat have shifted far more than the mean.</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(UNDRR, 2022).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(Ballester et al., 2023).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 °C and 4.4 °C at the end of the century is not a difference in physics; it is a difference in cumulative carbon, and cumulative carbon is still being decided.</w:t>
      </w:r>
    </w:p>
    <w:p>
      <w:r>
        <w:t>The remaining carbon budget makes the arithmetic explicit. To have a fifty per cent chance of holding warming to 1.5 °C, the world can emit roughly 250 billion tonnes of carbon dioxide more — about six years at current rates (IPCC, 2021). For 2 °C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pPr>
        <w:pStyle w:val="Heading2"/>
      </w:pPr>
      <w:r>
        <w:t>1.12 Future Scenarios and Predictions: What the Next Two Decades Hold</w:t>
      </w:r>
    </w:p>
    <w:p>
      <w:r>
        <w:t>Everything that follows in this book rests on a trend that is already measurable. Since 1970, global surface temperature has risen by about 0.18 °C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 °C of warming by 2100 if current policies are maintained, according to the International Energy Agency’s assessment of announced pledges and implemented measures. That is below the 4.4 °C of the highest scenario but well above the 1.5 °C target. The near-term trajectory is largely locked in by emissions already released and by infrastructure already built: even if every country met its net-zero pledge, the next two decades would still warm by about 0.4 °C above the current level.</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 °C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w:t>
      </w:r>
    </w:p>
    <w:p>
      <w:pPr>
        <w:keepNext/>
        <w:spacing w:before="160"/>
        <w:ind w:firstLine="0"/>
        <w:jc w:val="center"/>
      </w:pPr>
      <w:r>
        <w:rPr>
          <w:b/>
          <w:sz w:val="20"/>
        </w:rPr>
        <w:t>Table 1.1 Three futures for the next two decades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 °C and one that warms by 4.4 °C by 2100 is not a matter of scientific taste.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Two of the four gases are usually left out of public discussion, and both matter. Nitrous oxide comes mainly from nitrogen fertiliser and manure, is nearly three hundred times more potent than carbon dioxide per molecule and lasts about a century; it is also the largest remaining threat to the ozone layer. The fluorinated gases — hydrofluorocarbons, perfluorocarbons and sulphur hexafluoride — are present in tiny quantities and are used in refrigeration, air conditioning and industrial processes; some have warming potentials in the thousands. The Kigali Amendment to the Montreal Protocol, agreed in 2016, schedules their phase-down and is expected to avoid a measurable fraction of a degree. Neither gas can be addressed by energy policy alone, which is why agricultural and industrial policy belong in any credible climate plan.</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 °C above the 1850–1900 average and 2024 at about 1.55 °C, the warmest year in the instrumental record (WMO, 2025). Neither figure should be read as ‘the climate has reached 1.5 °C’; a single year bounces above and below the trend because of El Niño, volcanic aerosols, solar variability and the weather of the ocean (Haigh, 2020). The trend itself, averaged over a decade, is currently rising at roughly 0.2 °C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 °C (Morice et al., 2021; Lenssen et al., 2019; Rohde and Hausfather, 2020; Hausfather et al., 2023).</w:t>
      </w:r>
    </w:p>
    <w:p>
      <w:r>
        <w:t>What the corrected record shows is a rise of about 1.2 °C since the late nineteenth century, unevenly distributed: land has warmed faster than ocean, the Arctic three to four times faster than the global average, and nights faster than days.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 °C above 1850–1900 (IPCC, 2021). The second group found that roughly 3.3 to 3.6 billion people live in contexts that are highly vulnerable to climate change (IPCC, 2022a). The third found that the policies in place at the time of writing would produce warming of about 2.7 °C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It also distinguishes between an assessed range, which reflects the judgement of the author team across all available evidence, and the spread of model results, which reflects only the models. Statements such as ‘warming of 1.5 °C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 °C and 2 °C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 °C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(NOAA, 2025).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 °C over the same period and is currently rising at roughly 0.2 °C per decade (IPCC, 2021). Sea level, which lagged the temperature rise for most of the twentieth century, is now accelerating.</w:t>
      </w:r>
    </w:p>
    <w:p>
      <w:r>
        <w:t>The present position can be stated with unusual precision. For a fifty per cent chance of holding warming below 1.5 °C, the remaining carbon budget is roughly 250 billion tonnes of CO2 — about six years of current emissions (Friedlingstein et al., 2023). For 2 °C the budget is larger but still finite, and the policies in place in 2025 imply warming of about 2.7 °C by 2100 rather than the 1.5 °C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 °C and declines slowly thereafter. The second assumes that current policies continue and are strengthened gradually, producing net zero late in the century; warming reaches about 2.7 °C. The third assumes that decarbonisation stalls and that coal, oil and gas remain dominant; warming reaches roughly 4.4 °C,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w:t>
      </w:r>
    </w:p>
    <w:p>
      <w:pPr>
        <w:keepNext/>
        <w:spacing w:before="160"/>
        <w:ind w:firstLine="0"/>
        <w:jc w:val="center"/>
      </w:pPr>
      <w:r>
        <w:rPr>
          <w:b/>
          <w:sz w:val="20"/>
        </w:rPr>
        <w:t>Table 2.1 Three physical trajectories to 2100 (relative to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Slope chart: warming rises from about 1.6, 2.0 and 2.6 degrees in 2050 to 1.8, 2.7 and 4.4 degrees in 2100 for the three trajectories."/>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2.1 </w:t>
      </w:r>
      <w:r>
        <w:rPr>
          <w:sz w:val="19"/>
        </w:rPr>
        <w:t>Warming in 2050 and 2100 under three emission trajectories</w:t>
      </w:r>
    </w:p>
    <w:p>
      <w:pPr>
        <w:spacing w:after="200"/>
        <w:ind w:firstLine="0"/>
        <w:jc w:val="center"/>
      </w:pPr>
      <w:r>
        <w:rPr>
          <w:i/>
          <w:color w:val="5A5A5A"/>
          <w:sz w:val="16"/>
        </w:rPr>
        <w:t>Source: Table 2.1. Bars show the 2100 range; SSP scenarios as summarised in IPCC (2021, 2023).</w:t>
      </w:r>
    </w:p>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 °C,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 °C as a limit to be approached with caution rather than a target to be traded against other priorities.</w:t>
      </w:r>
    </w:p>
    <w:p>
      <w:r>
        <w:t>Tipping points are thresholds beyond which a component of the system reorganises into a different state, often irreversibly on human timescales.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(IPCC, 2019b). That changed with Argo, an international programme that began deploying autonomous profiling floats in 2000 and now maintains roughly four thousand of them (IPCC, 2019b).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w:t>
      </w:r>
    </w:p>
    <w:p>
      <w:pPr>
        <w:keepNext/>
        <w:spacing w:before="160"/>
        <w:ind w:firstLine="0"/>
        <w:jc w:val="center"/>
      </w:pPr>
      <w:r>
        <w:rPr>
          <w:b/>
          <w:sz w:val="20"/>
        </w:rPr>
        <w:t>Table 3.1 System thresholds and what to watch for</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 °C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 °C; collapse at 2 °C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 °C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 °C is dangerous; a humid 35 °C wet-bulb is close to unsurvivable for more than a few hours (Vecellio et al., 2022).</w:t>
      </w:r>
    </w:p>
    <w:p>
      <w:r>
        <w:t>The theoretical limit of 35 °C wet-bulb was proposed by Sherwood and Huber (2010) on the basis of a resting metabolic rate. Laboratory work since then has found that the critical wet-bulb temperature for healthy young adults at rest is closer to 31 °C,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 °C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 °C for one afternoon is a different emergency from a forecast of 35 °C for seven consecutive days with nights above 28 °C.</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 °C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 °C warmer than their rural surroundings during the day and can be more than 10 °C warmer at night.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 °C between neighbourhoods a few kilometres apart, with the hottest areas corresponding to dense informal settlements, industrial zones and bare ground, and the coolest to parks, tree-lined streets and water bodies.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The urban heat island is the difference between the temperature of a city and the temperature of the countryside around it, and it is produced by the materials rather than by the climate. Asphalt and concrete absorb solar radiation and release it slowly, the geometry of streets traps the heat that would otherwise escape, vehicles and air conditioners add waste heat, and the vegetation that would have cooled the air through evaporation has been replaced by surfaces that cannot. The difference is typically a few degrees, and it is largest at night and during calm, clear weather, which is precisely when the danger to health is highest. Within a city the difference is not uniform: the hottest neighbourhoods are usually the ones with the least shade and the least money.</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(ILO, 2019). Agriculture accounts for about 60 per cent of the lost hours, followed by construction and industry (ILO, 2019). The losses are concentrated in South Asia, Sub-Saharan Africa and Southeast Asia, where outdoor work is common and cooling is scarce.</w:t>
      </w:r>
    </w:p>
    <w:p>
      <w:r>
        <w:t>The mechanism is physiological. Above about 26 °C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 °C and air temperature by 2 to 4 °C within its shade.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 °C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Urban design can lower temperatures by several degrees without mechanical cooling. Street trees provide shade and release water vapour; reflective roofs and pavements reduce heat absorption; green roofs and walls insulate buildings; parks and water bodies create cool islands; and building orientation and ventilation allow night-time flushing of heat. The measures are well understood, and the main barriers are cost, maintenance and the distribution of benefits, because trees planted in wealthy neighbourhoods improve the microclimate for people who already have air conditioning.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 °C or 2 °C of warming (Ebi et al., 2021). At 3 °C or 4 °C,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 °C in Britain for the first time, reached 47 °C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 °C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w:t>
      </w:r>
    </w:p>
    <w:p>
      <w:pPr>
        <w:keepNext/>
        <w:spacing w:before="160"/>
        <w:ind w:firstLine="0"/>
        <w:jc w:val="center"/>
      </w:pPr>
      <w:r>
        <w:rPr>
          <w:b/>
          <w:sz w:val="20"/>
        </w:rPr>
        <w:t>Table 4.1 Heat exposure in selected cities,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 °C now</w:t>
            </w:r>
          </w:p>
        </w:tc>
        <w:tc>
          <w:tcPr>
            <w:tcW w:type="dxa" w:w="1701"/>
          </w:tcPr>
          <w:p>
            <w:pPr>
              <w:spacing w:line="240" w:lineRule="auto"/>
              <w:ind w:firstLine="0"/>
            </w:pPr>
            <w:r>
              <w:rPr>
                <w:rFonts w:ascii="Times New Roman" w:hAnsi="Times New Roman"/>
                <w:b/>
                <w:sz w:val="19"/>
              </w:rPr>
              <w:t>Days above 35 °C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Dumbbell chart: Delhi rises from 100 to 140 hot days, Phoenix from 110 to 150, Karachi from 60 to 100, Jakarta from 30 to 70, Lagos from 20 to 60 and Athens from 30 to 55."/>
            <wp:cNvGraphicFramePr>
              <a:graphicFrameLocks noChangeAspect="1"/>
            </wp:cNvGraphicFramePr>
            <a:graphic>
              <a:graphicData uri="http://schemas.openxmlformats.org/drawingml/2006/picture">
                <pic:pic>
                  <pic:nvPicPr>
                    <pic:cNvPr id="0" name="fig4_1.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4.1 </w:t>
      </w:r>
      <w:r>
        <w:rPr>
          <w:sz w:val="19"/>
        </w:rPr>
        <w:t>Days above 35 °C now and in 2050 in six cities</w:t>
      </w:r>
    </w:p>
    <w:p>
      <w:pPr>
        <w:spacing w:after="200"/>
        <w:ind w:firstLine="0"/>
        <w:jc w:val="center"/>
      </w:pPr>
      <w:r>
        <w:rPr>
          <w:i/>
          <w:color w:val="5A5A5A"/>
          <w:sz w:val="16"/>
        </w:rPr>
        <w:t>Source: Table 4.1; SSP2-4.5 for the 2050 column.</w:t>
      </w:r>
    </w:p>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 °C and still save many at 2.5 °C,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The four definitions of drought — meteorological, hydrological, agricultural and socioeconomic — describe different stages of the same process, and they move at different speeds. A meteorological drought appears within weeks of below-average rainfall; an agricultural drought appears when soil moisture falls below what crops need; a hydrological drought appears when rivers, reservoirs and aquifers fall below normal, often months later; and a socioeconomic drought appears when the resulting shortage begins to affect people, prices and production. Confusing the stages produces bad policy, because a response designed for the first cannot address the fourth.</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Meteorological drought is a deficit of rainfall against a long-term average. Agricultural drought is a deficit of soil moisture during the growing season, which can arrive before the rainfall deficit is visible. Hydrological drought is a deficit in rivers, reservoirs and groundwater, and it arrives last because the catchment buffers the rainfall for months or years. Socio-economic drought is the point at which the shortage begins to constrain the water that people can actually use. The lag between them is what makes drought hard to govern: the rain can return while the reservoir is still empty, and a declaration based on rainfall will end the emergency before the water does.</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The river supplies water to about 40 million people and 1.2 million hectares of farmland across seven US states and northern Mexico, under an allocation system designed in 1922 that assumed a flow larger than the river has delivered.</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 (WHO &amp; UNICEF, 2023).</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Chennai’s water crisis did not arrive without warning. The city depends on four reservoirs and on groundwater, and the reservoirs had been declining for years as urban expansion covered the lakes that once captured monsoon rain. In 2018 the northeast monsoon failed, and by June 2019 the reservoirs held about one per cent of their capacity. The city government declared a water emergency and began to truck water to neighbourhoods, while the state arranged for trains to carry water from the Cauvery.</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w:t>
      </w:r>
    </w:p>
    <w:p>
      <w:pPr>
        <w:keepNext/>
        <w:spacing w:before="160"/>
        <w:ind w:firstLine="0"/>
        <w:jc w:val="center"/>
      </w:pPr>
      <w:r>
        <w:rPr>
          <w:b/>
          <w:sz w:val="20"/>
        </w:rPr>
        <w:t>Table 5.1 Water stress in major basins,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pPr>
        <w:keepNext/>
        <w:spacing w:before="160"/>
        <w:ind w:firstLine="0"/>
        <w:jc w:val="center"/>
      </w:pPr>
      <w:r>
        <w:drawing>
          <wp:inline xmlns:a="http://schemas.openxmlformats.org/drawingml/2006/main" xmlns:pic="http://schemas.openxmlformats.org/drawingml/2006/picture">
            <wp:extent cx="5400000" cy="2485665"/>
            <wp:docPr id="3" name="Picture 3" descr="Horizontal bar chart of basin population: Indus 300 million, Nile 280, Tigris-Euphrates 60, Colorado 40, Citarum 25, Murray-Darling 2.4, each labelled with its 2050 gap."/>
            <wp:cNvGraphicFramePr>
              <a:graphicFrameLocks noChangeAspect="1"/>
            </wp:cNvGraphicFramePr>
            <a:graphic>
              <a:graphicData uri="http://schemas.openxmlformats.org/drawingml/2006/picture">
                <pic:pic>
                  <pic:nvPicPr>
                    <pic:cNvPr id="0" name="fig5_1.png"/>
                    <pic:cNvPicPr/>
                  </pic:nvPicPr>
                  <pic:blipFill>
                    <a:blip r:embed="rId13"/>
                    <a:stretch>
                      <a:fillRect/>
                    </a:stretch>
                  </pic:blipFill>
                  <pic:spPr>
                    <a:xfrm>
                      <a:off x="0" y="0"/>
                      <a:ext cx="5400000" cy="2485665"/>
                    </a:xfrm>
                    <a:prstGeom prst="rect"/>
                  </pic:spPr>
                </pic:pic>
              </a:graphicData>
            </a:graphic>
          </wp:inline>
        </w:drawing>
      </w:r>
    </w:p>
    <w:p>
      <w:pPr>
        <w:keepNext/>
        <w:spacing w:before="80"/>
        <w:ind w:firstLine="0"/>
        <w:jc w:val="center"/>
      </w:pPr>
      <w:r>
        <w:rPr>
          <w:b/>
          <w:sz w:val="19"/>
        </w:rPr>
        <w:t xml:space="preserve">Figure 5.1 </w:t>
      </w:r>
      <w:r>
        <w:rPr>
          <w:sz w:val="19"/>
        </w:rPr>
        <w:t>People depending on six stressed basins, and the supply gap they face in 2050</w:t>
      </w:r>
    </w:p>
    <w:p>
      <w:pPr>
        <w:spacing w:after="200"/>
        <w:ind w:firstLine="0"/>
        <w:jc w:val="center"/>
      </w:pPr>
      <w:r>
        <w:rPr>
          <w:i/>
          <w:color w:val="5A5A5A"/>
          <w:sz w:val="16"/>
        </w:rPr>
        <w:t>Source: Table 5.1; gap is the shortfall against projected demand under SSP2-4.5.</w:t>
      </w:r>
    </w:p>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according to the United Nations Office for Disaster Risk Reduction.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(IPCC, 2019b).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about 1,800 people and causing more than US$125 billion in damage (Brunkard et al., 2008).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w:t>
      </w:r>
    </w:p>
    <w:p>
      <w:pPr>
        <w:keepNext/>
        <w:spacing w:before="160"/>
        <w:ind w:firstLine="0"/>
        <w:jc w:val="center"/>
      </w:pPr>
      <w:r>
        <w:rPr>
          <w:b/>
          <w:sz w:val="20"/>
        </w:rPr>
        <w:t>Table 6.1 Coastal exposure in selected cities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Bar chart of exposed people: Jakarta 2.5 million, Manila 1.5 million, Bangkok and Ho Chi Minh City 1 million each, Alexandria 0.5 million, Miami 0.4 million."/>
            <wp:cNvGraphicFramePr>
              <a:graphicFrameLocks noChangeAspect="1"/>
            </wp:cNvGraphicFramePr>
            <a:graphic>
              <a:graphicData uri="http://schemas.openxmlformats.org/drawingml/2006/picture">
                <pic:pic>
                  <pic:nvPicPr>
                    <pic:cNvPr id="0" name="fig6_1.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6.1 </w:t>
      </w:r>
      <w:r>
        <w:rPr>
          <w:sz w:val="19"/>
        </w:rPr>
        <w:t>People exposed to a 1-in-100-year coastal flood in six cities</w:t>
      </w:r>
    </w:p>
    <w:p>
      <w:pPr>
        <w:spacing w:after="200"/>
        <w:ind w:firstLine="0"/>
        <w:jc w:val="center"/>
      </w:pPr>
      <w:r>
        <w:rPr>
          <w:i/>
          <w:color w:val="5A5A5A"/>
          <w:sz w:val="16"/>
        </w:rPr>
        <w:t>Source: Table 6.1; exposure counts include subsidence where reported.</w:t>
      </w:r>
    </w:p>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 °C; maize around 25 to 30 °C. Above the optimum, photosynthesis slows, respiration increases, and the plant partitions less energy into grain. The effect is not linear: a few days above 35 °C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 °C, respiration continues through the night, consuming the carbohydrates that would otherwise become yield.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(FAO, 2022).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 °C is projected to eliminate most of the world’s reefs (IPCC, 2018).</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w:t>
      </w:r>
    </w:p>
    <w:p>
      <w:pPr>
        <w:keepNext/>
        <w:spacing w:before="160"/>
        <w:ind w:firstLine="0"/>
        <w:jc w:val="center"/>
      </w:pPr>
      <w:r>
        <w:rPr>
          <w:b/>
          <w:sz w:val="20"/>
        </w:rPr>
        <w:t>Table 7.1 Crop yield sensitivity and 2050 projections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Bar chart of yield change per degree: maize minus 7.4 per cent, wheat minus 6, rice minus 3.2, soybean minus 3.1, coffee between minus 10 and minus 20, livestock between minus 5 and minus 10."/>
            <wp:cNvGraphicFramePr>
              <a:graphicFrameLocks noChangeAspect="1"/>
            </wp:cNvGraphicFramePr>
            <a:graphic>
              <a:graphicData uri="http://schemas.openxmlformats.org/drawingml/2006/picture">
                <pic:pic>
                  <pic:nvPicPr>
                    <pic:cNvPr id="0" name="fig7_1.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7.1 </w:t>
      </w:r>
      <w:r>
        <w:rPr>
          <w:sz w:val="19"/>
        </w:rPr>
        <w:t>Yield change per additional degree of warming, by crop</w:t>
      </w:r>
    </w:p>
    <w:p>
      <w:pPr>
        <w:spacing w:after="200"/>
        <w:ind w:firstLine="0"/>
        <w:jc w:val="center"/>
      </w:pPr>
      <w:r>
        <w:rPr>
          <w:i/>
          <w:color w:val="5A5A5A"/>
          <w:sz w:val="16"/>
        </w:rPr>
        <w:t>Source: Table 7.1. Bars for coffee and livestock show the reported range.</w:t>
      </w:r>
    </w:p>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 °C and 3 °C is the difference between a food system that can adapt and one that cannot (FAO, 2023).</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in 2011 found that species have been moving poleward at roughly seventeen kilometres per decade and upslope at eleven metres per decade, with the fastest movement among insects and marine species.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 °C of warming, about 70 to 90 per cent of warm-water reefs are projected to decline; at 2 °C, more than 99 per cent (IPCC, 2018).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w:t>
      </w:r>
    </w:p>
    <w:p>
      <w:r>
        <w:t>Coral reefs are the ecosystem where the arithmetic of warming is least forgiving, and the numbers are now well established. The Great Barrier Reef has experienced five mass bleaching events since 2016, and the 2024 event affected more than seventy per cent of the reef in some surveys. Hughes and colleagues have argued that repeated bleaching has reduced the recovery interval below the time the reef needs to regrow, which converts a disturbance into a trajectory. Reefs support roughly a quarter of marine species at some stage of their life cycle, and the fisheries that depend on them feed hundreds of millions of people.</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Climate models and observational studies suggest that beyond a threshold of about 20 to 25 per cent deforestation, the forest may lose its ability to recycle moisture and begin to convert to savannah in the eastern and southern parts.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(IPCC, 2019b).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 (IPCC, 2019b).</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Ocean acidification is a separate problem from warming, and its chemistry is simpler and more certain. Carbon dioxide dissolves in seawater to form carbonic acid, which releases hydrogen ions and lowers pH; the same chemistry consumes carbonate ions, which corals, oysters and some plankton need to build shells and skeletons. Since the industrial revolution, surface pH has fallen by about a tenth of a unit, which sounds small until it is understood as a roughly thirty per cent increase in hydrogen ion concentration. Deoxygenation accompanies it: warmer water holds less oxygen, and nutrient runoff drives the formation of low-oxygen zones. The two together narrow the habitat available to fish that people depend on.</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 °C of warming, about 18 per cent of insects, 16 per cent of plants and 8 per cent of vertebrates would lose more than half their geographic range, and that at 3.2 °C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w:t>
      </w:r>
    </w:p>
    <w:p>
      <w:pPr>
        <w:pStyle w:val="Heading2"/>
      </w:pPr>
      <w:r>
        <w:t>8.11 Case Study: The Great Barrier Reef</w:t>
      </w:r>
    </w:p>
    <w:p>
      <w:r>
        <w:t>The Great Barrier Reef is the largest living structure on Earth, extending more than 2,300 kilometres along the Queensland coast and comprising about 3,000 individual reefs.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w:t>
      </w:r>
    </w:p>
    <w:p>
      <w:pPr>
        <w:keepNext/>
        <w:spacing w:before="160"/>
        <w:ind w:firstLine="0"/>
        <w:jc w:val="center"/>
      </w:pPr>
      <w:r>
        <w:rPr>
          <w:b/>
          <w:sz w:val="20"/>
        </w:rPr>
        <w:t>Table 8.1 Ecosystem thresholds and projected change</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 °C; frequent bleaching</w:t>
            </w:r>
          </w:p>
        </w:tc>
        <w:tc>
          <w:tcPr>
            <w:tcW w:type="dxa" w:w="1701"/>
          </w:tcPr>
          <w:p>
            <w:pPr>
              <w:spacing w:line="240" w:lineRule="auto"/>
              <w:ind w:firstLine="0"/>
            </w:pPr>
            <w:r>
              <w:rPr>
                <w:rFonts w:ascii="Times New Roman" w:hAnsi="Times New Roman"/>
                <w:sz w:val="19"/>
              </w:rPr>
              <w:t>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Grouped range bars: coral reefs decline 70–90 per cent at 2 degrees and more than 99 per cent at 3; permafrost thaws 10–20 against 30–50; mangroves lose 10–30 against 30–50; freshwater species lose 20–30 against 40–60."/>
            <wp:cNvGraphicFramePr>
              <a:graphicFrameLocks noChangeAspect="1"/>
            </wp:cNvGraphicFramePr>
            <a:graphic>
              <a:graphicData uri="http://schemas.openxmlformats.org/drawingml/2006/picture">
                <pic:pic>
                  <pic:nvPicPr>
                    <pic:cNvPr id="0" name="fig8_1.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8.1 </w:t>
      </w:r>
      <w:r>
        <w:rPr>
          <w:sz w:val="19"/>
        </w:rPr>
        <w:t>Decline at 2 °C and at 3 °C for four systems with measurable thresholds</w:t>
      </w:r>
    </w:p>
    <w:p>
      <w:pPr>
        <w:spacing w:after="200"/>
        <w:ind w:firstLine="0"/>
        <w:jc w:val="center"/>
      </w:pPr>
      <w:r>
        <w:rPr>
          <w:i/>
          <w:color w:val="5A5A5A"/>
          <w:sz w:val="16"/>
        </w:rPr>
        <w:t>Source: Table 8.1. Coral value at 3 °C is the reported “greater than 99 per cent”.</w:t>
      </w:r>
    </w:p>
    <w:p>
      <w:r>
        <w:t>The analysis points to two conclusions. First, the difference between 2 °C and 3 °C is the difference between a world where coral reefs survive in reduced form and one where they are largely gone, and between a forest that stores carbon and one that releases it.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(Ballester et al., 2023).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 (WHO, 2023).</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The dengue epidemic of 2024 in the Americas was the largest on record, with more than twelve million cases reported and a concentration in countries whose health systems were already stretched (Cissé et al., 2022). The epidemic was driven by a combination of warm and wet conditions that shortened the virus’s incubation inside the mosquito, urbanisation that created breeding sites, and a mosquito species that has adapted to live closely with people. The response combined vector control, clinical protocols, and public communication about standing water. The lesson is about thresholds: transmission does not rise smoothly with temperature, it crosses from sporadic to sustained when a set of conditions align, which makes early warning a matter of watching several variables at once.</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(Romanello et al., 2024).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w:t>
      </w:r>
    </w:p>
    <w:p>
      <w:pPr>
        <w:keepNext/>
        <w:spacing w:before="160"/>
        <w:ind w:firstLine="0"/>
        <w:jc w:val="center"/>
      </w:pPr>
      <w:r>
        <w:rPr>
          <w:b/>
          <w:sz w:val="20"/>
        </w:rPr>
        <w:t>Table 9.1 Climate-sensitive health risks,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losses of US$77 billion and US$90 billion respectively (Kishore et al., 2018).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(ILO, 2019). Agriculture accounts for about 60 per cent of the lost hours, followed by construction, manufacturing and transport (ILO, 2019).</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Few Atlantic seasons have been as destructive as 2017. Hurricane Harvey made landfall in Texas in August and stalled, dropping more than 1,500 millimetres of rain over Houston, with losses put at US$125 billion. Hurricane Irma followed in September, devastating several Caribbean islands and inflicting losses of US$77 billion. Hurricane Maria struck Puerto Rico two weeks later, destroying the electricity grid and inflicting damage of about US$90 billion (Kishore et al., 2018).</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w:t>
      </w:r>
    </w:p>
    <w:p>
      <w:pPr>
        <w:keepNext/>
        <w:spacing w:before="160"/>
        <w:ind w:firstLine="0"/>
        <w:jc w:val="center"/>
      </w:pPr>
      <w:r>
        <w:rPr>
          <w:b/>
          <w:sz w:val="20"/>
        </w:rPr>
        <w:t>Table 10.1 Economic losses under three pathways,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Range bars: low emissions 3 to 5 per cent of GDP, current policies 8 to 12, high emissions 15 to 20."/>
            <wp:cNvGraphicFramePr>
              <a:graphicFrameLocks noChangeAspect="1"/>
            </wp:cNvGraphicFramePr>
            <a:graphic>
              <a:graphicData uri="http://schemas.openxmlformats.org/drawingml/2006/picture">
                <pic:pic>
                  <pic:nvPicPr>
                    <pic:cNvPr id="0" name="fig10_1.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10.1 </w:t>
      </w:r>
      <w:r>
        <w:rPr>
          <w:sz w:val="19"/>
        </w:rPr>
        <w:t>Global GDP loss by 2050 under three emission paths</w:t>
      </w:r>
    </w:p>
    <w:p>
      <w:pPr>
        <w:spacing w:after="200"/>
        <w:ind w:firstLine="0"/>
        <w:jc w:val="center"/>
      </w:pPr>
      <w:r>
        <w:rPr>
          <w:i/>
          <w:color w:val="5A5A5A"/>
          <w:sz w:val="16"/>
        </w:rPr>
        <w:t>Source: Table 10.1; loss is measured against a no-climate baseline.</w:t>
      </w:r>
    </w:p>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signed with Australia in November 2023, is the most comprehensive bilateral arrangement of its kind. It provides a special visa pathway for Tuvaluans to live and work in Australia, with an initial cap and growth over time; it commits Australia to assist Tuvalu in the event of a major natural disaster or a security threat; and it recognizes Tuvalu’s maritime boundaries and statehood even if the land is lost to the sea. The agreement is reciprocal: Australia gains strategic influence in the Pacific, and Tuvalu gains a pathway for its people.</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(IPCC, 2022a).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(World Bank, 2021).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w:t>
      </w:r>
    </w:p>
    <w:p>
      <w:pPr>
        <w:keepNext/>
        <w:spacing w:before="160"/>
        <w:ind w:firstLine="0"/>
        <w:jc w:val="center"/>
      </w:pPr>
      <w:r>
        <w:rPr>
          <w:b/>
          <w:sz w:val="20"/>
        </w:rPr>
        <w:t>Table 11.1 Projected climate migration by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Bar chart: Sub-Saharan Africa 85 million, East Asia and Pacific 48, South Asia 40, North Africa 19, Latin America 17, small island states 2 to 3."/>
            <wp:cNvGraphicFramePr>
              <a:graphicFrameLocks noChangeAspect="1"/>
            </wp:cNvGraphicFramePr>
            <a:graphic>
              <a:graphicData uri="http://schemas.openxmlformats.org/drawingml/2006/picture">
                <pic:pic>
                  <pic:nvPicPr>
                    <pic:cNvPr id="0" name="fig11_1.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11.1 </w:t>
      </w:r>
      <w:r>
        <w:rPr>
          <w:sz w:val="19"/>
        </w:rPr>
        <w:t>Internal climate migrants by 2050, by region of origin</w:t>
      </w:r>
    </w:p>
    <w:p>
      <w:pPr>
        <w:spacing w:after="200"/>
        <w:ind w:firstLine="0"/>
        <w:jc w:val="center"/>
      </w:pPr>
      <w:r>
        <w:rPr>
          <w:i/>
          <w:color w:val="5A5A5A"/>
          <w:sz w:val="16"/>
        </w:rPr>
        <w:t>Source: Table 11.1; estimates are internal movements, not cross-border refugees.</w:t>
      </w:r>
    </w:p>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(Kelley et al., 2015).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Thousands of treaties and basin agreements govern shared rivers, and violent conflict over water is rare compared with the frequency of negotiation, even between hostile neighbours. What recurs is a pattern in which upstream development is perceived as a threat downstream, and the dispute becomes a surrogate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Lake Chad sits at the junction of Chad, Niger, Nigeria and Cameroon, and it has supported human settlement for thousands of years. In the 1960s it covered about 25,000 square kilometres, making it one of the largest lakes in Africa. By the 2000s it had shrunk to about 2,500 square kilometres, a decline of roughly 90 per cent, driven by reduced rainfall, increased irrigation and the growing demands of a population that rose from a few million to more than 30 million in the basin.</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Lake Chad’s retreat is a case where the physical change is real, the attribution is complicated, and the consequences are unambiguous. The lake covered about twenty-five thousand square kilometres in the 1960s and about a tenth of that by the 2000s, having shrunk through reduced rainfall, increased irrigation and the demands of a population that grew from a few million to more than thirty million. The retreat left dry lakebed, competing claims to fishing grounds and pasture, and a population dependent on an ecosystem that no longer supports it. The insurgency that followed exploited those grievances rather than creating them, which is the pattern that the research on climate and conflict most consistently describes.</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w:t>
      </w:r>
    </w:p>
    <w:p>
      <w:pPr>
        <w:keepNext/>
        <w:spacing w:before="160"/>
        <w:ind w:firstLine="0"/>
        <w:jc w:val="center"/>
      </w:pPr>
      <w:r>
        <w:rPr>
          <w:b/>
          <w:sz w:val="20"/>
        </w:rPr>
        <w:t>Table 12.1 Climate exposure and conflict risk in fragile regions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 °C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 °C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(FERC &amp; NERC, 2021). Pipes burst in houses and in municipal water systems, and about 14 million people were placed under boil-water notices.</w:t>
      </w:r>
    </w:p>
    <w:p>
      <w:r>
        <w:t>The storm killed at least 210 people, according to the state’s own estimate, and caused about US$195 billion in damage, making it the costliest disaster in Texas history.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which is a larger public health event than the storm itself.</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failures cascaded. Natural gas wells and processing plants froze, reducing fuel supply; thermal plants tripped offline; wind turbines, some of them not weatherised, also failed; and the grid lost more than a third of its generating capacity. ERCOT ordered rolling blackouts, but the outages lasted for days in many areas, and more than 4.5 million customers lost power at the peak. Pipes burst in homes and in municipal systems, and about 14 million people were placed under boil-water notices.</w:t>
      </w:r>
    </w:p>
    <w:p>
      <w:r>
        <w:t>The human cost was concentrated among the vulnerable. At least 210 people died, according to the state, and independent estimates were higher. Many died of carbon monoxide poisoning from generators and grills used indoors; others died of hypothermia, of dialysis that could not be performed, and of oxygen that could not be delivered. The deaths were not evenly distributed: they were higher in low-income neighbourhoods and among people who could not afford to evacuate or to heat their homes.</w:t>
      </w:r>
    </w:p>
    <w:p>
      <w:r>
        <w:t>The economic cost was about US$195 billion, making it the costliest disaster in Texas history.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Winter Storm Uri exposed a grid that had been designed for summer peaks and regulated for a climate that did not include a week below minus ten. Natural gas wells froze, pipelines lost pressure, and thermal plants tripped, and the operator ordered rolling blackouts to prevent a total collapse. More than four and a half million homes and businesses lost power, pipes burst in houses and municipal systems, and about fourteen million people were placed under boil-water notices. The failure was not a surprise to the engineers who had warned about it; it was the predictable result of a market design that did not pay for winterisation and a regulatory culture that treated rare events as negligible.</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w:t>
      </w:r>
    </w:p>
    <w:p>
      <w:pPr>
        <w:keepNext/>
        <w:spacing w:before="160"/>
        <w:ind w:firstLine="0"/>
        <w:jc w:val="center"/>
      </w:pPr>
      <w:r>
        <w:rPr>
          <w:b/>
          <w:sz w:val="20"/>
        </w:rPr>
        <w:t>Table 13.1 Infrastructure resilience by sector,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In November 2019, Italy’s education minister announced that climate change and sustainable development would become compulsory in all state schools. The reform took effect in the 2020–2021 school year and requires about thirty-three hours a year of climate education at every level, from primary to upper secondary. The hours are integrated into existing subjects rather than taught as a separate course, and the ministry framed the change as a response to the demands of students and to the obligations of the state.</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Italy’s compulsory climate curriculum is the most ambitious national reform attempted so far, and its early lessons are about implementation. The law requires about thirty-three hours a year at every level, integrated into existing subjects rather than taught separately. That design avoided the fragility of an optional subject, but it placed the burden on teachers of geography, science and civic education who had not been trained for it. The ministry invested in teacher training and materials, and the reform was framed as an obligation to the next generation rather than a political preference, which insulated it from some of the partisan contest that climate education attracts elsewhere.</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w:t>
      </w:r>
    </w:p>
    <w:p>
      <w:pPr>
        <w:keepNext/>
        <w:spacing w:before="160"/>
        <w:ind w:firstLine="0"/>
        <w:jc w:val="center"/>
      </w:pPr>
      <w:r>
        <w:rPr>
          <w:b/>
          <w:sz w:val="20"/>
        </w:rPr>
        <w:t>Table 14.1 Climate education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(Cook et al., 2013).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w:t>
      </w:r>
    </w:p>
    <w:p>
      <w:pPr>
        <w:keepNext/>
        <w:spacing w:before="160"/>
        <w:ind w:firstLine="0"/>
        <w:jc w:val="center"/>
      </w:pPr>
      <w:r>
        <w:rPr>
          <w:b/>
          <w:sz w:val="20"/>
        </w:rPr>
        <w:t>Table 15.1 Information environment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The mortality data tell the story of a slow emergency. The initial official count of 64 deaths was widely criticised, and a study by researchers at George Washington University estimated 2,975 excess deaths in the months following the storm (Kishore et al., 2018). Many were caused by the interruption of care: dialysis, oxygen, insulin refrigeration and access to medication. Others were caused by heat, unsafe water, carbon monoxide from generators, and the cumulative stress of months without basic services.</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Hurricane Maria is the clearest recent case of households carrying the response. The storm destroyed the electricity grid, knocked out water treatment and pumping, and closed roads and ports, leaving 3.4 million people without the systems they relied on (WHO &amp; UNICEF, 2023). In the weeks that followed, households that had stored water, food, medication and fuel managed; those that had not queued for hours or went without. The recovery was uneven in a way that mapped onto income and social connection: families with relatives on the mainland, with savings and with insurance recovered; those without any of the three did not. The lesson is not that preparation is sufficient, but that it is the difference between a bad month and a lost decade.</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The case changed the way that disaster mortality is counted, and it established that the official figure is often a count of the records rather than of the dead.</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w:t>
      </w:r>
    </w:p>
    <w:p>
      <w:pPr>
        <w:keepNext/>
        <w:spacing w:before="160"/>
        <w:ind w:firstLine="0"/>
        <w:jc w:val="center"/>
      </w:pPr>
      <w:r>
        <w:rPr>
          <w:b/>
          <w:sz w:val="20"/>
        </w:rPr>
        <w:t>Table 16.1 Household preparedness by hazard,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(Robine et al., 2008).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 (Romanello et al., 2024).</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In the first two weeks of August 2003, a persistent high-pressure system brought exceptional heat to western and central Europe (Robine et al., 2008). Temperatures in France exceeded 40 °C in many places, night-time temperatures remained high, and the heat lasted long enough to exhaust the physiological reserves of vulnerable people. Across twelve countries, an estimated 70,000 people died; France alone recorded about 14,800 excess deaths (Robine et al., 2008).</w:t>
      </w:r>
    </w:p>
    <w:p>
      <w:r>
        <w:t>Death was concentrated among older people living alone, often in flats with poor insulation and no cooling. Many were not discovered for days, because neighbours and family were away on holiday and because the systems that might have checked on them did not exist. Nursing homes were overwhelmed; hospitals were stretched; and morgues ran out of capacity. The event exposed a gap between the meteorological warning and the public health response.</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w:t>
      </w:r>
    </w:p>
    <w:p>
      <w:pPr>
        <w:keepNext/>
        <w:spacing w:before="160"/>
        <w:ind w:firstLine="0"/>
        <w:jc w:val="center"/>
      </w:pPr>
      <w:r>
        <w:rPr>
          <w:b/>
          <w:sz w:val="20"/>
        </w:rPr>
        <w:t>Table 17.1 Health system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Bar chart: 700,000 deaths with low adaptation, 500,000 with current trends, 250,000 with high adaptation."/>
            <wp:cNvGraphicFramePr>
              <a:graphicFrameLocks noChangeAspect="1"/>
            </wp:cNvGraphicFramePr>
            <a:graphic>
              <a:graphicData uri="http://schemas.openxmlformats.org/drawingml/2006/picture">
                <pic:pic>
                  <pic:nvPicPr>
                    <pic:cNvPr id="0" name="fig17_1.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17.1 </w:t>
      </w:r>
      <w:r>
        <w:rPr>
          <w:sz w:val="19"/>
        </w:rPr>
        <w:t>Annual excess heat deaths in 2050 under three adaptation paths</w:t>
      </w:r>
    </w:p>
    <w:p>
      <w:pPr>
        <w:spacing w:after="200"/>
        <w:ind w:firstLine="0"/>
        <w:jc w:val="center"/>
      </w:pPr>
      <w:r>
        <w:rPr>
          <w:i/>
          <w:color w:val="5A5A5A"/>
          <w:sz w:val="16"/>
        </w:rPr>
        <w:t>Source: Table 17.1.</w:t>
      </w:r>
    </w:p>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On 14 and 15 July 2021, a slow-moving low-pressure system produced extreme rainfall over western Germany, Belgium and the Netherlands. In the Ahr valley, up to 200 millimetres fell in less than 24 hours, and the river rose within hours. The flood destroyed houses, roads and bridges, cut power and communications, and killed 134 people in the Ahrweiler district alone; across Germany and Belgium the death toll exceeded 180, and damage was estimated at more than €30 billion (Kreienkamp et al., 2021).</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w:t>
      </w:r>
    </w:p>
    <w:p>
      <w:pPr>
        <w:keepNext/>
        <w:spacing w:before="160"/>
        <w:ind w:firstLine="0"/>
        <w:jc w:val="center"/>
      </w:pPr>
      <w:r>
        <w:rPr>
          <w:b/>
          <w:sz w:val="20"/>
        </w:rPr>
        <w:t>Table 18.1 Governance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(IRENA, 2023).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(IRENA, 2023).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(IRENA, 2023).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cost of solar electricity has fallen so far and so fast that the historical forecasts have become a joke at the expense of the forecasters. The module price has dropped by roughly ninety per cent since 2010, and the fall has continued through periods when the industry was losing money, which is the signature of a learning curve rather than a subsidy cycle (IRENA, 2023). The consequence is that solar is now the cheapest new source of electricity in most sunny places, and the constraint has shifted from the cost of the panel to the cost of the land, the grid connection and the storage that makes the output firm. Manufacturing is concentrated in a single country, which is now a resilience question of its own.</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(IRENA, 2023).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(IRENA, 2023).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(IEA, 2023).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(IEA, 2023).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Bangladesh’s solar home system programme is the largest off-grid electrification effort in the world and a case study in how institutions determine whether a technology spreads. In the 1990s most rural households had no electricity, and kerosene was the main source of light (IEA, 2023). The government, with support from the World Bank and other donors, established a programme to finance solar home systems through microcredit institutions, and the microcredit institutions already had the relationships and the repayment infrastructure that a new market needed. The result was millions of systems installed, a local technician network, and a market that continued after the subsidy changed. The programme worked because it used an existing institution rather than creating a new one.</w:t>
      </w:r>
    </w:p>
    <w:p>
      <w:r>
        <w:t>The Bangladeshi solar home system programme reached more than four million households, and the reason it reached them was a business model rather than a subsidy.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w:t>
      </w:r>
    </w:p>
    <w:p>
      <w:pPr>
        <w:keepNext/>
        <w:spacing w:before="160"/>
        <w:ind w:firstLine="0"/>
        <w:jc w:val="center"/>
      </w:pPr>
      <w:r>
        <w:rPr>
          <w:b/>
          <w:sz w:val="20"/>
        </w:rPr>
        <w:t>Table 19.1 Clean energy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(CAL FIRE, 2019).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(Hickman et al., 2021).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The balance is honest hope: a clear account of the risk combined with a clear account of what can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On 8 November 2018 a fire began near Pulga, California, and spread rapidly through the town of Paradise (CAL FIRE, 2019). Within hours, much of the town was destroyed. Eighty-five people died, most of them older or disabled residents who could not evacuate quickly, and nearly 19,000 structures were lost. It was the deadliest and most destructive wildfire in California’s history.</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w:t>
      </w:r>
    </w:p>
    <w:p>
      <w:pPr>
        <w:keepNext/>
        <w:spacing w:before="160"/>
        <w:ind w:firstLine="0"/>
        <w:jc w:val="center"/>
      </w:pPr>
      <w:r>
        <w:rPr>
          <w:b/>
          <w:sz w:val="20"/>
        </w:rPr>
        <w:t>Table 20.1 Mental health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Africa accounts for less than 4 per cent.</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(IPCC, 2021).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w:t>
      </w:r>
    </w:p>
    <w:p>
      <w:pPr>
        <w:keepNext/>
        <w:spacing w:before="160"/>
        <w:ind w:firstLine="0"/>
        <w:jc w:val="center"/>
      </w:pPr>
      <w:r>
        <w:rPr>
          <w:b/>
          <w:sz w:val="20"/>
        </w:rPr>
        <w:t>Table 21.1 Climate justice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Those who died had no experience of such heat and no means to escape it. In British Columbia, about 619 deaths were attributed to the event, most of them people over 70 living alone in homes without air conditioning. In Oregon, officials reported more than 100 deaths; in Washington, dozens. Many died indoors, which is characteristic of heat events in temperate cities where housing is designed to retain heat.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(Victorian Bushfires Royal Commission, 2010). In California in 2018, eighty-five people died in a town that burned in a few hours, most of them older or disabled residents who could not evacuate (CAL FIRE, 2019).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 (Kreienkamp et al., 2021).</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141 people, many of them poor residents living in the cheapest housing.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In late June 2021, a ridge of high pressure settled over the Pacific Northwest and produced temperatures unprecedented in the instrumental record. Lytton, a village of about 250 people in the Fraser Canyon, recorded 49.6 °C on 29 June, the highest temperature ever measured in Canada (Philip et al., 2022). The previous national record had been 45 °C, set in 1937, and the margin was so large that some scientists initially questioned the measurement.</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w:t>
      </w:r>
    </w:p>
    <w:p>
      <w:r>
        <w:t>Two days after the record, a wildfire swept through Lytton and destroyed most of the village.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w:t>
      </w:r>
    </w:p>
    <w:p>
      <w:pPr>
        <w:keepNext/>
        <w:spacing w:before="160"/>
        <w:ind w:firstLine="0"/>
        <w:jc w:val="center"/>
      </w:pPr>
      <w:r>
        <w:rPr>
          <w:b/>
          <w:sz w:val="20"/>
        </w:rPr>
        <w:t>Table 22.1 Comparative disaster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Logarithmic bar chart: Europe 2003 about 70,000 deaths, Pakistan 2022 1,700, Chicago 1995 739, Lytton 619, Germany 2021 more than 180, Black Saturday 173, Seoul 141, Camp Fire 85."/>
            <wp:cNvGraphicFramePr>
              <a:graphicFrameLocks noChangeAspect="1"/>
            </wp:cNvGraphicFramePr>
            <a:graphic>
              <a:graphicData uri="http://schemas.openxmlformats.org/drawingml/2006/picture">
                <pic:pic>
                  <pic:nvPicPr>
                    <pic:cNvPr id="0" name="fig22_1.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Figure 22.1 </w:t>
      </w:r>
      <w:r>
        <w:rPr>
          <w:sz w:val="19"/>
        </w:rPr>
        <w:t>Deaths in eight urban and wildfire disasters, on a logarithmic scale</w:t>
      </w:r>
    </w:p>
    <w:p>
      <w:pPr>
        <w:spacing w:after="200"/>
        <w:ind w:firstLine="0"/>
        <w:jc w:val="center"/>
      </w:pPr>
      <w:r>
        <w:rPr>
          <w:i/>
          <w:color w:val="5A5A5A"/>
          <w:sz w:val="16"/>
        </w:rPr>
        <w:t>Source: Table 22.1. Lytton shows deaths for British Columbia in 2021.</w:t>
      </w:r>
    </w:p>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2011 Somali famine was declared after months of warning, and it killed about 258,000 people (Checchi &amp; Robinson, 2013). The 2022 crisis was different in important respects: early action by humanitarian agencies and local organisations, including cash transfers and livestock support, is thought to have prevented a declared famine, although the death toll was still high. A study published in 2023 estimated about 43,000 excess deaths in Somalia in 2022, half of them among children under five.</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Somalia in 2011 and 2022 offers a comparison in which the difference was largely operational (Checchi &amp; Robinson, 2013). In 2011, warnings were issued months before the famine declaration, but access to territory controlled by al-Shabaab was restricted, donor response was slow, and about a quarter of a million people died, half of them children under five. In 2022, a similar drought produced a much larger humanitarian response before famine was declared, including cash transfers and livestock support delivered by local organisations, and the worst outcomes were avoided in many areas. The contrast is evidence that early action works when it is funded and when local access exists.</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The 2011 famine in southern Somalia followed two consecutive failed rainy seasons and a drought that affected the wider Horn of Africa (Checchi &amp; Robinson, 2013). Pastoralists lost their herds, farmers lost their harvests, and food prices rose sharply. By July, the United Nations declared famine in two regions, and the eventual death toll was estimated at about 258,000, half of them children under five.</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w:t>
      </w:r>
    </w:p>
    <w:p>
      <w:r>
        <w:t>The baseline is a hunger crisis that is already here. About 735 million people faced hunger in 2022, and nearly 3 billion could not afford a healthy diet (FAO, 2023).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w:t>
      </w:r>
    </w:p>
    <w:p>
      <w:pPr>
        <w:keepNext/>
        <w:spacing w:before="160"/>
        <w:ind w:firstLine="0"/>
        <w:jc w:val="center"/>
      </w:pPr>
      <w:r>
        <w:rPr>
          <w:b/>
          <w:sz w:val="20"/>
        </w:rPr>
        <w:t>Table 23.1 Slow-onset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Logarithmic bar chart: Ethiopia 1984–85 about 1,000,000 deaths, Somalia 2011 258,000, Sahel 1972–74 about 100,000, Somalia 2022 about 43,000."/>
            <wp:cNvGraphicFramePr>
              <a:graphicFrameLocks noChangeAspect="1"/>
            </wp:cNvGraphicFramePr>
            <a:graphic>
              <a:graphicData uri="http://schemas.openxmlformats.org/drawingml/2006/picture">
                <pic:pic>
                  <pic:nvPicPr>
                    <pic:cNvPr id="0" name="fig23_1.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23.1 </w:t>
      </w:r>
      <w:r>
        <w:rPr>
          <w:sz w:val="19"/>
        </w:rPr>
        <w:t>Deaths in four drought and famine crises, on a logarithmic scale</w:t>
      </w:r>
    </w:p>
    <w:p>
      <w:pPr>
        <w:spacing w:after="200"/>
        <w:ind w:firstLine="0"/>
        <w:jc w:val="center"/>
      </w:pPr>
      <w:r>
        <w:rPr>
          <w:i/>
          <w:color w:val="5A5A5A"/>
          <w:sz w:val="16"/>
        </w:rPr>
        <w:t>Source: Table 23.1. Syria 2006–10 is omitted because the table records displacement, not deaths.</w:t>
      </w:r>
    </w:p>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Business continuity is the private sector’s version of the household plan, and it matters because most of the economy is private. A business that has identified its critical functions, its dependencies on power, water, transport and data, and its alternative suppliers, can resume within days; a business that has not may never reopen. The research on small firms after disasters finds that the ones with a plan and a line of credit recover, and the ones without them fail at a high rate. Insurance is part of the plan, and the policy must be read before the event, because the exclusions are where the disputes are.</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In November 1970 the Bhola cyclone killed an estimated 300,000 to 500,000 people in the low-lying delta of East Pakistan. There was no warning system capable of reaching coastal villages, almost no cyclone shelters, and no organised evacuation. The storm surge arrived at night, and most victims drowned in their homes.</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Between the Bhola cyclone of 1970 and Cyclone Amphan of 2020 lie fifty years, the clearest record of what preparedness can achieve. Bhola killed an estimated three hundred to five hundred thousand people in the low-lying delta of East Pakistan, with no warning system capable of reaching coastal villages, almost no cyclone shelters, and no organised evacuation. Bangladesh then built a warning system that reaches villages by megaphone and mobile phone, a network of raised shelters, and a volunteer network that moves people before the surge arrives. When Amphan made landfall in 2020, it was a comparably powerful storm, and the death toll was in the dozens rather than the hundreds of thousands. The lesson is not that the country was lucky; it is that five decades of unglamorous investment changed the arithmetic of survival.</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w:t>
      </w:r>
    </w:p>
    <w:p>
      <w:pPr>
        <w:keepNext/>
        <w:spacing w:before="160"/>
        <w:ind w:firstLine="0"/>
        <w:jc w:val="center"/>
      </w:pPr>
      <w:r>
        <w:rPr>
          <w:b/>
          <w:sz w:val="20"/>
        </w:rPr>
        <w:t>Table 24.1 Preparedness priorities by horizon,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pPr>
        <w:pStyle w:val="Heading1"/>
        <w:pageBreakBefore/>
      </w:pPr>
      <w:r>
        <w:t>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Glossary</w:t>
      </w:r>
    </w:p>
    <w:p>
      <w:pPr>
        <w:ind w:firstLine="0" w:left="454"/>
        <w:jc w:val="left"/>
      </w:pPr>
      <w:r>
        <w:t>• Adaptation: Adjusting to actual or expected climate impacts.</w:t>
      </w:r>
    </w:p>
    <w:p>
      <w:pPr>
        <w:ind w:firstLine="0" w:left="454"/>
        <w:jc w:val="left"/>
      </w:pPr>
      <w:r>
        <w:t>• Mitigation: Reducing greenhouse gas emissions.</w:t>
      </w:r>
    </w:p>
    <w:p>
      <w:pPr>
        <w:ind w:firstLine="0" w:left="454"/>
        <w:jc w:val="left"/>
      </w:pPr>
      <w:r>
        <w:t>• Resilience: Capacity to absorb disturbance and reorganize.</w:t>
      </w:r>
    </w:p>
    <w:p>
      <w:pPr>
        <w:ind w:firstLine="0" w:left="454"/>
        <w:jc w:val="left"/>
      </w:pPr>
      <w:r>
        <w:t>• Vulnerability: Susceptibility to harm.</w:t>
      </w:r>
    </w:p>
    <w:p>
      <w:pPr>
        <w:ind w:firstLine="0" w:left="454"/>
        <w:jc w:val="left"/>
      </w:pPr>
      <w:r>
        <w:t>• Exposure: Presence of people or assets in hazard-prone areas.</w:t>
      </w:r>
    </w:p>
    <w:p>
      <w:pPr>
        <w:ind w:firstLine="0" w:left="454"/>
        <w:jc w:val="left"/>
      </w:pPr>
      <w:r>
        <w:t>• Sensitivity: Degree to which a system is affected by climate.</w:t>
      </w:r>
    </w:p>
    <w:p>
      <w:pPr>
        <w:ind w:firstLine="0" w:left="454"/>
        <w:jc w:val="left"/>
      </w:pPr>
      <w:r>
        <w:t>• Adaptive capacity: Ability to adjust to climate change.</w:t>
      </w:r>
    </w:p>
    <w:p>
      <w:pPr>
        <w:ind w:firstLine="0" w:left="454"/>
        <w:jc w:val="left"/>
      </w:pPr>
      <w:r>
        <w:t>• Tipping point: Threshold beyond which change becomes self-sustaining.</w:t>
      </w:r>
    </w:p>
    <w:p>
      <w:pPr>
        <w:ind w:firstLine="0" w:left="454"/>
        <w:jc w:val="left"/>
      </w:pPr>
      <w:r>
        <w:t>• Greenhouse effect: Trapping of heat by atmospheric gases.</w:t>
      </w:r>
    </w:p>
    <w:p>
      <w:pPr>
        <w:ind w:firstLine="0" w:left="454"/>
        <w:jc w:val="left"/>
      </w:pPr>
      <w:r>
        <w:t>• Carbon footprint: Total greenhouse gas emissions caused by an entity.</w:t>
      </w:r>
    </w:p>
    <w:p>
      <w:pPr>
        <w:ind w:firstLine="0" w:left="454"/>
        <w:jc w:val="left"/>
      </w:pPr>
      <w:r>
        <w:t>• SSP: Shared Socioeconomic Pathway (scenario framework).</w:t>
      </w:r>
    </w:p>
    <w:p>
      <w:pPr>
        <w:ind w:firstLine="0" w:left="454"/>
        <w:jc w:val="left"/>
      </w:pPr>
      <w:r>
        <w:t>• RCP: Representative Concentration Pathway.</w:t>
      </w:r>
    </w:p>
    <w:p>
      <w:pPr>
        <w:ind w:firstLine="0" w:left="454"/>
        <w:jc w:val="left"/>
      </w:pPr>
      <w:r>
        <w:t>• Committed warming: Warming locked in by past emissions.</w:t>
      </w:r>
    </w:p>
    <w:p>
      <w:pPr>
        <w:pStyle w:val="Heading1"/>
        <w:pageBreakBefore/>
      </w:pPr>
      <w:r>
        <w:t>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pStyle w:val="Heading1"/>
        <w:pageBreakBefore/>
      </w:pPr>
      <w:r>
        <w:t>References</w:t>
      </w:r>
    </w:p>
    <w:p>
      <w:pPr>
        <w:pStyle w:val="Heading2"/>
      </w:pPr>
      <w:r>
        <w:t>Works Cited</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et al.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 °C rather than 2 °C.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et al.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holds a bachelor’s degree in history education (S.Pd.) from Universitas Negeri Malang, Indonesia. His degree is a teaching degree in history, and the habit it instils is the one this book depends on: read a primary record closely, weigh one source against another, and separate what the evidence establishes from what the narrator assumes. That discipline is what he brings to the climate record.</w:t>
      </w:r>
    </w:p>
    <w:p>
      <w:r>
        <w:t>The method here is the historian’s method applied to a faster subject. Patterns of the past — the order in which a hazard becomes a famine, a warning becomes a failure, a coastline becomes a city — are read beside data from the present: temperature records, displacement counts, loss estimates, the price of bread. Where the two agree, the repetition is treated as a signal rather than a coincidence. Where they diverge, the book says so rather than smoothing the difference away.</w:t>
      </w:r>
    </w:p>
    <w:p>
      <w:r>
        <w:t>Predicting the future from that comparison is not prophecy. The claim is narrower: human systems tend to fail in recognisable orders, and the order can be learned from the record of the past two decades. A book of predictions is worth reading only if it can be checked, which is why every chapter here closes by naming the observation that would prove it wrong.</w:t>
      </w:r>
    </w:p>
    <w:p>
      <w:r>
        <w:t>He lives in Indonesia, where the hazards described in these pages — heat, flood, drought and displacement — are ordinary experience rather than projection. That proximity shapes the argument: the difference between a hazard and a disaster is usually a decision, and decisions can be made differently. What follows is an attempt to make those decisions legible while there is still time to take them.</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11 data figures,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