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w:t>
      </w:r>
    </w:p>
    <w:p>
      <w:r>
        <w:t>The remaining carbon budget makes the arithmetic explicit. To have a fifty per cent chance of holding warming to 1.5 °C, the world can emit roughly 250 billion tonnes of carbon dioxide more — about six years at current rates.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Appendix A: 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Appendix B: 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Appendix C: 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Appendix D: 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is a professional working across AI development, product management and digital marketing, with a focus on AI-based products and digital services.</w:t>
      </w:r>
    </w:p>
    <w:p>
      <w:r>
        <w:t>He is based in Indonesia, where the hazards this book describes — heat, flood, drought and displacement — are part of ordinary experience rather than projection. That proximity shapes the argument here: the difference between a hazard and a disaster is usually a decision, and decisions can be made differently.</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