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682AE" w14:textId="77777777" w:rsidR="00477393" w:rsidRPr="00BC4EAD" w:rsidRDefault="00477393" w:rsidP="002D0AE2">
      <w:pPr>
        <w:spacing w:after="0" w:line="240" w:lineRule="auto"/>
        <w:rPr>
          <w:rFonts w:eastAsia="Times New Roman" w:cs="Times New Roman"/>
          <w:sz w:val="20"/>
          <w:szCs w:val="20"/>
        </w:rPr>
      </w:pPr>
      <w:r w:rsidRPr="00AE55A8">
        <w:rPr>
          <w:rFonts w:eastAsia="Times New Roman" w:cs="Times New Roman"/>
          <w:b/>
          <w:bCs/>
          <w:sz w:val="20"/>
          <w:szCs w:val="20"/>
        </w:rPr>
        <w:t xml:space="preserve">Fraud </w:t>
      </w:r>
      <w:r w:rsidR="008612B5" w:rsidRPr="00AE55A8">
        <w:rPr>
          <w:rFonts w:eastAsia="Times New Roman" w:cs="Times New Roman"/>
          <w:b/>
          <w:bCs/>
          <w:sz w:val="20"/>
          <w:szCs w:val="20"/>
        </w:rPr>
        <w:t>Risk Assessment</w:t>
      </w:r>
      <w:r w:rsidRPr="00AE55A8">
        <w:rPr>
          <w:rFonts w:eastAsia="Times New Roman" w:cs="Times New Roman"/>
          <w:b/>
          <w:bCs/>
          <w:sz w:val="20"/>
          <w:szCs w:val="20"/>
        </w:rPr>
        <w:t xml:space="preserve"> Team:</w:t>
      </w:r>
      <w:r w:rsidRPr="00AE55A8">
        <w:rPr>
          <w:rFonts w:eastAsia="Times New Roman" w:cs="Times New Roman"/>
          <w:sz w:val="20"/>
          <w:szCs w:val="20"/>
        </w:rPr>
        <w:t xml:space="preserve">  This field should include a list of the individuals participating in the Fraud </w:t>
      </w:r>
      <w:r w:rsidR="008612B5" w:rsidRPr="00AE55A8">
        <w:rPr>
          <w:rFonts w:eastAsia="Times New Roman" w:cs="Times New Roman"/>
          <w:sz w:val="20"/>
          <w:szCs w:val="20"/>
        </w:rPr>
        <w:t>Risk Assessment</w:t>
      </w:r>
      <w:r w:rsidRPr="00AE55A8">
        <w:rPr>
          <w:rFonts w:eastAsia="Times New Roman" w:cs="Times New Roman"/>
          <w:sz w:val="20"/>
          <w:szCs w:val="20"/>
        </w:rPr>
        <w:t xml:space="preserve"> session.</w:t>
      </w:r>
      <w:r w:rsidRPr="00BC4EAD">
        <w:rPr>
          <w:rFonts w:eastAsia="Times New Roman" w:cs="Times New Roman"/>
          <w:sz w:val="20"/>
          <w:szCs w:val="20"/>
        </w:rPr>
        <w:t xml:space="preserve">  </w:t>
      </w:r>
    </w:p>
    <w:p w14:paraId="49E00AE0" w14:textId="0B787017" w:rsidR="00477393" w:rsidRDefault="0060792F" w:rsidP="002D0AE2">
      <w:pPr>
        <w:pStyle w:val="ListParagraph"/>
        <w:numPr>
          <w:ilvl w:val="0"/>
          <w:numId w:val="4"/>
        </w:numPr>
        <w:spacing w:after="0" w:line="240" w:lineRule="auto"/>
        <w:rPr>
          <w:rFonts w:eastAsia="Times New Roman" w:cs="Times New Roman"/>
          <w:sz w:val="20"/>
          <w:szCs w:val="20"/>
        </w:rPr>
      </w:pPr>
      <w:r>
        <w:rPr>
          <w:rFonts w:eastAsia="Times New Roman" w:cs="Times New Roman"/>
          <w:sz w:val="20"/>
          <w:szCs w:val="20"/>
        </w:rPr>
        <w:t>Sol Vazquez</w:t>
      </w:r>
      <w:r>
        <w:rPr>
          <w:rFonts w:eastAsia="Times New Roman" w:cs="Times New Roman"/>
          <w:sz w:val="20"/>
          <w:szCs w:val="20"/>
        </w:rPr>
        <w:tab/>
      </w:r>
    </w:p>
    <w:p w14:paraId="2670DCBA" w14:textId="297888AC" w:rsidR="0060792F" w:rsidRDefault="0060792F" w:rsidP="002D0AE2">
      <w:pPr>
        <w:pStyle w:val="ListParagraph"/>
        <w:numPr>
          <w:ilvl w:val="0"/>
          <w:numId w:val="4"/>
        </w:numPr>
        <w:spacing w:after="0" w:line="240" w:lineRule="auto"/>
        <w:rPr>
          <w:rFonts w:eastAsia="Times New Roman" w:cs="Times New Roman"/>
          <w:sz w:val="20"/>
          <w:szCs w:val="20"/>
        </w:rPr>
      </w:pPr>
      <w:r>
        <w:rPr>
          <w:rFonts w:eastAsia="Times New Roman" w:cs="Times New Roman"/>
          <w:sz w:val="20"/>
          <w:szCs w:val="20"/>
        </w:rPr>
        <w:t>Jason Nazare</w:t>
      </w:r>
      <w:r>
        <w:rPr>
          <w:rFonts w:eastAsia="Times New Roman" w:cs="Times New Roman"/>
          <w:sz w:val="20"/>
          <w:szCs w:val="20"/>
        </w:rPr>
        <w:tab/>
      </w:r>
      <w:r>
        <w:rPr>
          <w:rFonts w:eastAsia="Times New Roman" w:cs="Times New Roman"/>
          <w:sz w:val="20"/>
          <w:szCs w:val="20"/>
        </w:rPr>
        <w:tab/>
      </w:r>
    </w:p>
    <w:p w14:paraId="330E2006" w14:textId="76FFCE53" w:rsidR="002D0AE2" w:rsidRDefault="0060792F" w:rsidP="0060792F">
      <w:pPr>
        <w:pStyle w:val="ListParagraph"/>
        <w:numPr>
          <w:ilvl w:val="0"/>
          <w:numId w:val="4"/>
        </w:numPr>
        <w:spacing w:after="0" w:line="240" w:lineRule="auto"/>
        <w:rPr>
          <w:rFonts w:eastAsia="Times New Roman" w:cs="Times New Roman"/>
          <w:sz w:val="20"/>
          <w:szCs w:val="20"/>
        </w:rPr>
      </w:pPr>
      <w:r>
        <w:rPr>
          <w:rFonts w:eastAsia="Times New Roman" w:cs="Times New Roman"/>
          <w:sz w:val="20"/>
          <w:szCs w:val="20"/>
        </w:rPr>
        <w:t>Seun Mafi</w:t>
      </w:r>
    </w:p>
    <w:p w14:paraId="4E9B32B9" w14:textId="138ACA54" w:rsidR="0060792F" w:rsidRDefault="0060792F" w:rsidP="0060792F">
      <w:pPr>
        <w:pStyle w:val="ListParagraph"/>
        <w:numPr>
          <w:ilvl w:val="0"/>
          <w:numId w:val="4"/>
        </w:numPr>
        <w:spacing w:after="0" w:line="240" w:lineRule="auto"/>
        <w:rPr>
          <w:rFonts w:eastAsia="Times New Roman" w:cs="Times New Roman"/>
          <w:sz w:val="20"/>
          <w:szCs w:val="20"/>
        </w:rPr>
      </w:pPr>
      <w:r>
        <w:rPr>
          <w:rFonts w:eastAsia="Times New Roman" w:cs="Times New Roman"/>
          <w:sz w:val="20"/>
          <w:szCs w:val="20"/>
        </w:rPr>
        <w:t>Aerozona Obiadazie</w:t>
      </w:r>
    </w:p>
    <w:p w14:paraId="4E80B73B" w14:textId="231A5249" w:rsidR="0060792F" w:rsidRDefault="0060792F" w:rsidP="0060792F">
      <w:pPr>
        <w:pStyle w:val="ListParagraph"/>
        <w:numPr>
          <w:ilvl w:val="0"/>
          <w:numId w:val="4"/>
        </w:numPr>
        <w:spacing w:after="0" w:line="240" w:lineRule="auto"/>
        <w:rPr>
          <w:rFonts w:eastAsia="Times New Roman" w:cs="Times New Roman"/>
          <w:sz w:val="20"/>
          <w:szCs w:val="20"/>
        </w:rPr>
      </w:pPr>
      <w:r>
        <w:rPr>
          <w:rFonts w:eastAsia="Times New Roman" w:cs="Times New Roman"/>
          <w:sz w:val="20"/>
          <w:szCs w:val="20"/>
        </w:rPr>
        <w:t>Tyrell Jarett</w:t>
      </w:r>
    </w:p>
    <w:p w14:paraId="43D374BD" w14:textId="21A7C92E" w:rsidR="0060792F" w:rsidRPr="0060792F" w:rsidRDefault="0060792F" w:rsidP="0060792F">
      <w:pPr>
        <w:pStyle w:val="ListParagraph"/>
        <w:numPr>
          <w:ilvl w:val="0"/>
          <w:numId w:val="4"/>
        </w:numPr>
        <w:spacing w:after="0" w:line="240" w:lineRule="auto"/>
        <w:rPr>
          <w:rFonts w:eastAsia="Times New Roman" w:cs="Times New Roman"/>
          <w:sz w:val="20"/>
          <w:szCs w:val="20"/>
        </w:rPr>
      </w:pPr>
      <w:r>
        <w:rPr>
          <w:rFonts w:eastAsia="Times New Roman" w:cs="Times New Roman"/>
          <w:sz w:val="20"/>
          <w:szCs w:val="20"/>
        </w:rPr>
        <w:t xml:space="preserve">Moriah Striegel </w:t>
      </w:r>
    </w:p>
    <w:p w14:paraId="3FEF4831" w14:textId="77777777" w:rsidR="00477393" w:rsidRPr="00BC4EAD" w:rsidRDefault="00477393" w:rsidP="00477393">
      <w:pPr>
        <w:spacing w:after="0" w:line="240" w:lineRule="auto"/>
        <w:rPr>
          <w:rFonts w:eastAsia="Times New Roman" w:cs="Times New Roman"/>
          <w:sz w:val="20"/>
          <w:szCs w:val="20"/>
        </w:rPr>
      </w:pPr>
      <w:r w:rsidRPr="00BC4EAD">
        <w:rPr>
          <w:rFonts w:eastAsia="Times New Roman" w:cs="Times New Roman"/>
          <w:sz w:val="20"/>
          <w:szCs w:val="20"/>
        </w:rPr>
        <w:t> </w:t>
      </w:r>
    </w:p>
    <w:p w14:paraId="59B15A9D" w14:textId="77777777" w:rsidR="00477393" w:rsidRPr="00BC4EAD" w:rsidRDefault="00477393" w:rsidP="00477393">
      <w:pPr>
        <w:spacing w:after="0" w:line="240" w:lineRule="auto"/>
        <w:rPr>
          <w:rFonts w:eastAsia="Times New Roman" w:cs="Times New Roman"/>
          <w:sz w:val="32"/>
          <w:szCs w:val="32"/>
        </w:rPr>
      </w:pPr>
      <w:r w:rsidRPr="00BC4EAD">
        <w:rPr>
          <w:rFonts w:eastAsia="Times New Roman" w:cs="Times New Roman"/>
          <w:b/>
          <w:bCs/>
          <w:sz w:val="32"/>
          <w:szCs w:val="32"/>
          <w:u w:val="single"/>
        </w:rPr>
        <w:t>Assess the Process</w:t>
      </w:r>
      <w:r w:rsidRPr="00BC4EAD">
        <w:rPr>
          <w:rFonts w:eastAsia="Times New Roman" w:cs="Times New Roman"/>
          <w:sz w:val="32"/>
          <w:szCs w:val="32"/>
        </w:rPr>
        <w:t xml:space="preserve"> </w:t>
      </w:r>
    </w:p>
    <w:p w14:paraId="03EE1893" w14:textId="77777777" w:rsidR="00477393" w:rsidRPr="00BC4EAD" w:rsidRDefault="00477393" w:rsidP="00477393">
      <w:pPr>
        <w:spacing w:after="0" w:line="240" w:lineRule="auto"/>
        <w:rPr>
          <w:rFonts w:eastAsia="Times New Roman" w:cs="Times New Roman"/>
          <w:sz w:val="20"/>
          <w:szCs w:val="20"/>
        </w:rPr>
      </w:pPr>
      <w:r w:rsidRPr="00BC4EAD">
        <w:rPr>
          <w:rFonts w:eastAsia="Times New Roman" w:cs="Times New Roman"/>
          <w:sz w:val="20"/>
          <w:szCs w:val="20"/>
        </w:rPr>
        <w:t> </w:t>
      </w:r>
    </w:p>
    <w:p w14:paraId="60316337" w14:textId="3B835BD6" w:rsidR="00477393" w:rsidRDefault="00477393" w:rsidP="00477393">
      <w:pPr>
        <w:spacing w:after="0" w:line="240" w:lineRule="auto"/>
        <w:rPr>
          <w:rFonts w:eastAsia="Times New Roman" w:cs="Arial"/>
          <w:color w:val="363636"/>
          <w:sz w:val="20"/>
          <w:szCs w:val="20"/>
        </w:rPr>
      </w:pPr>
      <w:r w:rsidRPr="00BC4EAD">
        <w:rPr>
          <w:rFonts w:eastAsia="Times New Roman" w:cs="Times New Roman"/>
          <w:b/>
          <w:bCs/>
          <w:sz w:val="20"/>
          <w:szCs w:val="20"/>
        </w:rPr>
        <w:t>Process Complexity:</w:t>
      </w:r>
      <w:r w:rsidRPr="00BC4EAD">
        <w:rPr>
          <w:rFonts w:eastAsia="Times New Roman" w:cs="Times New Roman"/>
          <w:sz w:val="20"/>
          <w:szCs w:val="20"/>
        </w:rPr>
        <w:t xml:space="preserve">  </w:t>
      </w:r>
      <w:r w:rsidRPr="00BC4EAD">
        <w:rPr>
          <w:rFonts w:eastAsia="Times New Roman" w:cs="Arial"/>
          <w:color w:val="363636"/>
          <w:sz w:val="20"/>
          <w:szCs w:val="20"/>
        </w:rPr>
        <w:t>Assess the complexity of the process' moving parts. The more complex a process, the greater the chance that fraud could go undetected.</w:t>
      </w:r>
    </w:p>
    <w:p w14:paraId="3966EA9F" w14:textId="416C5259" w:rsidR="00F40F19" w:rsidRDefault="00F40F19" w:rsidP="00F40F19">
      <w:pPr>
        <w:pStyle w:val="ListParagraph"/>
        <w:numPr>
          <w:ilvl w:val="0"/>
          <w:numId w:val="4"/>
        </w:numPr>
        <w:spacing w:after="0" w:line="240" w:lineRule="auto"/>
        <w:rPr>
          <w:rFonts w:eastAsia="Times New Roman" w:cs="Times New Roman"/>
          <w:sz w:val="20"/>
          <w:szCs w:val="20"/>
        </w:rPr>
      </w:pPr>
      <w:r>
        <w:rPr>
          <w:rFonts w:eastAsia="Times New Roman" w:cs="Times New Roman"/>
          <w:sz w:val="20"/>
          <w:szCs w:val="20"/>
        </w:rPr>
        <w:t>CDR application is a single source of data for enterprise that is integrated with the Google Cloud Platform (GCP)</w:t>
      </w:r>
    </w:p>
    <w:p w14:paraId="739FF8BF" w14:textId="13B2BD51" w:rsidR="00F40F19" w:rsidRDefault="00D427FD" w:rsidP="00F40F19">
      <w:pPr>
        <w:pStyle w:val="ListParagraph"/>
        <w:numPr>
          <w:ilvl w:val="0"/>
          <w:numId w:val="4"/>
        </w:numPr>
        <w:spacing w:after="0" w:line="240" w:lineRule="auto"/>
        <w:rPr>
          <w:rFonts w:eastAsia="Times New Roman" w:cs="Times New Roman"/>
          <w:sz w:val="20"/>
          <w:szCs w:val="20"/>
        </w:rPr>
      </w:pPr>
      <w:r>
        <w:rPr>
          <w:rFonts w:eastAsia="Times New Roman" w:cs="Times New Roman"/>
          <w:sz w:val="20"/>
          <w:szCs w:val="20"/>
        </w:rPr>
        <w:t xml:space="preserve">There are </w:t>
      </w:r>
      <w:r w:rsidR="00F40F19">
        <w:rPr>
          <w:rFonts w:eastAsia="Times New Roman" w:cs="Times New Roman"/>
          <w:sz w:val="20"/>
          <w:szCs w:val="20"/>
        </w:rPr>
        <w:t>firewalls and connectivity established</w:t>
      </w:r>
      <w:r>
        <w:rPr>
          <w:rFonts w:eastAsia="Times New Roman" w:cs="Times New Roman"/>
          <w:sz w:val="20"/>
          <w:szCs w:val="20"/>
        </w:rPr>
        <w:t xml:space="preserve"> between various source systems</w:t>
      </w:r>
      <w:r w:rsidR="00F40F19">
        <w:rPr>
          <w:rFonts w:eastAsia="Times New Roman" w:cs="Times New Roman"/>
          <w:sz w:val="20"/>
          <w:szCs w:val="20"/>
        </w:rPr>
        <w:t xml:space="preserve"> and GCP environment. </w:t>
      </w:r>
    </w:p>
    <w:p w14:paraId="021659DE" w14:textId="6B99CD30" w:rsidR="00F40F19" w:rsidRDefault="00186F19" w:rsidP="00F40F19">
      <w:pPr>
        <w:pStyle w:val="ListParagraph"/>
        <w:numPr>
          <w:ilvl w:val="0"/>
          <w:numId w:val="4"/>
        </w:numPr>
        <w:spacing w:after="0" w:line="240" w:lineRule="auto"/>
        <w:rPr>
          <w:rFonts w:eastAsia="Times New Roman" w:cs="Times New Roman"/>
          <w:sz w:val="20"/>
          <w:szCs w:val="20"/>
        </w:rPr>
      </w:pPr>
      <w:r>
        <w:rPr>
          <w:rFonts w:eastAsia="Times New Roman" w:cs="Times New Roman"/>
          <w:sz w:val="20"/>
          <w:szCs w:val="20"/>
        </w:rPr>
        <w:t xml:space="preserve">CDR application hosts data from internal and external (contractor) sources for consumption by internal lines of business as well as external partners. </w:t>
      </w:r>
    </w:p>
    <w:p w14:paraId="2A06161E" w14:textId="523AF26D" w:rsidR="005F4F0F" w:rsidRDefault="005F4F0F" w:rsidP="00F40F19">
      <w:pPr>
        <w:pStyle w:val="ListParagraph"/>
        <w:numPr>
          <w:ilvl w:val="0"/>
          <w:numId w:val="4"/>
        </w:numPr>
        <w:spacing w:after="0" w:line="240" w:lineRule="auto"/>
        <w:rPr>
          <w:rFonts w:eastAsia="Times New Roman" w:cs="Times New Roman"/>
          <w:sz w:val="20"/>
          <w:szCs w:val="20"/>
        </w:rPr>
      </w:pPr>
      <w:r>
        <w:rPr>
          <w:rFonts w:eastAsia="Times New Roman" w:cs="Times New Roman"/>
          <w:sz w:val="20"/>
          <w:szCs w:val="20"/>
        </w:rPr>
        <w:t>CDR (Clinical Data Repository) contains sensitive data including PHI and PII</w:t>
      </w:r>
    </w:p>
    <w:p w14:paraId="61B82E70" w14:textId="029470A9" w:rsidR="00477393" w:rsidRPr="00D427FD" w:rsidRDefault="00D427FD" w:rsidP="000E579D">
      <w:pPr>
        <w:pStyle w:val="ListParagraph"/>
        <w:numPr>
          <w:ilvl w:val="0"/>
          <w:numId w:val="4"/>
        </w:numPr>
        <w:spacing w:after="0" w:line="240" w:lineRule="auto"/>
        <w:rPr>
          <w:rFonts w:eastAsia="Times New Roman" w:cs="Arial"/>
          <w:color w:val="363636"/>
          <w:sz w:val="20"/>
          <w:szCs w:val="20"/>
        </w:rPr>
      </w:pPr>
      <w:r>
        <w:rPr>
          <w:rFonts w:eastAsia="Times New Roman" w:cs="Times New Roman"/>
          <w:sz w:val="20"/>
          <w:szCs w:val="20"/>
        </w:rPr>
        <w:t>Give c</w:t>
      </w:r>
      <w:r w:rsidRPr="00D427FD">
        <w:rPr>
          <w:rFonts w:eastAsia="Times New Roman" w:cs="Times New Roman"/>
          <w:sz w:val="20"/>
          <w:szCs w:val="20"/>
        </w:rPr>
        <w:t xml:space="preserve">linical </w:t>
      </w:r>
      <w:r>
        <w:rPr>
          <w:rFonts w:eastAsia="Times New Roman" w:cs="Times New Roman"/>
          <w:sz w:val="20"/>
          <w:szCs w:val="20"/>
        </w:rPr>
        <w:t>d</w:t>
      </w:r>
      <w:r w:rsidRPr="00D427FD">
        <w:rPr>
          <w:rFonts w:eastAsia="Times New Roman" w:cs="Times New Roman"/>
          <w:sz w:val="20"/>
          <w:szCs w:val="20"/>
        </w:rPr>
        <w:t>ata is stored in the repository</w:t>
      </w:r>
      <w:r>
        <w:rPr>
          <w:rFonts w:eastAsia="Times New Roman" w:cs="Times New Roman"/>
          <w:sz w:val="20"/>
          <w:szCs w:val="20"/>
        </w:rPr>
        <w:t>;</w:t>
      </w:r>
      <w:r w:rsidRPr="00D427FD">
        <w:rPr>
          <w:rFonts w:eastAsia="Times New Roman" w:cs="Times New Roman"/>
          <w:sz w:val="20"/>
          <w:szCs w:val="20"/>
        </w:rPr>
        <w:t xml:space="preserve"> hence, th</w:t>
      </w:r>
      <w:r>
        <w:rPr>
          <w:rFonts w:eastAsia="Times New Roman" w:cs="Times New Roman"/>
          <w:sz w:val="20"/>
          <w:szCs w:val="20"/>
        </w:rPr>
        <w:t>e process is not complex.</w:t>
      </w:r>
      <w:r w:rsidR="00477393" w:rsidRPr="00D427FD">
        <w:rPr>
          <w:rFonts w:eastAsia="Times New Roman" w:cs="Arial"/>
          <w:color w:val="363636"/>
          <w:sz w:val="20"/>
          <w:szCs w:val="20"/>
        </w:rPr>
        <w:t> </w:t>
      </w:r>
    </w:p>
    <w:p w14:paraId="71DA6962" w14:textId="77777777" w:rsidR="00477393" w:rsidRDefault="00477393" w:rsidP="00477393">
      <w:pPr>
        <w:spacing w:after="0" w:line="240" w:lineRule="auto"/>
        <w:rPr>
          <w:rFonts w:eastAsia="Times New Roman" w:cs="Times New Roman"/>
          <w:sz w:val="20"/>
          <w:szCs w:val="20"/>
        </w:rPr>
      </w:pPr>
      <w:r w:rsidRPr="00BC4EAD">
        <w:rPr>
          <w:rFonts w:eastAsia="Times New Roman" w:cs="Times New Roman"/>
          <w:sz w:val="20"/>
          <w:szCs w:val="20"/>
        </w:rPr>
        <w:t> </w:t>
      </w:r>
    </w:p>
    <w:p w14:paraId="6309C79D" w14:textId="77777777" w:rsidR="004A299A" w:rsidRPr="00BC4EAD" w:rsidRDefault="004A299A" w:rsidP="00477393">
      <w:pPr>
        <w:spacing w:after="0" w:line="240" w:lineRule="auto"/>
        <w:rPr>
          <w:rFonts w:eastAsia="Times New Roman" w:cs="Times New Roman"/>
          <w:sz w:val="20"/>
          <w:szCs w:val="20"/>
        </w:rPr>
      </w:pPr>
    </w:p>
    <w:p w14:paraId="093BCB59" w14:textId="2298BB8D" w:rsidR="00477393" w:rsidRDefault="00477393" w:rsidP="00477393">
      <w:pPr>
        <w:spacing w:after="0" w:line="240" w:lineRule="auto"/>
        <w:rPr>
          <w:rFonts w:eastAsia="Times New Roman" w:cs="Arial"/>
          <w:color w:val="363636"/>
          <w:sz w:val="20"/>
          <w:szCs w:val="20"/>
        </w:rPr>
      </w:pPr>
      <w:r w:rsidRPr="00BC4EAD">
        <w:rPr>
          <w:rFonts w:eastAsia="Times New Roman" w:cs="Helvetica"/>
          <w:b/>
          <w:bCs/>
          <w:color w:val="363636"/>
          <w:sz w:val="20"/>
          <w:szCs w:val="20"/>
        </w:rPr>
        <w:t xml:space="preserve">Number of transactions:  </w:t>
      </w:r>
      <w:r w:rsidRPr="00BC4EAD">
        <w:rPr>
          <w:rFonts w:eastAsia="Times New Roman" w:cs="Arial"/>
          <w:color w:val="363636"/>
          <w:sz w:val="20"/>
          <w:szCs w:val="20"/>
        </w:rPr>
        <w:t>The more transactions, the easier fraudsters can hide their crimes. Pay close attention to those processes that generate significant numbers of transactions, and design fraud detection tests accordingly.</w:t>
      </w:r>
    </w:p>
    <w:p w14:paraId="585FD6CE" w14:textId="6BE4E81A" w:rsidR="00A8096F" w:rsidRDefault="00A8096F" w:rsidP="00A8096F">
      <w:pPr>
        <w:pStyle w:val="ListParagraph"/>
        <w:numPr>
          <w:ilvl w:val="0"/>
          <w:numId w:val="4"/>
        </w:numPr>
        <w:spacing w:after="0" w:line="240" w:lineRule="auto"/>
        <w:rPr>
          <w:rFonts w:eastAsia="Times New Roman" w:cs="Times New Roman"/>
          <w:color w:val="363636"/>
          <w:sz w:val="20"/>
          <w:szCs w:val="20"/>
        </w:rPr>
      </w:pPr>
      <w:r>
        <w:rPr>
          <w:rFonts w:eastAsia="Times New Roman" w:cs="Times New Roman"/>
          <w:color w:val="363636"/>
          <w:sz w:val="20"/>
          <w:szCs w:val="20"/>
        </w:rPr>
        <w:t xml:space="preserve">Given CDR is still in its infancy and had only one release, number of </w:t>
      </w:r>
      <w:r w:rsidR="00A534EA">
        <w:rPr>
          <w:rFonts w:eastAsia="Times New Roman" w:cs="Times New Roman"/>
          <w:color w:val="363636"/>
          <w:sz w:val="20"/>
          <w:szCs w:val="20"/>
        </w:rPr>
        <w:t>data stored in CDR</w:t>
      </w:r>
      <w:r>
        <w:rPr>
          <w:rFonts w:eastAsia="Times New Roman" w:cs="Times New Roman"/>
          <w:color w:val="363636"/>
          <w:sz w:val="20"/>
          <w:szCs w:val="20"/>
        </w:rPr>
        <w:t xml:space="preserve"> is still minimal.</w:t>
      </w:r>
    </w:p>
    <w:p w14:paraId="101D4EFC" w14:textId="6244C2B3" w:rsidR="003C42BC" w:rsidRPr="003C42BC" w:rsidRDefault="0088315F" w:rsidP="003C42BC">
      <w:pPr>
        <w:pStyle w:val="ListParagraph"/>
        <w:numPr>
          <w:ilvl w:val="0"/>
          <w:numId w:val="5"/>
        </w:numPr>
        <w:spacing w:after="0" w:line="240" w:lineRule="auto"/>
        <w:rPr>
          <w:rFonts w:eastAsia="Times New Roman" w:cs="Times New Roman"/>
          <w:b/>
          <w:bCs/>
          <w:color w:val="363636"/>
          <w:sz w:val="20"/>
          <w:szCs w:val="20"/>
        </w:rPr>
      </w:pPr>
      <w:r>
        <w:rPr>
          <w:rFonts w:eastAsia="Times New Roman" w:cs="Times New Roman"/>
          <w:b/>
          <w:bCs/>
          <w:color w:val="363636"/>
          <w:sz w:val="20"/>
          <w:szCs w:val="20"/>
        </w:rPr>
        <w:t>Question: How much data has been stored in CDR, and what is the threshold of scalability of storage over time?</w:t>
      </w:r>
      <w:r w:rsidR="00152D3A">
        <w:rPr>
          <w:rFonts w:eastAsia="Times New Roman" w:cs="Times New Roman"/>
          <w:b/>
          <w:bCs/>
          <w:color w:val="363636"/>
          <w:sz w:val="20"/>
          <w:szCs w:val="20"/>
        </w:rPr>
        <w:t xml:space="preserve"> GB/TB size (Volume)?</w:t>
      </w:r>
    </w:p>
    <w:p w14:paraId="3FF840CF" w14:textId="54D63A18" w:rsidR="003C42BC" w:rsidRDefault="00A8096F" w:rsidP="003C42BC">
      <w:pPr>
        <w:pStyle w:val="ListParagraph"/>
        <w:numPr>
          <w:ilvl w:val="0"/>
          <w:numId w:val="4"/>
        </w:numPr>
        <w:spacing w:after="0" w:line="240" w:lineRule="auto"/>
        <w:rPr>
          <w:rFonts w:eastAsia="Times New Roman" w:cs="Times New Roman"/>
          <w:color w:val="363636"/>
          <w:sz w:val="20"/>
          <w:szCs w:val="20"/>
        </w:rPr>
      </w:pPr>
      <w:r>
        <w:rPr>
          <w:rFonts w:eastAsia="Times New Roman" w:cs="Times New Roman"/>
          <w:color w:val="363636"/>
          <w:sz w:val="20"/>
          <w:szCs w:val="20"/>
        </w:rPr>
        <w:t xml:space="preserve">The fraud risk around volume is high </w:t>
      </w:r>
      <w:proofErr w:type="gramStart"/>
      <w:r>
        <w:rPr>
          <w:rFonts w:eastAsia="Times New Roman" w:cs="Times New Roman"/>
          <w:color w:val="363636"/>
          <w:sz w:val="20"/>
          <w:szCs w:val="20"/>
        </w:rPr>
        <w:t>as a result of</w:t>
      </w:r>
      <w:proofErr w:type="gramEnd"/>
      <w:r>
        <w:rPr>
          <w:rFonts w:eastAsia="Times New Roman" w:cs="Times New Roman"/>
          <w:color w:val="363636"/>
          <w:sz w:val="20"/>
          <w:szCs w:val="20"/>
        </w:rPr>
        <w:t xml:space="preserve"> CDR hosting </w:t>
      </w:r>
      <w:proofErr w:type="spellStart"/>
      <w:r>
        <w:rPr>
          <w:rFonts w:eastAsia="Times New Roman" w:cs="Times New Roman"/>
          <w:color w:val="363636"/>
          <w:sz w:val="20"/>
          <w:szCs w:val="20"/>
        </w:rPr>
        <w:t>hosting</w:t>
      </w:r>
      <w:proofErr w:type="spellEnd"/>
      <w:r>
        <w:rPr>
          <w:rFonts w:eastAsia="Times New Roman" w:cs="Times New Roman"/>
          <w:color w:val="363636"/>
          <w:sz w:val="20"/>
          <w:szCs w:val="20"/>
        </w:rPr>
        <w:t xml:space="preserve"> data from internal and external (Contractor) sources. </w:t>
      </w:r>
      <w:r w:rsidR="00A534EA">
        <w:rPr>
          <w:rFonts w:eastAsia="Times New Roman" w:cs="Times New Roman"/>
          <w:color w:val="363636"/>
          <w:sz w:val="20"/>
          <w:szCs w:val="20"/>
        </w:rPr>
        <w:t>T</w:t>
      </w:r>
      <w:r w:rsidR="003C42BC">
        <w:rPr>
          <w:rFonts w:eastAsia="Times New Roman" w:cs="Times New Roman"/>
          <w:color w:val="363636"/>
          <w:sz w:val="20"/>
          <w:szCs w:val="20"/>
        </w:rPr>
        <w:t xml:space="preserve">ypes of data </w:t>
      </w:r>
      <w:proofErr w:type="gramStart"/>
      <w:r w:rsidR="003C42BC">
        <w:rPr>
          <w:rFonts w:eastAsia="Times New Roman" w:cs="Times New Roman"/>
          <w:color w:val="363636"/>
          <w:sz w:val="20"/>
          <w:szCs w:val="20"/>
        </w:rPr>
        <w:t>include:</w:t>
      </w:r>
      <w:proofErr w:type="gramEnd"/>
      <w:r w:rsidR="003C42BC">
        <w:rPr>
          <w:rFonts w:eastAsia="Times New Roman" w:cs="Times New Roman"/>
          <w:color w:val="363636"/>
          <w:sz w:val="20"/>
          <w:szCs w:val="20"/>
        </w:rPr>
        <w:t xml:space="preserve"> clinical data, member/patient and provider look up. </w:t>
      </w:r>
    </w:p>
    <w:p w14:paraId="71D32F08" w14:textId="008FA920" w:rsidR="00A8096F" w:rsidRPr="00A8096F" w:rsidRDefault="00A534EA" w:rsidP="00A8096F">
      <w:pPr>
        <w:pStyle w:val="ListParagraph"/>
        <w:numPr>
          <w:ilvl w:val="0"/>
          <w:numId w:val="4"/>
        </w:numPr>
        <w:spacing w:after="0" w:line="240" w:lineRule="auto"/>
        <w:rPr>
          <w:rFonts w:eastAsia="Times New Roman" w:cs="Times New Roman"/>
          <w:color w:val="363636"/>
          <w:sz w:val="20"/>
          <w:szCs w:val="20"/>
        </w:rPr>
      </w:pPr>
      <w:r>
        <w:rPr>
          <w:rFonts w:eastAsia="Times New Roman" w:cs="Times New Roman"/>
          <w:color w:val="363636"/>
          <w:sz w:val="20"/>
          <w:szCs w:val="20"/>
        </w:rPr>
        <w:t xml:space="preserve">Number of Transactions do not apply. </w:t>
      </w:r>
    </w:p>
    <w:p w14:paraId="35722C23" w14:textId="19F6D3B1" w:rsidR="004A299A" w:rsidRPr="00BC4EAD" w:rsidRDefault="00477393" w:rsidP="00477393">
      <w:pPr>
        <w:spacing w:after="0" w:line="240" w:lineRule="auto"/>
        <w:rPr>
          <w:rFonts w:eastAsia="Times New Roman" w:cs="Times New Roman"/>
          <w:sz w:val="20"/>
          <w:szCs w:val="20"/>
        </w:rPr>
      </w:pPr>
      <w:r w:rsidRPr="00BC4EAD">
        <w:rPr>
          <w:rFonts w:eastAsia="Times New Roman" w:cs="Times New Roman"/>
          <w:sz w:val="20"/>
          <w:szCs w:val="20"/>
        </w:rPr>
        <w:t> </w:t>
      </w:r>
    </w:p>
    <w:p w14:paraId="7814178C" w14:textId="622E39F1" w:rsidR="00477393" w:rsidRDefault="00477393" w:rsidP="00477393">
      <w:pPr>
        <w:spacing w:after="0" w:line="240" w:lineRule="auto"/>
        <w:rPr>
          <w:rFonts w:eastAsia="Times New Roman" w:cs="Arial"/>
          <w:color w:val="363636"/>
          <w:sz w:val="20"/>
          <w:szCs w:val="20"/>
        </w:rPr>
      </w:pPr>
      <w:r w:rsidRPr="00BC4EAD">
        <w:rPr>
          <w:rFonts w:eastAsia="Times New Roman" w:cs="Helvetica"/>
          <w:b/>
          <w:bCs/>
          <w:color w:val="363636"/>
          <w:sz w:val="20"/>
          <w:szCs w:val="20"/>
        </w:rPr>
        <w:t xml:space="preserve">Number of dollars, both large and small:  </w:t>
      </w:r>
      <w:r w:rsidRPr="00BC4EAD">
        <w:rPr>
          <w:rFonts w:eastAsia="Times New Roman" w:cs="Arial"/>
          <w:color w:val="363636"/>
          <w:sz w:val="20"/>
          <w:szCs w:val="20"/>
        </w:rPr>
        <w:t>Auditors may be drawn to focus on the high-dollar transactions that are above a certain threshold. But a significant fraud scheme could be occurring just under established thresholds. In some instances, the smallest transaction could be the indicator of a large, ongoing fraud.</w:t>
      </w:r>
    </w:p>
    <w:p w14:paraId="35D85816" w14:textId="454AC103" w:rsidR="00477393" w:rsidRPr="00A534EA" w:rsidRDefault="00A534EA" w:rsidP="00A534EA">
      <w:pPr>
        <w:pStyle w:val="ListParagraph"/>
        <w:numPr>
          <w:ilvl w:val="0"/>
          <w:numId w:val="4"/>
        </w:numPr>
        <w:spacing w:after="0" w:line="240" w:lineRule="auto"/>
        <w:rPr>
          <w:rFonts w:eastAsia="Times New Roman" w:cs="Times New Roman"/>
          <w:sz w:val="20"/>
          <w:szCs w:val="20"/>
        </w:rPr>
      </w:pPr>
      <w:r>
        <w:rPr>
          <w:rFonts w:eastAsia="Times New Roman" w:cs="Times New Roman"/>
          <w:sz w:val="20"/>
          <w:szCs w:val="20"/>
        </w:rPr>
        <w:t xml:space="preserve">Does not apply. Scope of audit is around security control regarding data storage. </w:t>
      </w:r>
      <w:r w:rsidR="00477393" w:rsidRPr="00A534EA">
        <w:rPr>
          <w:rFonts w:eastAsia="Times New Roman" w:cs="Times New Roman"/>
          <w:sz w:val="20"/>
          <w:szCs w:val="20"/>
        </w:rPr>
        <w:t> </w:t>
      </w:r>
    </w:p>
    <w:p w14:paraId="47B81224" w14:textId="77777777" w:rsidR="00477393" w:rsidRDefault="00477393" w:rsidP="00477393">
      <w:pPr>
        <w:spacing w:after="0" w:line="240" w:lineRule="auto"/>
        <w:rPr>
          <w:rFonts w:eastAsia="Times New Roman" w:cs="Times New Roman"/>
          <w:sz w:val="20"/>
          <w:szCs w:val="20"/>
        </w:rPr>
      </w:pPr>
      <w:r w:rsidRPr="00BC4EAD">
        <w:rPr>
          <w:rFonts w:eastAsia="Times New Roman" w:cs="Times New Roman"/>
          <w:sz w:val="20"/>
          <w:szCs w:val="20"/>
        </w:rPr>
        <w:t> </w:t>
      </w:r>
    </w:p>
    <w:p w14:paraId="7B9CDA39" w14:textId="77777777" w:rsidR="004A299A" w:rsidRPr="00BC4EAD" w:rsidRDefault="004A299A" w:rsidP="00477393">
      <w:pPr>
        <w:spacing w:after="0" w:line="240" w:lineRule="auto"/>
        <w:rPr>
          <w:rFonts w:eastAsia="Times New Roman" w:cs="Times New Roman"/>
          <w:sz w:val="20"/>
          <w:szCs w:val="20"/>
        </w:rPr>
      </w:pPr>
    </w:p>
    <w:p w14:paraId="4B6CB32B" w14:textId="77777777" w:rsidR="00477393" w:rsidRPr="00BC4EAD" w:rsidRDefault="00477393" w:rsidP="00477393">
      <w:pPr>
        <w:spacing w:after="0" w:line="240" w:lineRule="auto"/>
        <w:rPr>
          <w:rFonts w:eastAsia="Times New Roman" w:cs="Times New Roman"/>
          <w:color w:val="363636"/>
          <w:sz w:val="20"/>
          <w:szCs w:val="20"/>
        </w:rPr>
      </w:pPr>
      <w:r w:rsidRPr="00BC4EAD">
        <w:rPr>
          <w:rFonts w:eastAsia="Times New Roman" w:cs="Helvetica"/>
          <w:b/>
          <w:bCs/>
          <w:color w:val="363636"/>
          <w:sz w:val="20"/>
          <w:szCs w:val="20"/>
        </w:rPr>
        <w:t xml:space="preserve">Manual vs. automated systems:  </w:t>
      </w:r>
      <w:r w:rsidRPr="00BC4EAD">
        <w:rPr>
          <w:rFonts w:eastAsia="Times New Roman" w:cs="Arial"/>
          <w:color w:val="363636"/>
          <w:sz w:val="20"/>
          <w:szCs w:val="20"/>
        </w:rPr>
        <w:t>Discover if a process is manual or automated. Manual processes may allow for employees' manipulation. Understand the "touch points" in an automated system in which employees can enter, change and extract data. </w:t>
      </w:r>
    </w:p>
    <w:p w14:paraId="24225935" w14:textId="402AB61C" w:rsidR="00477393" w:rsidRDefault="00A534EA" w:rsidP="00A534EA">
      <w:pPr>
        <w:pStyle w:val="ListParagraph"/>
        <w:numPr>
          <w:ilvl w:val="0"/>
          <w:numId w:val="5"/>
        </w:numPr>
        <w:spacing w:after="0" w:line="240" w:lineRule="auto"/>
        <w:rPr>
          <w:rFonts w:eastAsia="Times New Roman" w:cs="Arial"/>
          <w:b/>
          <w:bCs/>
          <w:color w:val="363636"/>
          <w:sz w:val="20"/>
          <w:szCs w:val="20"/>
        </w:rPr>
      </w:pPr>
      <w:r w:rsidRPr="00A534EA">
        <w:rPr>
          <w:rFonts w:eastAsia="Times New Roman" w:cs="Arial"/>
          <w:b/>
          <w:bCs/>
          <w:color w:val="363636"/>
          <w:sz w:val="20"/>
          <w:szCs w:val="20"/>
        </w:rPr>
        <w:t>Question: Is there any manual process with data storage from various source systems?</w:t>
      </w:r>
    </w:p>
    <w:p w14:paraId="419926B7" w14:textId="5ECAB83B" w:rsidR="00A534EA" w:rsidRDefault="00A534EA" w:rsidP="00A534EA">
      <w:pPr>
        <w:pStyle w:val="ListParagraph"/>
        <w:numPr>
          <w:ilvl w:val="0"/>
          <w:numId w:val="5"/>
        </w:numPr>
        <w:spacing w:after="0" w:line="240" w:lineRule="auto"/>
        <w:rPr>
          <w:rFonts w:eastAsia="Times New Roman" w:cs="Arial"/>
          <w:b/>
          <w:bCs/>
          <w:color w:val="363636"/>
          <w:sz w:val="20"/>
          <w:szCs w:val="20"/>
        </w:rPr>
      </w:pPr>
      <w:r>
        <w:rPr>
          <w:rFonts w:eastAsia="Times New Roman" w:cs="Arial"/>
          <w:b/>
          <w:bCs/>
          <w:color w:val="363636"/>
          <w:sz w:val="20"/>
          <w:szCs w:val="20"/>
        </w:rPr>
        <w:t>Are there any checks/balances when regard to data flow from external/internal sources into CDR?</w:t>
      </w:r>
    </w:p>
    <w:p w14:paraId="220AA78C" w14:textId="398960F3" w:rsidR="008D7377" w:rsidRDefault="008D7377" w:rsidP="00A534EA">
      <w:pPr>
        <w:pStyle w:val="ListParagraph"/>
        <w:numPr>
          <w:ilvl w:val="0"/>
          <w:numId w:val="5"/>
        </w:numPr>
        <w:spacing w:after="0" w:line="240" w:lineRule="auto"/>
        <w:rPr>
          <w:rFonts w:eastAsia="Times New Roman" w:cs="Arial"/>
          <w:b/>
          <w:bCs/>
          <w:color w:val="363636"/>
          <w:sz w:val="20"/>
          <w:szCs w:val="20"/>
        </w:rPr>
      </w:pPr>
      <w:r>
        <w:rPr>
          <w:rFonts w:eastAsia="Times New Roman" w:cs="Arial"/>
          <w:b/>
          <w:bCs/>
          <w:color w:val="363636"/>
          <w:sz w:val="20"/>
          <w:szCs w:val="20"/>
        </w:rPr>
        <w:t>User access request, manual process? Maven wave</w:t>
      </w:r>
    </w:p>
    <w:p w14:paraId="7B404008" w14:textId="37D1274D" w:rsidR="00A534EA" w:rsidRPr="00A534EA" w:rsidRDefault="00A534EA" w:rsidP="00A534EA">
      <w:pPr>
        <w:pStyle w:val="ListParagraph"/>
        <w:numPr>
          <w:ilvl w:val="0"/>
          <w:numId w:val="4"/>
        </w:numPr>
        <w:spacing w:after="0" w:line="240" w:lineRule="auto"/>
        <w:rPr>
          <w:rFonts w:eastAsia="Times New Roman" w:cs="Arial"/>
          <w:b/>
          <w:bCs/>
          <w:color w:val="363636"/>
          <w:sz w:val="20"/>
          <w:szCs w:val="20"/>
        </w:rPr>
      </w:pPr>
      <w:r>
        <w:rPr>
          <w:rFonts w:eastAsia="Times New Roman" w:cs="Arial"/>
          <w:color w:val="363636"/>
          <w:sz w:val="20"/>
          <w:szCs w:val="20"/>
        </w:rPr>
        <w:t xml:space="preserve">Clinical Data is stored automatically into </w:t>
      </w:r>
      <w:r w:rsidR="000A47A3">
        <w:rPr>
          <w:rFonts w:eastAsia="Times New Roman" w:cs="Arial"/>
          <w:color w:val="363636"/>
          <w:sz w:val="20"/>
          <w:szCs w:val="20"/>
        </w:rPr>
        <w:t>CDR R</w:t>
      </w:r>
      <w:r>
        <w:rPr>
          <w:rFonts w:eastAsia="Times New Roman" w:cs="Arial"/>
          <w:color w:val="363636"/>
          <w:sz w:val="20"/>
          <w:szCs w:val="20"/>
        </w:rPr>
        <w:t xml:space="preserve">epository. </w:t>
      </w:r>
    </w:p>
    <w:p w14:paraId="54C4FEE6" w14:textId="77777777" w:rsidR="00477393" w:rsidRDefault="00477393" w:rsidP="00477393">
      <w:pPr>
        <w:spacing w:after="0" w:line="240" w:lineRule="auto"/>
        <w:rPr>
          <w:rFonts w:eastAsia="Times New Roman" w:cs="Arial"/>
          <w:color w:val="363636"/>
          <w:sz w:val="20"/>
          <w:szCs w:val="20"/>
        </w:rPr>
      </w:pPr>
      <w:r w:rsidRPr="00BC4EAD">
        <w:rPr>
          <w:rFonts w:eastAsia="Times New Roman" w:cs="Arial"/>
          <w:color w:val="363636"/>
          <w:sz w:val="20"/>
          <w:szCs w:val="20"/>
        </w:rPr>
        <w:t> </w:t>
      </w:r>
    </w:p>
    <w:p w14:paraId="2473A3AF" w14:textId="77777777" w:rsidR="004A299A" w:rsidRPr="00BC4EAD" w:rsidRDefault="004A299A" w:rsidP="00477393">
      <w:pPr>
        <w:spacing w:after="0" w:line="240" w:lineRule="auto"/>
        <w:rPr>
          <w:rFonts w:eastAsia="Times New Roman" w:cs="Arial"/>
          <w:color w:val="363636"/>
          <w:sz w:val="20"/>
          <w:szCs w:val="20"/>
        </w:rPr>
      </w:pPr>
    </w:p>
    <w:p w14:paraId="035B3A28" w14:textId="66592E28" w:rsidR="00477393" w:rsidRDefault="00477393" w:rsidP="00477393">
      <w:pPr>
        <w:spacing w:after="0" w:line="240" w:lineRule="auto"/>
        <w:rPr>
          <w:rFonts w:eastAsia="Times New Roman" w:cs="Arial"/>
          <w:color w:val="363636"/>
          <w:sz w:val="20"/>
          <w:szCs w:val="20"/>
        </w:rPr>
      </w:pPr>
      <w:r w:rsidRPr="00BC4EAD">
        <w:rPr>
          <w:rFonts w:eastAsia="Times New Roman" w:cs="Helvetica"/>
          <w:b/>
          <w:bCs/>
          <w:color w:val="363636"/>
          <w:sz w:val="20"/>
          <w:szCs w:val="20"/>
        </w:rPr>
        <w:t xml:space="preserve">New systems vs. legacy systems:  </w:t>
      </w:r>
      <w:r w:rsidRPr="00BC4EAD">
        <w:rPr>
          <w:rFonts w:eastAsia="Times New Roman" w:cs="Arial"/>
          <w:color w:val="363636"/>
          <w:sz w:val="20"/>
          <w:szCs w:val="20"/>
        </w:rPr>
        <w:t>New and legacy systems can pose separate unique risks and challenges when you're trying to detect fraud. A new system may cause confusion, operator errors, manual workarounds and breakdowns of existing controls in peripheral systems. A potential fraudster waits for this sort of turmoil and opportunity. </w:t>
      </w:r>
    </w:p>
    <w:p w14:paraId="064C933F" w14:textId="0B65CC91" w:rsidR="008D7377" w:rsidRDefault="008D7377" w:rsidP="008D7377">
      <w:pPr>
        <w:pStyle w:val="ListParagraph"/>
        <w:numPr>
          <w:ilvl w:val="0"/>
          <w:numId w:val="4"/>
        </w:numPr>
        <w:spacing w:after="0" w:line="240" w:lineRule="auto"/>
        <w:rPr>
          <w:rFonts w:eastAsia="Times New Roman" w:cs="Times New Roman"/>
          <w:color w:val="363636"/>
          <w:sz w:val="20"/>
          <w:szCs w:val="20"/>
        </w:rPr>
      </w:pPr>
      <w:r>
        <w:rPr>
          <w:rFonts w:eastAsia="Times New Roman" w:cs="Times New Roman"/>
          <w:color w:val="363636"/>
          <w:sz w:val="20"/>
          <w:szCs w:val="20"/>
        </w:rPr>
        <w:lastRenderedPageBreak/>
        <w:t xml:space="preserve">CDR (Clinical Data Repository) is a new program that is being integrated with the Google Cloud Platform (GCP) </w:t>
      </w:r>
    </w:p>
    <w:p w14:paraId="5B65837B" w14:textId="53915DCC" w:rsidR="00155D89" w:rsidRPr="00155D89" w:rsidRDefault="00155D89" w:rsidP="00155D89">
      <w:pPr>
        <w:pStyle w:val="ListParagraph"/>
        <w:spacing w:after="0" w:line="240" w:lineRule="auto"/>
        <w:rPr>
          <w:rFonts w:eastAsia="Times New Roman" w:cs="Times New Roman"/>
          <w:b/>
          <w:bCs/>
          <w:color w:val="363636"/>
          <w:sz w:val="20"/>
          <w:szCs w:val="20"/>
        </w:rPr>
      </w:pPr>
      <w:r w:rsidRPr="00155D89">
        <w:rPr>
          <w:rFonts w:eastAsia="Times New Roman" w:cs="Times New Roman"/>
          <w:b/>
          <w:bCs/>
          <w:color w:val="363636"/>
          <w:sz w:val="20"/>
          <w:szCs w:val="20"/>
        </w:rPr>
        <w:t xml:space="preserve">Question: Will CDR run </w:t>
      </w:r>
      <w:r w:rsidR="00FB0D56">
        <w:rPr>
          <w:rFonts w:eastAsia="Times New Roman" w:cs="Times New Roman"/>
          <w:b/>
          <w:bCs/>
          <w:color w:val="363636"/>
          <w:sz w:val="20"/>
          <w:szCs w:val="20"/>
        </w:rPr>
        <w:t xml:space="preserve">in parallel </w:t>
      </w:r>
      <w:r w:rsidRPr="00155D89">
        <w:rPr>
          <w:rFonts w:eastAsia="Times New Roman" w:cs="Times New Roman"/>
          <w:b/>
          <w:bCs/>
          <w:color w:val="363636"/>
          <w:sz w:val="20"/>
          <w:szCs w:val="20"/>
        </w:rPr>
        <w:t xml:space="preserve">with </w:t>
      </w:r>
      <w:proofErr w:type="spellStart"/>
      <w:proofErr w:type="gramStart"/>
      <w:r w:rsidRPr="00155D89">
        <w:rPr>
          <w:rFonts w:eastAsia="Times New Roman" w:cs="Times New Roman"/>
          <w:b/>
          <w:bCs/>
          <w:color w:val="363636"/>
          <w:sz w:val="20"/>
          <w:szCs w:val="20"/>
        </w:rPr>
        <w:t>a</w:t>
      </w:r>
      <w:proofErr w:type="spellEnd"/>
      <w:proofErr w:type="gramEnd"/>
      <w:r>
        <w:rPr>
          <w:rFonts w:eastAsia="Times New Roman" w:cs="Times New Roman"/>
          <w:b/>
          <w:bCs/>
          <w:color w:val="363636"/>
          <w:sz w:val="20"/>
          <w:szCs w:val="20"/>
        </w:rPr>
        <w:t xml:space="preserve"> existing</w:t>
      </w:r>
      <w:r w:rsidRPr="00155D89">
        <w:rPr>
          <w:rFonts w:eastAsia="Times New Roman" w:cs="Times New Roman"/>
          <w:b/>
          <w:bCs/>
          <w:color w:val="363636"/>
          <w:sz w:val="20"/>
          <w:szCs w:val="20"/>
        </w:rPr>
        <w:t xml:space="preserve"> legacy system?</w:t>
      </w:r>
    </w:p>
    <w:p w14:paraId="5DD2D23E" w14:textId="77777777" w:rsidR="00477393" w:rsidRPr="00BC4EAD" w:rsidRDefault="00477393" w:rsidP="00477393">
      <w:pPr>
        <w:spacing w:after="0" w:line="240" w:lineRule="auto"/>
        <w:rPr>
          <w:rFonts w:eastAsia="Times New Roman" w:cs="Times New Roman"/>
          <w:sz w:val="20"/>
          <w:szCs w:val="20"/>
        </w:rPr>
      </w:pPr>
      <w:r w:rsidRPr="00BC4EAD">
        <w:rPr>
          <w:rFonts w:eastAsia="Times New Roman" w:cs="Times New Roman"/>
          <w:sz w:val="20"/>
          <w:szCs w:val="20"/>
        </w:rPr>
        <w:t> </w:t>
      </w:r>
    </w:p>
    <w:p w14:paraId="7BD879D3" w14:textId="77777777" w:rsidR="00477393" w:rsidRDefault="00477393" w:rsidP="00477393">
      <w:pPr>
        <w:spacing w:after="0" w:line="240" w:lineRule="auto"/>
        <w:rPr>
          <w:rFonts w:eastAsia="Times New Roman" w:cs="Times New Roman"/>
          <w:sz w:val="20"/>
          <w:szCs w:val="20"/>
        </w:rPr>
      </w:pPr>
      <w:r w:rsidRPr="00BC4EAD">
        <w:rPr>
          <w:rFonts w:eastAsia="Times New Roman" w:cs="Times New Roman"/>
          <w:sz w:val="20"/>
          <w:szCs w:val="20"/>
        </w:rPr>
        <w:t> </w:t>
      </w:r>
    </w:p>
    <w:p w14:paraId="3AC683AC" w14:textId="77777777" w:rsidR="004A299A" w:rsidRPr="00BC4EAD" w:rsidRDefault="004A299A" w:rsidP="00477393">
      <w:pPr>
        <w:spacing w:after="0" w:line="240" w:lineRule="auto"/>
        <w:rPr>
          <w:rFonts w:eastAsia="Times New Roman" w:cs="Times New Roman"/>
          <w:sz w:val="20"/>
          <w:szCs w:val="20"/>
        </w:rPr>
      </w:pPr>
    </w:p>
    <w:p w14:paraId="6CB6263D" w14:textId="0AC83C4C" w:rsidR="00477393" w:rsidRDefault="00477393" w:rsidP="00477393">
      <w:pPr>
        <w:spacing w:after="0" w:line="240" w:lineRule="auto"/>
        <w:rPr>
          <w:rFonts w:eastAsia="Times New Roman" w:cs="Arial"/>
          <w:color w:val="363636"/>
          <w:sz w:val="20"/>
          <w:szCs w:val="20"/>
        </w:rPr>
      </w:pPr>
      <w:r w:rsidRPr="00BC4EAD">
        <w:rPr>
          <w:rFonts w:eastAsia="Times New Roman" w:cs="Helvetica"/>
          <w:b/>
          <w:bCs/>
          <w:color w:val="363636"/>
          <w:sz w:val="20"/>
          <w:szCs w:val="20"/>
        </w:rPr>
        <w:t xml:space="preserve">Process control by non-employees — outsourced or contractors:  </w:t>
      </w:r>
      <w:r w:rsidRPr="00BC4EAD">
        <w:rPr>
          <w:rFonts w:eastAsia="Times New Roman" w:cs="Arial"/>
          <w:color w:val="363636"/>
          <w:sz w:val="20"/>
          <w:szCs w:val="20"/>
        </w:rPr>
        <w:t>If contractors or non-employees have access to processes, audit staff should assess what frauds they could be committing. Lack of daily oversight and control and lack of their definitive reporting structures to the company could keep these non-employees out of sight and out of mind.</w:t>
      </w:r>
    </w:p>
    <w:p w14:paraId="3EBDD347" w14:textId="135F0FF4" w:rsidR="00FB0D56" w:rsidRDefault="00FB0D56" w:rsidP="00477393">
      <w:pPr>
        <w:spacing w:after="0" w:line="240" w:lineRule="auto"/>
        <w:rPr>
          <w:rFonts w:eastAsia="Times New Roman" w:cs="Arial"/>
          <w:color w:val="363636"/>
          <w:sz w:val="20"/>
          <w:szCs w:val="20"/>
        </w:rPr>
      </w:pPr>
    </w:p>
    <w:p w14:paraId="40F3D038" w14:textId="435B5051" w:rsidR="00FB0D56" w:rsidRDefault="00FB0D56" w:rsidP="00FB0D56">
      <w:pPr>
        <w:pStyle w:val="ListParagraph"/>
        <w:numPr>
          <w:ilvl w:val="0"/>
          <w:numId w:val="4"/>
        </w:numPr>
        <w:spacing w:after="0" w:line="240" w:lineRule="auto"/>
        <w:rPr>
          <w:rFonts w:eastAsia="Times New Roman" w:cs="Times New Roman"/>
          <w:color w:val="363636"/>
          <w:sz w:val="20"/>
          <w:szCs w:val="20"/>
        </w:rPr>
      </w:pPr>
      <w:r>
        <w:rPr>
          <w:rFonts w:eastAsia="Times New Roman" w:cs="Times New Roman"/>
          <w:color w:val="363636"/>
          <w:sz w:val="20"/>
          <w:szCs w:val="20"/>
        </w:rPr>
        <w:t>Internal and external (Contracted) sources have access to store data within CDR.</w:t>
      </w:r>
    </w:p>
    <w:p w14:paraId="21250D31" w14:textId="3468269D" w:rsidR="0005023D" w:rsidRPr="0005023D" w:rsidRDefault="0005023D" w:rsidP="0005023D">
      <w:pPr>
        <w:pStyle w:val="ListParagraph"/>
        <w:numPr>
          <w:ilvl w:val="0"/>
          <w:numId w:val="4"/>
        </w:numPr>
        <w:rPr>
          <w:sz w:val="20"/>
          <w:szCs w:val="20"/>
        </w:rPr>
      </w:pPr>
      <w:r w:rsidRPr="0005023D">
        <w:rPr>
          <w:sz w:val="20"/>
          <w:szCs w:val="20"/>
        </w:rPr>
        <w:t xml:space="preserve">Data can be used for financial gain or provided to third parties without consent of company/client. </w:t>
      </w:r>
    </w:p>
    <w:p w14:paraId="1E554D56" w14:textId="61A5E473" w:rsidR="00FB0D56" w:rsidRPr="00FB0D56" w:rsidRDefault="00FB0D56" w:rsidP="00FB0D56">
      <w:pPr>
        <w:pStyle w:val="ListParagraph"/>
        <w:spacing w:after="0" w:line="240" w:lineRule="auto"/>
        <w:rPr>
          <w:rFonts w:eastAsia="Times New Roman" w:cs="Times New Roman"/>
          <w:b/>
          <w:bCs/>
          <w:color w:val="363636"/>
          <w:sz w:val="20"/>
          <w:szCs w:val="20"/>
        </w:rPr>
      </w:pPr>
      <w:r w:rsidRPr="00FB0D56">
        <w:rPr>
          <w:rFonts w:eastAsia="Times New Roman" w:cs="Times New Roman"/>
          <w:b/>
          <w:bCs/>
          <w:color w:val="363636"/>
          <w:sz w:val="20"/>
          <w:szCs w:val="20"/>
        </w:rPr>
        <w:t>Questions: What are the users access rights?</w:t>
      </w:r>
    </w:p>
    <w:p w14:paraId="565A3CA8" w14:textId="1F3359CD" w:rsidR="00FB0D56" w:rsidRDefault="00FB0D56" w:rsidP="00FB0D56">
      <w:pPr>
        <w:pStyle w:val="ListParagraph"/>
        <w:numPr>
          <w:ilvl w:val="0"/>
          <w:numId w:val="5"/>
        </w:numPr>
        <w:spacing w:after="0" w:line="240" w:lineRule="auto"/>
        <w:rPr>
          <w:rFonts w:eastAsia="Times New Roman" w:cs="Times New Roman"/>
          <w:b/>
          <w:bCs/>
          <w:color w:val="363636"/>
          <w:sz w:val="20"/>
          <w:szCs w:val="20"/>
        </w:rPr>
      </w:pPr>
      <w:r w:rsidRPr="00FB0D56">
        <w:rPr>
          <w:rFonts w:eastAsia="Times New Roman" w:cs="Times New Roman"/>
          <w:b/>
          <w:bCs/>
          <w:color w:val="363636"/>
          <w:sz w:val="20"/>
          <w:szCs w:val="20"/>
        </w:rPr>
        <w:t>What external users have access to CDR?</w:t>
      </w:r>
    </w:p>
    <w:p w14:paraId="1008D94E" w14:textId="60B4C80E" w:rsidR="005937BD" w:rsidRDefault="005937BD" w:rsidP="005937BD">
      <w:pPr>
        <w:pStyle w:val="ListParagraph"/>
        <w:spacing w:after="0" w:line="240" w:lineRule="auto"/>
        <w:ind w:left="1080"/>
        <w:rPr>
          <w:rFonts w:eastAsia="Times New Roman" w:cs="Times New Roman"/>
          <w:b/>
          <w:bCs/>
          <w:color w:val="363636"/>
          <w:sz w:val="20"/>
          <w:szCs w:val="20"/>
        </w:rPr>
      </w:pPr>
      <w:r>
        <w:rPr>
          <w:rFonts w:eastAsia="Times New Roman" w:cs="Times New Roman"/>
          <w:b/>
          <w:bCs/>
          <w:color w:val="363636"/>
          <w:sz w:val="20"/>
          <w:szCs w:val="20"/>
        </w:rPr>
        <w:t xml:space="preserve">Internal: What </w:t>
      </w:r>
      <w:proofErr w:type="gramStart"/>
      <w:r>
        <w:rPr>
          <w:rFonts w:eastAsia="Times New Roman" w:cs="Times New Roman"/>
          <w:b/>
          <w:bCs/>
          <w:color w:val="363636"/>
          <w:sz w:val="20"/>
          <w:szCs w:val="20"/>
        </w:rPr>
        <w:t>are</w:t>
      </w:r>
      <w:proofErr w:type="gramEnd"/>
      <w:r>
        <w:rPr>
          <w:rFonts w:eastAsia="Times New Roman" w:cs="Times New Roman"/>
          <w:b/>
          <w:bCs/>
          <w:color w:val="363636"/>
          <w:sz w:val="20"/>
          <w:szCs w:val="20"/>
        </w:rPr>
        <w:t xml:space="preserve"> the potential fraud risk associated with patient health data? </w:t>
      </w:r>
    </w:p>
    <w:p w14:paraId="2892D1BE" w14:textId="7BA0989B" w:rsidR="005937BD" w:rsidRPr="00FB0D56" w:rsidRDefault="005937BD" w:rsidP="005937BD">
      <w:pPr>
        <w:pStyle w:val="ListParagraph"/>
        <w:spacing w:after="0" w:line="240" w:lineRule="auto"/>
        <w:ind w:left="1080"/>
        <w:rPr>
          <w:rFonts w:eastAsia="Times New Roman" w:cs="Times New Roman"/>
          <w:b/>
          <w:bCs/>
          <w:color w:val="363636"/>
          <w:sz w:val="20"/>
          <w:szCs w:val="20"/>
        </w:rPr>
      </w:pPr>
      <w:r>
        <w:rPr>
          <w:rFonts w:eastAsia="Times New Roman" w:cs="Times New Roman"/>
          <w:b/>
          <w:bCs/>
          <w:color w:val="363636"/>
          <w:sz w:val="20"/>
          <w:szCs w:val="20"/>
        </w:rPr>
        <w:t>External</w:t>
      </w:r>
    </w:p>
    <w:p w14:paraId="631AC10F" w14:textId="0E7D5B39" w:rsidR="00FB0D56" w:rsidRPr="00FB0D56" w:rsidRDefault="00FB0D56" w:rsidP="00FB0D56">
      <w:pPr>
        <w:pStyle w:val="ListParagraph"/>
        <w:spacing w:after="0" w:line="240" w:lineRule="auto"/>
        <w:rPr>
          <w:rFonts w:eastAsia="Times New Roman" w:cs="Times New Roman"/>
          <w:color w:val="363636"/>
          <w:sz w:val="20"/>
          <w:szCs w:val="20"/>
        </w:rPr>
      </w:pPr>
    </w:p>
    <w:p w14:paraId="22E5DA50" w14:textId="77777777" w:rsidR="00477393" w:rsidRPr="008612B5" w:rsidRDefault="00477393" w:rsidP="00477393">
      <w:pPr>
        <w:spacing w:after="0" w:line="240" w:lineRule="auto"/>
        <w:rPr>
          <w:rFonts w:eastAsia="Times New Roman" w:cs="Arial"/>
          <w:color w:val="363636"/>
          <w:sz w:val="20"/>
          <w:szCs w:val="20"/>
        </w:rPr>
      </w:pPr>
      <w:r w:rsidRPr="00BC4EAD">
        <w:rPr>
          <w:rFonts w:eastAsia="Times New Roman" w:cs="Arial"/>
          <w:color w:val="363636"/>
          <w:sz w:val="20"/>
          <w:szCs w:val="20"/>
        </w:rPr>
        <w:t> </w:t>
      </w:r>
      <w:r w:rsidRPr="00BC4EAD">
        <w:rPr>
          <w:rFonts w:eastAsia="Times New Roman" w:cs="Times New Roman"/>
          <w:sz w:val="20"/>
          <w:szCs w:val="20"/>
        </w:rPr>
        <w:t> </w:t>
      </w:r>
    </w:p>
    <w:p w14:paraId="66F4F51E" w14:textId="77777777" w:rsidR="00477393" w:rsidRPr="00BC4EAD" w:rsidRDefault="00477393" w:rsidP="00477393">
      <w:pPr>
        <w:spacing w:after="0" w:line="240" w:lineRule="auto"/>
        <w:rPr>
          <w:rFonts w:eastAsia="Times New Roman" w:cs="Times New Roman"/>
          <w:sz w:val="20"/>
          <w:szCs w:val="20"/>
        </w:rPr>
      </w:pPr>
      <w:r w:rsidRPr="00BC4EAD">
        <w:rPr>
          <w:rFonts w:eastAsia="Times New Roman" w:cs="Times New Roman"/>
          <w:sz w:val="20"/>
          <w:szCs w:val="20"/>
        </w:rPr>
        <w:t> </w:t>
      </w:r>
    </w:p>
    <w:p w14:paraId="5E6C79BB" w14:textId="77777777" w:rsidR="00477393" w:rsidRPr="00BC4EAD" w:rsidRDefault="00477393" w:rsidP="00477393">
      <w:pPr>
        <w:spacing w:after="0" w:line="240" w:lineRule="auto"/>
        <w:rPr>
          <w:rFonts w:eastAsia="Times New Roman" w:cs="Times New Roman"/>
          <w:sz w:val="20"/>
          <w:szCs w:val="20"/>
        </w:rPr>
      </w:pPr>
      <w:r w:rsidRPr="00BC4EAD">
        <w:rPr>
          <w:rFonts w:eastAsia="Times New Roman" w:cs="Times New Roman"/>
          <w:sz w:val="20"/>
          <w:szCs w:val="20"/>
        </w:rPr>
        <w:t> </w:t>
      </w:r>
    </w:p>
    <w:p w14:paraId="0286E21D" w14:textId="77777777" w:rsidR="00477393" w:rsidRPr="00BC4EAD" w:rsidRDefault="003511A4" w:rsidP="00477393">
      <w:pPr>
        <w:spacing w:after="0" w:line="240" w:lineRule="auto"/>
        <w:rPr>
          <w:rFonts w:eastAsia="Times New Roman" w:cs="Times New Roman"/>
          <w:sz w:val="20"/>
          <w:szCs w:val="20"/>
        </w:rPr>
      </w:pPr>
      <w:r w:rsidRPr="00BC4EAD">
        <w:rPr>
          <w:rFonts w:eastAsia="Times New Roman" w:cs="Times New Roman"/>
          <w:sz w:val="20"/>
          <w:szCs w:val="20"/>
        </w:rPr>
        <w:t xml:space="preserve">Fraud Risks Identified (should be mapped to </w:t>
      </w:r>
      <w:r w:rsidR="00762262">
        <w:rPr>
          <w:rFonts w:eastAsia="Times New Roman" w:cs="Times New Roman"/>
          <w:sz w:val="20"/>
          <w:szCs w:val="20"/>
        </w:rPr>
        <w:t>RCA</w:t>
      </w:r>
      <w:r w:rsidRPr="00BC4EAD">
        <w:rPr>
          <w:rFonts w:eastAsia="Times New Roman" w:cs="Times New Roman"/>
          <w:sz w:val="20"/>
          <w:szCs w:val="20"/>
        </w:rPr>
        <w:t xml:space="preserve"> where controls are identified):</w:t>
      </w:r>
      <w:r w:rsidR="00477393" w:rsidRPr="00BC4EAD">
        <w:rPr>
          <w:rFonts w:eastAsia="Times New Roman" w:cs="Times New Roman"/>
          <w:sz w:val="20"/>
          <w:szCs w:val="20"/>
        </w:rPr>
        <w:t> </w:t>
      </w:r>
    </w:p>
    <w:tbl>
      <w:tblPr>
        <w:tblStyle w:val="TableGrid"/>
        <w:tblW w:w="0" w:type="auto"/>
        <w:tblLook w:val="04A0" w:firstRow="1" w:lastRow="0" w:firstColumn="1" w:lastColumn="0" w:noHBand="0" w:noVBand="1"/>
      </w:tblPr>
      <w:tblGrid>
        <w:gridCol w:w="9350"/>
      </w:tblGrid>
      <w:tr w:rsidR="003511A4" w:rsidRPr="00BC4EAD" w14:paraId="27776AE1" w14:textId="77777777" w:rsidTr="003511A4">
        <w:tc>
          <w:tcPr>
            <w:tcW w:w="9576" w:type="dxa"/>
          </w:tcPr>
          <w:p w14:paraId="0B9D2A96" w14:textId="65DF1E9F" w:rsidR="003511A4" w:rsidRPr="00BC4EAD" w:rsidRDefault="005937BD">
            <w:pPr>
              <w:rPr>
                <w:sz w:val="20"/>
                <w:szCs w:val="20"/>
              </w:rPr>
            </w:pPr>
            <w:r>
              <w:rPr>
                <w:sz w:val="20"/>
                <w:szCs w:val="20"/>
              </w:rPr>
              <w:t xml:space="preserve">Data can be used for financial gain or provided to third parties without consent of company/client. </w:t>
            </w:r>
          </w:p>
        </w:tc>
      </w:tr>
      <w:tr w:rsidR="003511A4" w:rsidRPr="00BC4EAD" w14:paraId="1B0B8A5A" w14:textId="77777777" w:rsidTr="003511A4">
        <w:tc>
          <w:tcPr>
            <w:tcW w:w="9576" w:type="dxa"/>
          </w:tcPr>
          <w:p w14:paraId="2B4BEE8E" w14:textId="2DE41DC0" w:rsidR="003511A4" w:rsidRPr="00BC4EAD" w:rsidRDefault="00A64C25">
            <w:pPr>
              <w:rPr>
                <w:sz w:val="20"/>
                <w:szCs w:val="20"/>
              </w:rPr>
            </w:pPr>
            <w:r>
              <w:rPr>
                <w:sz w:val="20"/>
                <w:szCs w:val="20"/>
              </w:rPr>
              <w:t xml:space="preserve">Inappropriate access to view clinical data by authorized </w:t>
            </w:r>
            <w:r w:rsidR="00801724">
              <w:rPr>
                <w:sz w:val="20"/>
                <w:szCs w:val="20"/>
              </w:rPr>
              <w:t xml:space="preserve">and unauthorized </w:t>
            </w:r>
            <w:r>
              <w:rPr>
                <w:sz w:val="20"/>
                <w:szCs w:val="20"/>
              </w:rPr>
              <w:t xml:space="preserve">users. </w:t>
            </w:r>
          </w:p>
        </w:tc>
      </w:tr>
      <w:tr w:rsidR="003511A4" w:rsidRPr="00BC4EAD" w14:paraId="110DBC8A" w14:textId="77777777" w:rsidTr="003511A4">
        <w:tc>
          <w:tcPr>
            <w:tcW w:w="9576" w:type="dxa"/>
          </w:tcPr>
          <w:p w14:paraId="24C768D7" w14:textId="40734C2A" w:rsidR="003511A4" w:rsidRPr="00BC4EAD" w:rsidRDefault="00596EAF">
            <w:pPr>
              <w:rPr>
                <w:sz w:val="20"/>
                <w:szCs w:val="20"/>
              </w:rPr>
            </w:pPr>
            <w:r>
              <w:rPr>
                <w:sz w:val="20"/>
                <w:szCs w:val="20"/>
              </w:rPr>
              <w:t xml:space="preserve">Clinical Data not being encrypted when stored unto repository. </w:t>
            </w:r>
          </w:p>
        </w:tc>
      </w:tr>
      <w:tr w:rsidR="003511A4" w:rsidRPr="00BC4EAD" w14:paraId="3634FBCC" w14:textId="77777777" w:rsidTr="003511A4">
        <w:tc>
          <w:tcPr>
            <w:tcW w:w="9576" w:type="dxa"/>
          </w:tcPr>
          <w:p w14:paraId="5706AD58" w14:textId="77777777" w:rsidR="003511A4" w:rsidRPr="00BC4EAD" w:rsidRDefault="003511A4">
            <w:pPr>
              <w:rPr>
                <w:sz w:val="20"/>
                <w:szCs w:val="20"/>
              </w:rPr>
            </w:pPr>
          </w:p>
        </w:tc>
      </w:tr>
      <w:tr w:rsidR="003511A4" w:rsidRPr="00BC4EAD" w14:paraId="5CFAD6DF" w14:textId="77777777" w:rsidTr="003511A4">
        <w:tc>
          <w:tcPr>
            <w:tcW w:w="9576" w:type="dxa"/>
          </w:tcPr>
          <w:p w14:paraId="29AC95C8" w14:textId="77777777" w:rsidR="003511A4" w:rsidRPr="00BC4EAD" w:rsidRDefault="003511A4">
            <w:pPr>
              <w:rPr>
                <w:sz w:val="20"/>
                <w:szCs w:val="20"/>
              </w:rPr>
            </w:pPr>
          </w:p>
        </w:tc>
      </w:tr>
    </w:tbl>
    <w:p w14:paraId="1E121237" w14:textId="77777777" w:rsidR="007B401D" w:rsidRPr="00BC4EAD" w:rsidRDefault="007B401D">
      <w:pPr>
        <w:rPr>
          <w:sz w:val="20"/>
          <w:szCs w:val="20"/>
        </w:rPr>
      </w:pPr>
    </w:p>
    <w:sectPr w:rsidR="007B401D" w:rsidRPr="00BC4EA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221AD" w14:textId="77777777" w:rsidR="00A2744D" w:rsidRDefault="00A2744D" w:rsidP="00477393">
      <w:pPr>
        <w:spacing w:after="0" w:line="240" w:lineRule="auto"/>
      </w:pPr>
      <w:r>
        <w:separator/>
      </w:r>
    </w:p>
  </w:endnote>
  <w:endnote w:type="continuationSeparator" w:id="0">
    <w:p w14:paraId="15311822" w14:textId="77777777" w:rsidR="00A2744D" w:rsidRDefault="00A2744D" w:rsidP="00477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C4263" w14:textId="77777777" w:rsidR="001B20CA" w:rsidRDefault="001B20CA">
    <w:pPr>
      <w:pStyle w:val="Footer"/>
    </w:pPr>
    <w:r>
      <w:rPr>
        <w:noProof/>
      </w:rPr>
      <mc:AlternateContent>
        <mc:Choice Requires="wps">
          <w:drawing>
            <wp:anchor distT="0" distB="0" distL="114300" distR="114300" simplePos="0" relativeHeight="251659264" behindDoc="0" locked="0" layoutInCell="0" allowOverlap="1" wp14:anchorId="1EEFA560" wp14:editId="6AA8246C">
              <wp:simplePos x="0" y="0"/>
              <wp:positionH relativeFrom="page">
                <wp:posOffset>0</wp:posOffset>
              </wp:positionH>
              <wp:positionV relativeFrom="page">
                <wp:posOffset>9594215</wp:posOffset>
              </wp:positionV>
              <wp:extent cx="7772400" cy="273050"/>
              <wp:effectExtent l="0" t="0" r="0" b="12700"/>
              <wp:wrapNone/>
              <wp:docPr id="1" name="MSIPCMd1cf449caff60e468dc1df44" descr="{&quot;HashCode&quot;:-3562546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8A2730" w14:textId="77777777" w:rsidR="001B20CA" w:rsidRPr="001B20CA" w:rsidRDefault="001B20CA" w:rsidP="001B20CA">
                          <w:pPr>
                            <w:spacing w:after="0"/>
                            <w:rPr>
                              <w:rFonts w:ascii="Calibri" w:hAnsi="Calibri" w:cs="Calibri"/>
                              <w:color w:val="414141"/>
                              <w:sz w:val="16"/>
                            </w:rPr>
                          </w:pPr>
                          <w:r w:rsidRPr="001B20CA">
                            <w:rPr>
                              <w:rFonts w:ascii="Calibri" w:hAnsi="Calibri" w:cs="Calibri"/>
                              <w:color w:val="414141"/>
                              <w:sz w:val="16"/>
                            </w:rPr>
                            <w:t>Proprietary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EEFA560" id="_x0000_t202" coordsize="21600,21600" o:spt="202" path="m,l,21600r21600,l21600,xe">
              <v:stroke joinstyle="miter"/>
              <v:path gradientshapeok="t" o:connecttype="rect"/>
            </v:shapetype>
            <v:shape id="MSIPCMd1cf449caff60e468dc1df44" o:spid="_x0000_s1026" type="#_x0000_t202" alt="{&quot;HashCode&quot;:-356254672,&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" o:allowincell="f" filled="f" stroked="f" strokeweight=".5pt">
              <v:textbox inset="20pt,0,,0">
                <w:txbxContent>
                  <w:p w14:paraId="4F8A2730" w14:textId="77777777" w:rsidR="001B20CA" w:rsidRPr="001B20CA" w:rsidRDefault="001B20CA" w:rsidP="001B20CA">
                    <w:pPr>
                      <w:spacing w:after="0"/>
                      <w:rPr>
                        <w:rFonts w:ascii="Calibri" w:hAnsi="Calibri" w:cs="Calibri"/>
                        <w:color w:val="414141"/>
                        <w:sz w:val="16"/>
                      </w:rPr>
                    </w:pPr>
                    <w:r w:rsidRPr="001B20CA">
                      <w:rPr>
                        <w:rFonts w:ascii="Calibri" w:hAnsi="Calibri" w:cs="Calibri"/>
                        <w:color w:val="414141"/>
                        <w:sz w:val="16"/>
                      </w:rPr>
                      <w:t>Proprietary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567AA" w14:textId="77777777" w:rsidR="00A2744D" w:rsidRDefault="00A2744D" w:rsidP="00477393">
      <w:pPr>
        <w:spacing w:after="0" w:line="240" w:lineRule="auto"/>
      </w:pPr>
      <w:r>
        <w:separator/>
      </w:r>
    </w:p>
  </w:footnote>
  <w:footnote w:type="continuationSeparator" w:id="0">
    <w:p w14:paraId="2606A810" w14:textId="77777777" w:rsidR="00A2744D" w:rsidRDefault="00A2744D" w:rsidP="00477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7E93A" w14:textId="77777777" w:rsidR="00BC4EAD" w:rsidRPr="004A299A" w:rsidRDefault="00BC4EAD" w:rsidP="00BC4EAD">
    <w:pPr>
      <w:spacing w:after="0" w:line="240" w:lineRule="auto"/>
      <w:jc w:val="center"/>
      <w:rPr>
        <w:rFonts w:ascii="Calibri" w:eastAsia="Times New Roman" w:hAnsi="Calibri" w:cs="Times New Roman"/>
        <w:color w:val="548DD4" w:themeColor="text2" w:themeTint="99"/>
        <w:sz w:val="32"/>
        <w:szCs w:val="24"/>
      </w:rPr>
    </w:pPr>
    <w:r w:rsidRPr="004A299A">
      <w:rPr>
        <w:rFonts w:ascii="Calibri" w:eastAsia="Times New Roman" w:hAnsi="Calibri" w:cs="Times New Roman"/>
        <w:b/>
        <w:bCs/>
        <w:color w:val="548DD4" w:themeColor="text2" w:themeTint="99"/>
        <w:sz w:val="32"/>
        <w:szCs w:val="24"/>
      </w:rPr>
      <w:t xml:space="preserve">Fraud </w:t>
    </w:r>
    <w:r w:rsidR="008612B5">
      <w:rPr>
        <w:rFonts w:ascii="Calibri" w:eastAsia="Times New Roman" w:hAnsi="Calibri" w:cs="Times New Roman"/>
        <w:b/>
        <w:bCs/>
        <w:color w:val="548DD4" w:themeColor="text2" w:themeTint="99"/>
        <w:sz w:val="32"/>
        <w:szCs w:val="24"/>
      </w:rPr>
      <w:t>Risk Assessment Template</w:t>
    </w:r>
  </w:p>
  <w:p w14:paraId="0DEB3E99" w14:textId="77777777" w:rsidR="00477393" w:rsidRDefault="00477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765BF"/>
    <w:multiLevelType w:val="hybridMultilevel"/>
    <w:tmpl w:val="40C0708E"/>
    <w:lvl w:ilvl="0" w:tplc="933CFFDC">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AC3825"/>
    <w:multiLevelType w:val="hybridMultilevel"/>
    <w:tmpl w:val="6AD2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5464F"/>
    <w:multiLevelType w:val="hybridMultilevel"/>
    <w:tmpl w:val="EEFCCE8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4ECA557C"/>
    <w:multiLevelType w:val="multilevel"/>
    <w:tmpl w:val="779ADB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583314"/>
    <w:multiLevelType w:val="hybridMultilevel"/>
    <w:tmpl w:val="9892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393"/>
    <w:rsid w:val="00047C92"/>
    <w:rsid w:val="0005023D"/>
    <w:rsid w:val="000973AB"/>
    <w:rsid w:val="000A47A3"/>
    <w:rsid w:val="000D1F5E"/>
    <w:rsid w:val="000E720D"/>
    <w:rsid w:val="000F22FB"/>
    <w:rsid w:val="00152D3A"/>
    <w:rsid w:val="00155D89"/>
    <w:rsid w:val="00162A27"/>
    <w:rsid w:val="00180A67"/>
    <w:rsid w:val="00186F19"/>
    <w:rsid w:val="001B20CA"/>
    <w:rsid w:val="002D0AE2"/>
    <w:rsid w:val="003511A4"/>
    <w:rsid w:val="003A1738"/>
    <w:rsid w:val="003B3FAF"/>
    <w:rsid w:val="003C42BC"/>
    <w:rsid w:val="00410587"/>
    <w:rsid w:val="0044726F"/>
    <w:rsid w:val="00477393"/>
    <w:rsid w:val="004A1CE5"/>
    <w:rsid w:val="004A299A"/>
    <w:rsid w:val="005937BD"/>
    <w:rsid w:val="00596EAF"/>
    <w:rsid w:val="005F4F0F"/>
    <w:rsid w:val="0060792F"/>
    <w:rsid w:val="00762262"/>
    <w:rsid w:val="0077566D"/>
    <w:rsid w:val="007855C6"/>
    <w:rsid w:val="007B401D"/>
    <w:rsid w:val="007B5339"/>
    <w:rsid w:val="00801724"/>
    <w:rsid w:val="0082306F"/>
    <w:rsid w:val="008612B5"/>
    <w:rsid w:val="0088315F"/>
    <w:rsid w:val="008D7377"/>
    <w:rsid w:val="009854C3"/>
    <w:rsid w:val="00A105B0"/>
    <w:rsid w:val="00A2744D"/>
    <w:rsid w:val="00A534EA"/>
    <w:rsid w:val="00A64C25"/>
    <w:rsid w:val="00A8096F"/>
    <w:rsid w:val="00AE55A8"/>
    <w:rsid w:val="00B86A1D"/>
    <w:rsid w:val="00BB55D5"/>
    <w:rsid w:val="00BC4EAD"/>
    <w:rsid w:val="00D427FD"/>
    <w:rsid w:val="00D775C3"/>
    <w:rsid w:val="00F40F19"/>
    <w:rsid w:val="00FB0D56"/>
    <w:rsid w:val="00FD2B5F"/>
    <w:rsid w:val="00FD3530"/>
    <w:rsid w:val="00FF7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A5A08"/>
  <w15:docId w15:val="{D0512E31-9897-4BC2-8610-F3AB46E91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739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77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393"/>
  </w:style>
  <w:style w:type="paragraph" w:styleId="Footer">
    <w:name w:val="footer"/>
    <w:basedOn w:val="Normal"/>
    <w:link w:val="FooterChar"/>
    <w:uiPriority w:val="99"/>
    <w:unhideWhenUsed/>
    <w:rsid w:val="00477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393"/>
  </w:style>
  <w:style w:type="table" w:styleId="TableGrid">
    <w:name w:val="Table Grid"/>
    <w:basedOn w:val="TableNormal"/>
    <w:uiPriority w:val="59"/>
    <w:rsid w:val="00351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4EAD"/>
    <w:pPr>
      <w:ind w:left="720"/>
      <w:contextualSpacing/>
    </w:pPr>
  </w:style>
  <w:style w:type="paragraph" w:styleId="BalloonText">
    <w:name w:val="Balloon Text"/>
    <w:basedOn w:val="Normal"/>
    <w:link w:val="BalloonTextChar"/>
    <w:uiPriority w:val="99"/>
    <w:semiHidden/>
    <w:unhideWhenUsed/>
    <w:rsid w:val="007855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5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47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40EFD6DBADE444A4870A85480A4913" ma:contentTypeVersion="0" ma:contentTypeDescription="Create a new document." ma:contentTypeScope="" ma:versionID="da815d41d003a483532f3db2644d8ef4">
  <xsd:schema xmlns:xsd="http://www.w3.org/2001/XMLSchema" xmlns:p="http://schemas.microsoft.com/office/2006/metadata/properties" targetNamespace="http://schemas.microsoft.com/office/2006/metadata/properties" ma:root="true" ma:fieldsID="f0c37c82766f8e15ff57d6cc5e0dea3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53E4CBD4-D49C-445A-A0AA-489AC8F9A1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518236-7594-453F-9AF6-8B35A0901349}">
  <ds:schemaRefs>
    <ds:schemaRef ds:uri="http://schemas.microsoft.com/sharepoint/v3/contenttype/forms"/>
  </ds:schemaRefs>
</ds:datastoreItem>
</file>

<file path=customXml/itemProps3.xml><?xml version="1.0" encoding="utf-8"?>
<ds:datastoreItem xmlns:ds="http://schemas.openxmlformats.org/officeDocument/2006/customXml" ds:itemID="{2BC3713F-E966-411E-A574-4908255B55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632</Words>
  <Characters>3484</Characters>
  <Application>Microsoft Office Word</Application>
  <DocSecurity>0</DocSecurity>
  <Lines>77</Lines>
  <Paragraphs>40</Paragraphs>
  <ScaleCrop>false</ScaleCrop>
  <HeadingPairs>
    <vt:vector size="2" baseType="variant">
      <vt:variant>
        <vt:lpstr>Title</vt:lpstr>
      </vt:variant>
      <vt:variant>
        <vt:i4>1</vt:i4>
      </vt:variant>
    </vt:vector>
  </HeadingPairs>
  <TitlesOfParts>
    <vt:vector size="1" baseType="lpstr">
      <vt:lpstr/>
    </vt:vector>
  </TitlesOfParts>
  <Company>Aetna</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Sharon Finucane</dc:creator>
  <cp:lastModifiedBy>Mafi, oluwaseyi E</cp:lastModifiedBy>
  <cp:revision>2</cp:revision>
  <dcterms:created xsi:type="dcterms:W3CDTF">2021-06-08T14:36:00Z</dcterms:created>
  <dcterms:modified xsi:type="dcterms:W3CDTF">2021-06-08T14:36:00Z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0x0101000040EFD6DBADE444A4870A85480A4913</vt:lpwstr>
  </property>
  <property fmtid="{D5CDD505-2E9C-101B-9397-08002B2CF9AE}" pid="3" name="MSIP_Label_67599526-06ca-49cc-9fa9-5307800a949a_Enabled">
    <vt:lpwstr>True</vt:lpwstr>
  </property>
  <property fmtid="{D5CDD505-2E9C-101B-9397-08002B2CF9AE}" pid="4" name="MSIP_Label_67599526-06ca-49cc-9fa9-5307800a949a_SiteId">
    <vt:lpwstr>fabb61b8-3afe-4e75-b934-a47f782b8cd7</vt:lpwstr>
  </property>
  <property fmtid="{D5CDD505-2E9C-101B-9397-08002B2CF9AE}" pid="5" name="MSIP_Label_67599526-06ca-49cc-9fa9-5307800a949a_Owner">
    <vt:lpwstr>PickettN@aetna.com</vt:lpwstr>
  </property>
  <property fmtid="{D5CDD505-2E9C-101B-9397-08002B2CF9AE}" pid="6" name="MSIP_Label_67599526-06ca-49cc-9fa9-5307800a949a_SetDate">
    <vt:lpwstr>2018-08-06T13:43:29.7043111Z</vt:lpwstr>
  </property>
  <property fmtid="{D5CDD505-2E9C-101B-9397-08002B2CF9AE}" pid="7" name="MSIP_Label_67599526-06ca-49cc-9fa9-5307800a949a_Name">
    <vt:lpwstr>Proprietary</vt:lpwstr>
  </property>
  <property fmtid="{D5CDD505-2E9C-101B-9397-08002B2CF9AE}" pid="8" name="MSIP_Label_67599526-06ca-49cc-9fa9-5307800a949a_Application">
    <vt:lpwstr>Microsoft Azure Information Protection</vt:lpwstr>
  </property>
  <property fmtid="{D5CDD505-2E9C-101B-9397-08002B2CF9AE}" pid="9" name="MSIP_Label_67599526-06ca-49cc-9fa9-5307800a949a_Extended_MSFT_Method">
    <vt:lpwstr>Automatic</vt:lpwstr>
  </property>
  <property fmtid="{D5CDD505-2E9C-101B-9397-08002B2CF9AE}" pid="10" name="Sensitivity">
    <vt:lpwstr>Proprietary</vt:lpwstr>
  </property>
</Properties>
</file>