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9260" w:type="dxa"/>
        <w:tblInd w:w="-792" w:type="dxa"/>
        <w:tblLayout w:type="fixed"/>
        <w:tblLook w:val="04A0" w:firstRow="1" w:lastRow="0" w:firstColumn="1" w:lastColumn="0" w:noHBand="0" w:noVBand="1"/>
      </w:tblPr>
      <w:tblGrid>
        <w:gridCol w:w="5940"/>
        <w:gridCol w:w="1440"/>
        <w:gridCol w:w="900"/>
        <w:gridCol w:w="900"/>
        <w:gridCol w:w="4027"/>
        <w:gridCol w:w="3353"/>
        <w:gridCol w:w="2700"/>
      </w:tblGrid>
      <w:tr w:rsidR="00355FF1" w14:paraId="3E040131" w14:textId="77777777" w:rsidTr="001D03F7">
        <w:trPr>
          <w:tblHeader/>
        </w:trPr>
        <w:tc>
          <w:tcPr>
            <w:tcW w:w="5940" w:type="dxa"/>
            <w:shd w:val="clear" w:color="auto" w:fill="C00000"/>
            <w:vAlign w:val="center"/>
          </w:tcPr>
          <w:p w14:paraId="3E040129" w14:textId="77777777" w:rsidR="00355FF1" w:rsidRPr="00631A43" w:rsidRDefault="00355FF1" w:rsidP="00AE3B21">
            <w:pPr>
              <w:jc w:val="center"/>
              <w:rPr>
                <w:b/>
                <w:color w:val="FFFFFF" w:themeColor="background1"/>
              </w:rPr>
            </w:pPr>
            <w:r w:rsidRPr="00AE3B21">
              <w:rPr>
                <w:b/>
                <w:color w:val="FFFFFF" w:themeColor="background1"/>
              </w:rPr>
              <w:t>Control</w:t>
            </w:r>
            <w:r w:rsidR="00AE3B21">
              <w:rPr>
                <w:rStyle w:val="EndnoteReference"/>
                <w:b/>
                <w:color w:val="FFFFFF" w:themeColor="background1"/>
              </w:rPr>
              <w:endnoteReference w:id="1"/>
            </w:r>
          </w:p>
        </w:tc>
        <w:tc>
          <w:tcPr>
            <w:tcW w:w="1440" w:type="dxa"/>
            <w:shd w:val="clear" w:color="auto" w:fill="C00000"/>
            <w:vAlign w:val="center"/>
          </w:tcPr>
          <w:p w14:paraId="3E04012A" w14:textId="77777777" w:rsidR="00355FF1" w:rsidRPr="00631A43" w:rsidRDefault="00355FF1" w:rsidP="00AE3B21">
            <w:pPr>
              <w:jc w:val="center"/>
              <w:rPr>
                <w:b/>
                <w:color w:val="FFFFFF" w:themeColor="background1"/>
              </w:rPr>
            </w:pPr>
            <w:r w:rsidRPr="00AE3B21">
              <w:rPr>
                <w:b/>
                <w:color w:val="FFFFFF" w:themeColor="background1"/>
              </w:rPr>
              <w:t>Design Effectiveness</w:t>
            </w:r>
            <w:r w:rsidR="00AE3B21">
              <w:rPr>
                <w:rStyle w:val="EndnoteReference"/>
                <w:b/>
                <w:color w:val="FFFFFF" w:themeColor="background1"/>
              </w:rPr>
              <w:endnoteReference w:id="2"/>
            </w:r>
          </w:p>
        </w:tc>
        <w:tc>
          <w:tcPr>
            <w:tcW w:w="900" w:type="dxa"/>
            <w:shd w:val="clear" w:color="auto" w:fill="C00000"/>
            <w:vAlign w:val="center"/>
          </w:tcPr>
          <w:p w14:paraId="3E04012B" w14:textId="77777777" w:rsidR="00355FF1" w:rsidRPr="00631A43" w:rsidRDefault="00355FF1" w:rsidP="00AE3B21">
            <w:pPr>
              <w:jc w:val="center"/>
              <w:rPr>
                <w:b/>
                <w:color w:val="FFFFFF" w:themeColor="background1"/>
              </w:rPr>
            </w:pPr>
            <w:r>
              <w:rPr>
                <w:b/>
                <w:color w:val="FFFFFF" w:themeColor="background1"/>
              </w:rPr>
              <w:t>Type &amp; Freq</w:t>
            </w:r>
            <w:r w:rsidR="00AE3B21">
              <w:rPr>
                <w:b/>
                <w:color w:val="FFFFFF" w:themeColor="background1"/>
              </w:rPr>
              <w:t>.</w:t>
            </w:r>
            <w:r w:rsidR="00AE3B21">
              <w:rPr>
                <w:rStyle w:val="EndnoteReference"/>
                <w:b/>
                <w:color w:val="FFFFFF" w:themeColor="background1"/>
              </w:rPr>
              <w:endnoteReference w:id="3"/>
            </w:r>
          </w:p>
        </w:tc>
        <w:tc>
          <w:tcPr>
            <w:tcW w:w="900" w:type="dxa"/>
            <w:shd w:val="clear" w:color="auto" w:fill="C00000"/>
            <w:vAlign w:val="center"/>
          </w:tcPr>
          <w:p w14:paraId="3E04012C" w14:textId="77777777" w:rsidR="00355FF1" w:rsidRPr="000D71C2" w:rsidRDefault="00355FF1" w:rsidP="00AE3B21">
            <w:pPr>
              <w:jc w:val="center"/>
              <w:rPr>
                <w:b/>
                <w:color w:val="FFFFFF" w:themeColor="background1"/>
              </w:rPr>
            </w:pPr>
            <w:commentRangeStart w:id="0"/>
            <w:r w:rsidRPr="00AE3B21">
              <w:rPr>
                <w:b/>
                <w:color w:val="FFFFFF" w:themeColor="background1"/>
              </w:rPr>
              <w:t>Key</w:t>
            </w:r>
            <w:commentRangeEnd w:id="0"/>
            <w:r w:rsidR="005D6985">
              <w:rPr>
                <w:rStyle w:val="CommentReference"/>
              </w:rPr>
              <w:commentReference w:id="0"/>
            </w:r>
            <w:r w:rsidRPr="00AE3B21">
              <w:rPr>
                <w:b/>
                <w:color w:val="FFFFFF" w:themeColor="background1"/>
              </w:rPr>
              <w:t xml:space="preserve"> Control</w:t>
            </w:r>
            <w:r w:rsidR="00AE3B21">
              <w:rPr>
                <w:rStyle w:val="EndnoteReference"/>
                <w:b/>
                <w:color w:val="FFFFFF" w:themeColor="background1"/>
              </w:rPr>
              <w:endnoteReference w:id="4"/>
            </w:r>
          </w:p>
        </w:tc>
        <w:tc>
          <w:tcPr>
            <w:tcW w:w="4027" w:type="dxa"/>
            <w:shd w:val="clear" w:color="auto" w:fill="C00000"/>
            <w:vAlign w:val="center"/>
          </w:tcPr>
          <w:p w14:paraId="3E04012D" w14:textId="77777777" w:rsidR="00355FF1" w:rsidRPr="00631A43" w:rsidRDefault="00355FF1" w:rsidP="00AE3B21">
            <w:pPr>
              <w:jc w:val="center"/>
              <w:rPr>
                <w:b/>
                <w:color w:val="FFFFFF" w:themeColor="background1"/>
              </w:rPr>
            </w:pPr>
            <w:r w:rsidRPr="00631A43">
              <w:rPr>
                <w:b/>
                <w:color w:val="FFFFFF" w:themeColor="background1"/>
              </w:rPr>
              <w:t>Test</w:t>
            </w:r>
            <w:r w:rsidR="00AE3B21">
              <w:rPr>
                <w:rStyle w:val="EndnoteReference"/>
                <w:b/>
                <w:color w:val="FFFFFF" w:themeColor="background1"/>
              </w:rPr>
              <w:endnoteReference w:id="5"/>
            </w:r>
          </w:p>
        </w:tc>
        <w:tc>
          <w:tcPr>
            <w:tcW w:w="3353" w:type="dxa"/>
            <w:shd w:val="clear" w:color="auto" w:fill="C00000"/>
            <w:vAlign w:val="center"/>
          </w:tcPr>
          <w:p w14:paraId="7663A779" w14:textId="77777777" w:rsidR="005D6985" w:rsidRDefault="00355FF1" w:rsidP="005D6985">
            <w:pPr>
              <w:pStyle w:val="CommentText"/>
            </w:pPr>
            <w:r w:rsidRPr="00631A43">
              <w:rPr>
                <w:b/>
                <w:color w:val="FFFFFF" w:themeColor="background1"/>
              </w:rPr>
              <w:t>Op</w:t>
            </w:r>
          </w:p>
          <w:p w14:paraId="3E04012E" w14:textId="77777777" w:rsidR="00355FF1" w:rsidRPr="00631A43" w:rsidRDefault="00355FF1" w:rsidP="00AE3B21">
            <w:pPr>
              <w:jc w:val="center"/>
              <w:rPr>
                <w:b/>
                <w:color w:val="FFFFFF" w:themeColor="background1"/>
              </w:rPr>
            </w:pPr>
            <w:r w:rsidRPr="00631A43">
              <w:rPr>
                <w:b/>
                <w:color w:val="FFFFFF" w:themeColor="background1"/>
              </w:rPr>
              <w:t>erational Effectiveness</w:t>
            </w:r>
            <w:r w:rsidR="00AE3B21">
              <w:rPr>
                <w:rStyle w:val="EndnoteReference"/>
                <w:b/>
                <w:color w:val="FFFFFF" w:themeColor="background1"/>
              </w:rPr>
              <w:endnoteReference w:id="6"/>
            </w:r>
          </w:p>
          <w:p w14:paraId="3E04012F" w14:textId="77777777" w:rsidR="00355FF1" w:rsidRPr="00631A43" w:rsidRDefault="00355FF1" w:rsidP="00AE3B21">
            <w:pPr>
              <w:jc w:val="center"/>
              <w:rPr>
                <w:color w:val="FFFFFF" w:themeColor="background1"/>
              </w:rPr>
            </w:pPr>
            <w:r w:rsidRPr="00631A43">
              <w:rPr>
                <w:color w:val="FFFFFF" w:themeColor="background1"/>
              </w:rPr>
              <w:t>(Test Conclusion)</w:t>
            </w:r>
          </w:p>
        </w:tc>
        <w:tc>
          <w:tcPr>
            <w:tcW w:w="2700" w:type="dxa"/>
            <w:shd w:val="clear" w:color="auto" w:fill="C00000"/>
            <w:vAlign w:val="center"/>
          </w:tcPr>
          <w:p w14:paraId="3E040130" w14:textId="77777777" w:rsidR="00355FF1" w:rsidRPr="00631A43" w:rsidRDefault="00355FF1" w:rsidP="00AE3B21">
            <w:pPr>
              <w:jc w:val="center"/>
              <w:rPr>
                <w:b/>
                <w:color w:val="FFFFFF" w:themeColor="background1"/>
              </w:rPr>
            </w:pPr>
            <w:r w:rsidRPr="00631A43">
              <w:rPr>
                <w:b/>
                <w:color w:val="FFFFFF" w:themeColor="background1"/>
              </w:rPr>
              <w:t xml:space="preserve">Report </w:t>
            </w:r>
            <w:r w:rsidR="007341FE">
              <w:rPr>
                <w:b/>
                <w:color w:val="FFFFFF" w:themeColor="background1"/>
              </w:rPr>
              <w:t>Disposition</w:t>
            </w:r>
            <w:r w:rsidR="000B0992">
              <w:rPr>
                <w:rStyle w:val="EndnoteReference"/>
                <w:b/>
                <w:color w:val="FFFFFF" w:themeColor="background1"/>
              </w:rPr>
              <w:endnoteReference w:id="7"/>
            </w:r>
          </w:p>
        </w:tc>
      </w:tr>
      <w:tr w:rsidR="00355FF1" w14:paraId="3E040134" w14:textId="77777777" w:rsidTr="00253CE5">
        <w:tc>
          <w:tcPr>
            <w:tcW w:w="19260" w:type="dxa"/>
            <w:gridSpan w:val="7"/>
            <w:shd w:val="clear" w:color="auto" w:fill="D9D9D9" w:themeFill="background1" w:themeFillShade="D9"/>
          </w:tcPr>
          <w:p w14:paraId="3E040132" w14:textId="5A6798A5" w:rsidR="00355FF1" w:rsidRPr="00777EB8" w:rsidRDefault="00355FF1" w:rsidP="00631A43">
            <w:pPr>
              <w:rPr>
                <w:b/>
                <w:sz w:val="20"/>
              </w:rPr>
            </w:pPr>
            <w:r>
              <w:rPr>
                <w:b/>
              </w:rPr>
              <w:t>Risk</w:t>
            </w:r>
            <w:r w:rsidR="005425D0">
              <w:rPr>
                <w:b/>
              </w:rPr>
              <w:t xml:space="preserve"> A</w:t>
            </w:r>
            <w:r w:rsidRPr="00777EB8">
              <w:rPr>
                <w:b/>
                <w:sz w:val="20"/>
              </w:rPr>
              <w:t xml:space="preserve"> </w:t>
            </w:r>
            <w:r w:rsidR="00245099">
              <w:rPr>
                <w:b/>
                <w:sz w:val="20"/>
              </w:rPr>
              <w:t>–</w:t>
            </w:r>
            <w:r w:rsidRPr="00777EB8">
              <w:rPr>
                <w:b/>
                <w:sz w:val="20"/>
              </w:rPr>
              <w:t xml:space="preserve"> </w:t>
            </w:r>
            <w:r w:rsidR="00A05A0A">
              <w:rPr>
                <w:b/>
                <w:sz w:val="20"/>
              </w:rPr>
              <w:t xml:space="preserve">Access </w:t>
            </w:r>
            <w:r w:rsidR="00131448">
              <w:rPr>
                <w:b/>
                <w:sz w:val="20"/>
              </w:rPr>
              <w:t>Management</w:t>
            </w:r>
          </w:p>
          <w:p w14:paraId="3E040133" w14:textId="6DE9C331" w:rsidR="00355FF1" w:rsidRPr="00631A43" w:rsidRDefault="00131448" w:rsidP="001A7168">
            <w:pPr>
              <w:ind w:left="720"/>
              <w:rPr>
                <w:rFonts w:ascii="Calibri" w:hAnsi="Calibri"/>
                <w:sz w:val="20"/>
              </w:rPr>
            </w:pPr>
            <w:r>
              <w:rPr>
                <w:rFonts w:ascii="Calibri" w:hAnsi="Calibri"/>
                <w:sz w:val="20"/>
              </w:rPr>
              <w:t>Lack of management oversight of implemented processes and controls to address authorized access controls could lead to the vulnerability of data.</w:t>
            </w:r>
          </w:p>
        </w:tc>
      </w:tr>
      <w:tr w:rsidR="00355FF1" w14:paraId="3E04013E" w14:textId="77777777" w:rsidTr="001D03F7">
        <w:trPr>
          <w:trHeight w:val="1196"/>
        </w:trPr>
        <w:tc>
          <w:tcPr>
            <w:tcW w:w="5940" w:type="dxa"/>
            <w:vAlign w:val="center"/>
          </w:tcPr>
          <w:p w14:paraId="098D9693" w14:textId="77777777" w:rsidR="00131448" w:rsidRDefault="00131448" w:rsidP="00245099">
            <w:pPr>
              <w:ind w:left="720"/>
              <w:rPr>
                <w:rFonts w:ascii="Calibri" w:hAnsi="Calibri"/>
                <w:b/>
                <w:bCs/>
                <w:color w:val="000000"/>
                <w:sz w:val="20"/>
                <w:szCs w:val="20"/>
              </w:rPr>
            </w:pPr>
            <w:r>
              <w:rPr>
                <w:rFonts w:ascii="Calibri" w:hAnsi="Calibri"/>
                <w:b/>
                <w:bCs/>
                <w:color w:val="000000"/>
                <w:sz w:val="20"/>
                <w:szCs w:val="20"/>
              </w:rPr>
              <w:t xml:space="preserve">A.1 – Access Control </w:t>
            </w:r>
          </w:p>
          <w:p w14:paraId="32FFEF5C" w14:textId="18753D15" w:rsidR="00131448" w:rsidRDefault="00A05A0A" w:rsidP="00131448">
            <w:pPr>
              <w:ind w:left="720"/>
              <w:rPr>
                <w:rFonts w:ascii="Calibri" w:hAnsi="Calibri"/>
                <w:b/>
                <w:bCs/>
                <w:color w:val="000000"/>
                <w:sz w:val="20"/>
                <w:szCs w:val="20"/>
              </w:rPr>
            </w:pPr>
            <w:r w:rsidRPr="00A05A0A">
              <w:rPr>
                <w:rFonts w:ascii="Calibri" w:hAnsi="Calibri"/>
                <w:b/>
                <w:bCs/>
                <w:color w:val="000000"/>
                <w:sz w:val="20"/>
                <w:szCs w:val="20"/>
              </w:rPr>
              <w:t xml:space="preserve"> </w:t>
            </w:r>
          </w:p>
          <w:p w14:paraId="355C1108" w14:textId="5D08359C" w:rsidR="00131448" w:rsidRDefault="00847328" w:rsidP="00131448">
            <w:pPr>
              <w:ind w:left="720"/>
              <w:rPr>
                <w:rFonts w:ascii="Calibri" w:hAnsi="Calibri"/>
                <w:b/>
                <w:bCs/>
                <w:color w:val="000000"/>
                <w:sz w:val="20"/>
                <w:szCs w:val="20"/>
              </w:rPr>
            </w:pPr>
            <w:r>
              <w:rPr>
                <w:rFonts w:ascii="Calibri" w:hAnsi="Calibri"/>
                <w:b/>
                <w:bCs/>
                <w:color w:val="000000"/>
                <w:sz w:val="20"/>
                <w:szCs w:val="20"/>
              </w:rPr>
              <w:t xml:space="preserve">Effective control over access to computer functions and related data is dependent on the use of the application’s security feature and/or access-control. </w:t>
            </w:r>
          </w:p>
          <w:p w14:paraId="3E040135" w14:textId="3AEA0C0D" w:rsidR="006D52F2" w:rsidRPr="006D52F2" w:rsidRDefault="006D52F2" w:rsidP="00131448">
            <w:pPr>
              <w:ind w:left="720"/>
              <w:rPr>
                <w:rFonts w:ascii="Calibri" w:hAnsi="Calibri"/>
                <w:b/>
                <w:bCs/>
                <w:i/>
                <w:color w:val="000000"/>
                <w:sz w:val="20"/>
                <w:szCs w:val="20"/>
              </w:rPr>
            </w:pPr>
            <w:r w:rsidRPr="006D52F2">
              <w:rPr>
                <w:rFonts w:ascii="Calibri" w:hAnsi="Calibri"/>
                <w:b/>
                <w:bCs/>
                <w:i/>
                <w:color w:val="808080" w:themeColor="background1" w:themeShade="80"/>
                <w:sz w:val="20"/>
                <w:szCs w:val="20"/>
              </w:rPr>
              <w:t>Control Owne</w:t>
            </w:r>
            <w:r w:rsidR="00A05A0A">
              <w:rPr>
                <w:rFonts w:ascii="Calibri" w:hAnsi="Calibri"/>
                <w:b/>
                <w:bCs/>
                <w:i/>
                <w:color w:val="808080" w:themeColor="background1" w:themeShade="80"/>
                <w:sz w:val="20"/>
                <w:szCs w:val="20"/>
              </w:rPr>
              <w:t xml:space="preserve">r: </w:t>
            </w:r>
            <w:r w:rsidR="003E086C">
              <w:rPr>
                <w:rFonts w:ascii="Calibri" w:hAnsi="Calibri"/>
                <w:b/>
                <w:bCs/>
                <w:i/>
                <w:color w:val="808080" w:themeColor="background1" w:themeShade="80"/>
                <w:sz w:val="20"/>
                <w:szCs w:val="20"/>
              </w:rPr>
              <w:t>Ken Park, Sr. Director, RxClaim Development, PBM IT Systems.</w:t>
            </w:r>
          </w:p>
        </w:tc>
        <w:tc>
          <w:tcPr>
            <w:tcW w:w="1440" w:type="dxa"/>
            <w:shd w:val="clear" w:color="auto" w:fill="FFFFFF" w:themeFill="background1"/>
            <w:vAlign w:val="center"/>
          </w:tcPr>
          <w:p w14:paraId="3E040136" w14:textId="4342FF83" w:rsidR="00355FF1" w:rsidRPr="00245099" w:rsidRDefault="00A05A0A" w:rsidP="00777EB8">
            <w:pPr>
              <w:jc w:val="center"/>
              <w:rPr>
                <w:b/>
                <w:sz w:val="20"/>
                <w:szCs w:val="20"/>
              </w:rPr>
            </w:pPr>
            <w:r>
              <w:rPr>
                <w:b/>
                <w:sz w:val="20"/>
                <w:szCs w:val="20"/>
              </w:rPr>
              <w:t>Effective</w:t>
            </w:r>
          </w:p>
        </w:tc>
        <w:tc>
          <w:tcPr>
            <w:tcW w:w="900" w:type="dxa"/>
            <w:vAlign w:val="center"/>
          </w:tcPr>
          <w:p w14:paraId="6341587C" w14:textId="77777777" w:rsidR="00245099" w:rsidRDefault="001D03F7" w:rsidP="00355FF1">
            <w:pPr>
              <w:jc w:val="center"/>
              <w:rPr>
                <w:sz w:val="20"/>
              </w:rPr>
            </w:pPr>
            <w:r>
              <w:rPr>
                <w:sz w:val="20"/>
              </w:rPr>
              <w:t>A</w:t>
            </w:r>
          </w:p>
          <w:p w14:paraId="4415CB6E" w14:textId="77777777" w:rsidR="001D03F7" w:rsidRDefault="001D03F7" w:rsidP="00355FF1">
            <w:pPr>
              <w:jc w:val="center"/>
              <w:rPr>
                <w:sz w:val="20"/>
              </w:rPr>
            </w:pPr>
            <w:r>
              <w:rPr>
                <w:sz w:val="20"/>
              </w:rPr>
              <w:t>P</w:t>
            </w:r>
          </w:p>
          <w:p w14:paraId="3E040139" w14:textId="39046AFB" w:rsidR="001D03F7" w:rsidRPr="00777EB8" w:rsidRDefault="001D03F7" w:rsidP="00355FF1">
            <w:pPr>
              <w:jc w:val="center"/>
              <w:rPr>
                <w:sz w:val="20"/>
              </w:rPr>
            </w:pPr>
            <w:r>
              <w:rPr>
                <w:sz w:val="20"/>
              </w:rPr>
              <w:t>As Needed</w:t>
            </w:r>
          </w:p>
        </w:tc>
        <w:tc>
          <w:tcPr>
            <w:tcW w:w="900" w:type="dxa"/>
            <w:vAlign w:val="center"/>
          </w:tcPr>
          <w:p w14:paraId="3E04013A" w14:textId="5D086469" w:rsidR="00355FF1" w:rsidRPr="00777EB8" w:rsidRDefault="001D03F7" w:rsidP="00777EB8">
            <w:pPr>
              <w:jc w:val="center"/>
              <w:rPr>
                <w:sz w:val="20"/>
              </w:rPr>
            </w:pPr>
            <w:r>
              <w:rPr>
                <w:sz w:val="20"/>
              </w:rPr>
              <w:t>Yes</w:t>
            </w:r>
          </w:p>
        </w:tc>
        <w:tc>
          <w:tcPr>
            <w:tcW w:w="4027" w:type="dxa"/>
            <w:vAlign w:val="center"/>
          </w:tcPr>
          <w:p w14:paraId="41239BD9" w14:textId="77777777" w:rsidR="00355FF1" w:rsidRDefault="001D03F7">
            <w:pPr>
              <w:rPr>
                <w:rFonts w:ascii="Calibri" w:hAnsi="Calibri"/>
                <w:sz w:val="20"/>
              </w:rPr>
            </w:pPr>
            <w:r>
              <w:rPr>
                <w:rFonts w:ascii="Calibri" w:hAnsi="Calibri"/>
                <w:sz w:val="20"/>
              </w:rPr>
              <w:t>Performing Testing to ascertain:</w:t>
            </w:r>
          </w:p>
          <w:p w14:paraId="7CD6C758" w14:textId="77777777" w:rsidR="001D03F7" w:rsidRDefault="001D03F7" w:rsidP="001D03F7">
            <w:pPr>
              <w:pStyle w:val="ListParagraph"/>
              <w:numPr>
                <w:ilvl w:val="0"/>
                <w:numId w:val="2"/>
              </w:numPr>
              <w:rPr>
                <w:rFonts w:ascii="Calibri" w:hAnsi="Calibri"/>
                <w:sz w:val="20"/>
              </w:rPr>
            </w:pPr>
            <w:r>
              <w:rPr>
                <w:rFonts w:ascii="Calibri" w:hAnsi="Calibri"/>
                <w:sz w:val="20"/>
              </w:rPr>
              <w:t>Access to claims data is limited to appropriate personnel/stakeholders/individuals</w:t>
            </w:r>
          </w:p>
          <w:p w14:paraId="707E214F" w14:textId="77777777" w:rsidR="001D03F7" w:rsidRDefault="001D03F7" w:rsidP="001D03F7">
            <w:pPr>
              <w:pStyle w:val="ListParagraph"/>
              <w:numPr>
                <w:ilvl w:val="0"/>
                <w:numId w:val="2"/>
              </w:numPr>
              <w:rPr>
                <w:rFonts w:ascii="Calibri" w:hAnsi="Calibri"/>
                <w:sz w:val="20"/>
              </w:rPr>
            </w:pPr>
            <w:r>
              <w:rPr>
                <w:rFonts w:ascii="Calibri" w:hAnsi="Calibri"/>
                <w:sz w:val="20"/>
              </w:rPr>
              <w:t xml:space="preserve">Ensure user access is authorized and appropriately established (New User/Set-up/Provisioning). Policy governing access for new personnel. </w:t>
            </w:r>
          </w:p>
          <w:p w14:paraId="3E04013B" w14:textId="12272E3D" w:rsidR="004F09AE" w:rsidRPr="001D03F7" w:rsidRDefault="004F09AE" w:rsidP="001D03F7">
            <w:pPr>
              <w:pStyle w:val="ListParagraph"/>
              <w:numPr>
                <w:ilvl w:val="0"/>
                <w:numId w:val="2"/>
              </w:numPr>
              <w:rPr>
                <w:rFonts w:ascii="Calibri" w:hAnsi="Calibri"/>
                <w:sz w:val="20"/>
              </w:rPr>
            </w:pPr>
            <w:r>
              <w:rPr>
                <w:rFonts w:ascii="Calibri" w:hAnsi="Calibri"/>
                <w:sz w:val="20"/>
              </w:rPr>
              <w:t xml:space="preserve">Review security packages access-controls definitions, logon IDs and associated privileges, authentication methods, </w:t>
            </w:r>
            <w:proofErr w:type="gramStart"/>
            <w:r>
              <w:rPr>
                <w:rFonts w:ascii="Calibri" w:hAnsi="Calibri"/>
                <w:sz w:val="20"/>
              </w:rPr>
              <w:t>access</w:t>
            </w:r>
            <w:proofErr w:type="gramEnd"/>
            <w:r>
              <w:rPr>
                <w:rFonts w:ascii="Calibri" w:hAnsi="Calibri"/>
                <w:sz w:val="20"/>
              </w:rPr>
              <w:t xml:space="preserve"> and resource rules, for appropriateness.</w:t>
            </w:r>
          </w:p>
        </w:tc>
        <w:tc>
          <w:tcPr>
            <w:tcW w:w="3353" w:type="dxa"/>
            <w:vAlign w:val="center"/>
          </w:tcPr>
          <w:p w14:paraId="3E04013C" w14:textId="77777777" w:rsidR="00355FF1" w:rsidRPr="000C57BE" w:rsidRDefault="00245099" w:rsidP="00245099">
            <w:pPr>
              <w:jc w:val="center"/>
              <w:rPr>
                <w:rFonts w:ascii="Calibri" w:hAnsi="Calibri"/>
                <w:i/>
                <w:sz w:val="20"/>
              </w:rPr>
            </w:pPr>
            <w:r>
              <w:rPr>
                <w:rFonts w:ascii="Calibri" w:hAnsi="Calibri"/>
                <w:sz w:val="20"/>
              </w:rPr>
              <w:t>[</w:t>
            </w:r>
            <w:r w:rsidRPr="00245099">
              <w:rPr>
                <w:rFonts w:ascii="Calibri" w:hAnsi="Calibri"/>
                <w:i/>
                <w:color w:val="A6A6A6" w:themeColor="background1" w:themeShade="A6"/>
                <w:sz w:val="20"/>
              </w:rPr>
              <w:t xml:space="preserve">Test </w:t>
            </w:r>
            <w:r>
              <w:rPr>
                <w:rFonts w:ascii="Calibri" w:hAnsi="Calibri"/>
                <w:i/>
                <w:color w:val="A6A6A6" w:themeColor="background1" w:themeShade="A6"/>
                <w:sz w:val="20"/>
              </w:rPr>
              <w:t>Conclusion</w:t>
            </w:r>
            <w:r w:rsidRPr="00245099">
              <w:rPr>
                <w:rFonts w:ascii="Calibri" w:hAnsi="Calibri"/>
                <w:i/>
                <w:color w:val="A6A6A6" w:themeColor="background1" w:themeShade="A6"/>
                <w:sz w:val="20"/>
              </w:rPr>
              <w:t xml:space="preserve"> – See Methodology</w:t>
            </w:r>
            <w:r>
              <w:rPr>
                <w:rFonts w:ascii="Calibri" w:hAnsi="Calibri"/>
                <w:sz w:val="20"/>
              </w:rPr>
              <w:t>]</w:t>
            </w:r>
          </w:p>
        </w:tc>
        <w:tc>
          <w:tcPr>
            <w:tcW w:w="2700" w:type="dxa"/>
            <w:vAlign w:val="center"/>
          </w:tcPr>
          <w:p w14:paraId="3E04013D" w14:textId="77777777" w:rsidR="00355FF1" w:rsidRPr="00777EB8" w:rsidRDefault="00245099" w:rsidP="000C57BE">
            <w:pPr>
              <w:jc w:val="center"/>
              <w:rPr>
                <w:sz w:val="20"/>
              </w:rPr>
            </w:pPr>
            <w:r>
              <w:rPr>
                <w:sz w:val="20"/>
              </w:rPr>
              <w:t>[</w:t>
            </w:r>
            <w:r w:rsidRPr="00245099">
              <w:rPr>
                <w:i/>
                <w:color w:val="A6A6A6" w:themeColor="background1" w:themeShade="A6"/>
                <w:sz w:val="20"/>
              </w:rPr>
              <w:t>Reportable Disposition of any gaps or exceptions</w:t>
            </w:r>
            <w:r>
              <w:rPr>
                <w:sz w:val="20"/>
              </w:rPr>
              <w:t>]</w:t>
            </w:r>
          </w:p>
        </w:tc>
      </w:tr>
      <w:tr w:rsidR="00245099" w14:paraId="3E040155" w14:textId="77777777" w:rsidTr="000F4C0E">
        <w:tc>
          <w:tcPr>
            <w:tcW w:w="19260" w:type="dxa"/>
            <w:gridSpan w:val="7"/>
            <w:shd w:val="clear" w:color="auto" w:fill="D9D9D9" w:themeFill="background1" w:themeFillShade="D9"/>
          </w:tcPr>
          <w:p w14:paraId="3E040153" w14:textId="06E58966" w:rsidR="00245099" w:rsidRPr="00777EB8" w:rsidRDefault="00245099" w:rsidP="00245099">
            <w:pPr>
              <w:rPr>
                <w:b/>
                <w:sz w:val="20"/>
              </w:rPr>
            </w:pPr>
            <w:r>
              <w:rPr>
                <w:b/>
              </w:rPr>
              <w:t xml:space="preserve">Risk </w:t>
            </w:r>
            <w:r w:rsidR="003D1633">
              <w:rPr>
                <w:b/>
                <w:sz w:val="20"/>
              </w:rPr>
              <w:t>B</w:t>
            </w:r>
            <w:r w:rsidRPr="00777EB8">
              <w:rPr>
                <w:b/>
                <w:sz w:val="20"/>
              </w:rPr>
              <w:t xml:space="preserve"> </w:t>
            </w:r>
            <w:r>
              <w:rPr>
                <w:b/>
                <w:sz w:val="20"/>
              </w:rPr>
              <w:t>–</w:t>
            </w:r>
            <w:r w:rsidRPr="00777EB8">
              <w:rPr>
                <w:b/>
                <w:sz w:val="20"/>
              </w:rPr>
              <w:t xml:space="preserve"> </w:t>
            </w:r>
            <w:r w:rsidR="003D1633">
              <w:rPr>
                <w:b/>
                <w:sz w:val="20"/>
              </w:rPr>
              <w:t xml:space="preserve">Override Capabilities  </w:t>
            </w:r>
          </w:p>
          <w:p w14:paraId="3E040154" w14:textId="0DA8AAAE" w:rsidR="00245099" w:rsidRPr="001A7168" w:rsidRDefault="003D1633" w:rsidP="00245099">
            <w:pPr>
              <w:ind w:left="720"/>
            </w:pPr>
            <w:r>
              <w:rPr>
                <w:sz w:val="20"/>
              </w:rPr>
              <w:t xml:space="preserve">Without a controlled process for overrides, application changes, inappropriate or </w:t>
            </w:r>
            <w:r w:rsidR="004F09AE">
              <w:rPr>
                <w:sz w:val="20"/>
              </w:rPr>
              <w:t>un</w:t>
            </w:r>
            <w:r>
              <w:rPr>
                <w:sz w:val="20"/>
              </w:rPr>
              <w:t>authorized</w:t>
            </w:r>
            <w:r w:rsidR="004F09AE">
              <w:rPr>
                <w:sz w:val="20"/>
              </w:rPr>
              <w:t xml:space="preserve"> changes could negatively impact the availability, security, and integrity of the environment </w:t>
            </w:r>
            <w:r>
              <w:rPr>
                <w:sz w:val="20"/>
              </w:rPr>
              <w:t xml:space="preserve"> </w:t>
            </w:r>
          </w:p>
        </w:tc>
      </w:tr>
      <w:tr w:rsidR="00245099" w14:paraId="3E04015F" w14:textId="77777777" w:rsidTr="003E086C">
        <w:trPr>
          <w:trHeight w:val="65"/>
        </w:trPr>
        <w:tc>
          <w:tcPr>
            <w:tcW w:w="5940" w:type="dxa"/>
            <w:vAlign w:val="center"/>
          </w:tcPr>
          <w:p w14:paraId="12752FF7" w14:textId="77777777" w:rsidR="004F09AE" w:rsidRDefault="004F09AE" w:rsidP="004F09AE">
            <w:pPr>
              <w:ind w:left="720"/>
              <w:rPr>
                <w:rFonts w:ascii="Calibri" w:hAnsi="Calibri"/>
                <w:b/>
                <w:bCs/>
                <w:color w:val="000000"/>
                <w:sz w:val="20"/>
                <w:szCs w:val="20"/>
              </w:rPr>
            </w:pPr>
          </w:p>
          <w:p w14:paraId="332E03E8" w14:textId="1A195C72" w:rsidR="004F09AE" w:rsidRDefault="004F09AE" w:rsidP="004F09AE">
            <w:pPr>
              <w:ind w:left="720"/>
              <w:rPr>
                <w:rFonts w:ascii="Calibri" w:hAnsi="Calibri"/>
                <w:b/>
                <w:bCs/>
                <w:color w:val="000000"/>
                <w:sz w:val="20"/>
                <w:szCs w:val="20"/>
              </w:rPr>
            </w:pPr>
            <w:r>
              <w:rPr>
                <w:rFonts w:ascii="Calibri" w:hAnsi="Calibri"/>
                <w:b/>
                <w:bCs/>
                <w:color w:val="000000"/>
                <w:sz w:val="20"/>
                <w:szCs w:val="20"/>
              </w:rPr>
              <w:t>B</w:t>
            </w:r>
            <w:r>
              <w:rPr>
                <w:rFonts w:ascii="Calibri" w:hAnsi="Calibri"/>
                <w:b/>
                <w:bCs/>
                <w:color w:val="000000"/>
                <w:sz w:val="20"/>
                <w:szCs w:val="20"/>
              </w:rPr>
              <w:t xml:space="preserve">.1 – </w:t>
            </w:r>
            <w:r>
              <w:rPr>
                <w:rFonts w:ascii="Calibri" w:hAnsi="Calibri"/>
                <w:b/>
                <w:bCs/>
                <w:color w:val="000000"/>
                <w:sz w:val="20"/>
                <w:szCs w:val="20"/>
              </w:rPr>
              <w:t>Override</w:t>
            </w:r>
          </w:p>
          <w:p w14:paraId="0758A889" w14:textId="77777777" w:rsidR="004F09AE" w:rsidRDefault="004F09AE" w:rsidP="004F09AE">
            <w:pPr>
              <w:ind w:left="720"/>
              <w:rPr>
                <w:rFonts w:ascii="Calibri" w:hAnsi="Calibri"/>
                <w:b/>
                <w:bCs/>
                <w:color w:val="000000"/>
                <w:sz w:val="20"/>
                <w:szCs w:val="20"/>
              </w:rPr>
            </w:pPr>
            <w:r w:rsidRPr="00A05A0A">
              <w:rPr>
                <w:rFonts w:ascii="Calibri" w:hAnsi="Calibri"/>
                <w:b/>
                <w:bCs/>
                <w:color w:val="000000"/>
                <w:sz w:val="20"/>
                <w:szCs w:val="20"/>
              </w:rPr>
              <w:t xml:space="preserve"> </w:t>
            </w:r>
          </w:p>
          <w:p w14:paraId="6F464DA8" w14:textId="79B53F0A" w:rsidR="004F09AE" w:rsidRDefault="004F09AE" w:rsidP="004F09AE">
            <w:pPr>
              <w:ind w:left="720"/>
              <w:rPr>
                <w:rFonts w:ascii="Calibri" w:hAnsi="Calibri"/>
                <w:b/>
                <w:bCs/>
                <w:color w:val="000000"/>
                <w:sz w:val="20"/>
                <w:szCs w:val="20"/>
              </w:rPr>
            </w:pPr>
            <w:r>
              <w:rPr>
                <w:rFonts w:ascii="Calibri" w:hAnsi="Calibri"/>
                <w:b/>
                <w:bCs/>
                <w:color w:val="000000"/>
                <w:sz w:val="20"/>
                <w:szCs w:val="20"/>
              </w:rPr>
              <w:t xml:space="preserve">Override of computer edits involves intervention by the application owner by allowing the user the capability to bypass what under normal conditions would be an error that would prevent processing of the transaction to proceed. </w:t>
            </w:r>
            <w:r>
              <w:rPr>
                <w:rFonts w:ascii="Calibri" w:hAnsi="Calibri"/>
                <w:b/>
                <w:bCs/>
                <w:color w:val="000000"/>
                <w:sz w:val="20"/>
                <w:szCs w:val="20"/>
              </w:rPr>
              <w:t xml:space="preserve"> </w:t>
            </w:r>
          </w:p>
          <w:p w14:paraId="55D70448" w14:textId="00098F86" w:rsidR="006D52F2" w:rsidRDefault="004F09AE" w:rsidP="004F09AE">
            <w:pPr>
              <w:ind w:left="720"/>
              <w:rPr>
                <w:rFonts w:ascii="Calibri" w:hAnsi="Calibri"/>
                <w:b/>
                <w:bCs/>
                <w:color w:val="000000"/>
                <w:sz w:val="20"/>
                <w:szCs w:val="20"/>
              </w:rPr>
            </w:pPr>
            <w:r w:rsidRPr="006D52F2">
              <w:rPr>
                <w:rFonts w:ascii="Calibri" w:hAnsi="Calibri"/>
                <w:b/>
                <w:bCs/>
                <w:i/>
                <w:color w:val="808080" w:themeColor="background1" w:themeShade="80"/>
                <w:sz w:val="20"/>
                <w:szCs w:val="20"/>
              </w:rPr>
              <w:t>Control Owne</w:t>
            </w:r>
            <w:r>
              <w:rPr>
                <w:rFonts w:ascii="Calibri" w:hAnsi="Calibri"/>
                <w:b/>
                <w:bCs/>
                <w:i/>
                <w:color w:val="808080" w:themeColor="background1" w:themeShade="80"/>
                <w:sz w:val="20"/>
                <w:szCs w:val="20"/>
              </w:rPr>
              <w:t xml:space="preserve">r: </w:t>
            </w:r>
            <w:r w:rsidR="003E086C">
              <w:rPr>
                <w:rFonts w:ascii="Calibri" w:hAnsi="Calibri"/>
                <w:b/>
                <w:bCs/>
                <w:i/>
                <w:color w:val="808080" w:themeColor="background1" w:themeShade="80"/>
                <w:sz w:val="20"/>
                <w:szCs w:val="20"/>
              </w:rPr>
              <w:t>Ken Park, Sr. Director, RxClaim Development, PBM IT Systems.</w:t>
            </w:r>
          </w:p>
          <w:p w14:paraId="3E040156" w14:textId="6C82235F" w:rsidR="006D52F2" w:rsidRPr="00631A43" w:rsidRDefault="006D52F2" w:rsidP="00524B98">
            <w:pPr>
              <w:rPr>
                <w:rFonts w:ascii="Calibri" w:hAnsi="Calibri"/>
                <w:b/>
                <w:bCs/>
                <w:color w:val="000000"/>
                <w:sz w:val="20"/>
                <w:szCs w:val="20"/>
              </w:rPr>
            </w:pPr>
          </w:p>
        </w:tc>
        <w:tc>
          <w:tcPr>
            <w:tcW w:w="1440" w:type="dxa"/>
            <w:shd w:val="clear" w:color="auto" w:fill="FFFFFF" w:themeFill="background1"/>
            <w:vAlign w:val="center"/>
          </w:tcPr>
          <w:p w14:paraId="3E040157" w14:textId="319DC91B" w:rsidR="00245099" w:rsidRPr="00245099" w:rsidRDefault="004F09AE" w:rsidP="00F65445">
            <w:pPr>
              <w:jc w:val="center"/>
              <w:rPr>
                <w:b/>
                <w:sz w:val="20"/>
                <w:szCs w:val="20"/>
              </w:rPr>
            </w:pPr>
            <w:r>
              <w:rPr>
                <w:b/>
                <w:sz w:val="20"/>
                <w:szCs w:val="20"/>
              </w:rPr>
              <w:t>Effective</w:t>
            </w:r>
          </w:p>
        </w:tc>
        <w:tc>
          <w:tcPr>
            <w:tcW w:w="900" w:type="dxa"/>
            <w:vAlign w:val="center"/>
          </w:tcPr>
          <w:p w14:paraId="5394E8D9" w14:textId="77777777" w:rsidR="00245099" w:rsidRDefault="00524B98" w:rsidP="00524B98">
            <w:pPr>
              <w:jc w:val="center"/>
              <w:rPr>
                <w:sz w:val="20"/>
              </w:rPr>
            </w:pPr>
            <w:r>
              <w:rPr>
                <w:sz w:val="20"/>
              </w:rPr>
              <w:t>M</w:t>
            </w:r>
          </w:p>
          <w:p w14:paraId="684AC0A5" w14:textId="77777777" w:rsidR="00524B98" w:rsidRDefault="00524B98" w:rsidP="00524B98">
            <w:pPr>
              <w:jc w:val="center"/>
              <w:rPr>
                <w:sz w:val="20"/>
              </w:rPr>
            </w:pPr>
            <w:r>
              <w:rPr>
                <w:sz w:val="20"/>
              </w:rPr>
              <w:t>D</w:t>
            </w:r>
          </w:p>
          <w:p w14:paraId="26F2A75E" w14:textId="77777777" w:rsidR="00524B98" w:rsidRDefault="00524B98" w:rsidP="00524B98">
            <w:pPr>
              <w:jc w:val="center"/>
              <w:rPr>
                <w:sz w:val="20"/>
              </w:rPr>
            </w:pPr>
            <w:r>
              <w:rPr>
                <w:sz w:val="20"/>
              </w:rPr>
              <w:t xml:space="preserve">As </w:t>
            </w:r>
          </w:p>
          <w:p w14:paraId="3E04015A" w14:textId="29CD43A0" w:rsidR="00524B98" w:rsidRPr="00777EB8" w:rsidRDefault="00524B98" w:rsidP="00524B98">
            <w:pPr>
              <w:jc w:val="center"/>
              <w:rPr>
                <w:sz w:val="20"/>
              </w:rPr>
            </w:pPr>
            <w:r>
              <w:rPr>
                <w:sz w:val="20"/>
              </w:rPr>
              <w:t>Needed</w:t>
            </w:r>
          </w:p>
        </w:tc>
        <w:tc>
          <w:tcPr>
            <w:tcW w:w="900" w:type="dxa"/>
            <w:vAlign w:val="center"/>
          </w:tcPr>
          <w:p w14:paraId="3E04015B" w14:textId="1C9B5CD8" w:rsidR="00245099" w:rsidRPr="00777EB8" w:rsidRDefault="00524B98" w:rsidP="00F65445">
            <w:pPr>
              <w:jc w:val="center"/>
              <w:rPr>
                <w:sz w:val="20"/>
              </w:rPr>
            </w:pPr>
            <w:r>
              <w:rPr>
                <w:sz w:val="20"/>
              </w:rPr>
              <w:t>Yes</w:t>
            </w:r>
          </w:p>
        </w:tc>
        <w:tc>
          <w:tcPr>
            <w:tcW w:w="4027" w:type="dxa"/>
            <w:vAlign w:val="center"/>
          </w:tcPr>
          <w:p w14:paraId="5FFA5C98" w14:textId="77777777" w:rsidR="00245099" w:rsidRDefault="004F09AE" w:rsidP="00F65445">
            <w:pPr>
              <w:rPr>
                <w:rFonts w:ascii="Calibri" w:hAnsi="Calibri"/>
                <w:sz w:val="20"/>
              </w:rPr>
            </w:pPr>
            <w:r>
              <w:rPr>
                <w:rFonts w:ascii="Calibri" w:hAnsi="Calibri"/>
                <w:sz w:val="20"/>
              </w:rPr>
              <w:t>Performing Testing to ascertain:</w:t>
            </w:r>
          </w:p>
          <w:p w14:paraId="16910AE6" w14:textId="77777777" w:rsidR="004F09AE" w:rsidRDefault="004F09AE" w:rsidP="004F09AE">
            <w:pPr>
              <w:pStyle w:val="ListParagraph"/>
              <w:numPr>
                <w:ilvl w:val="0"/>
                <w:numId w:val="3"/>
              </w:numPr>
              <w:rPr>
                <w:rFonts w:ascii="Calibri" w:hAnsi="Calibri"/>
                <w:sz w:val="20"/>
              </w:rPr>
            </w:pPr>
            <w:r>
              <w:rPr>
                <w:rFonts w:ascii="Calibri" w:hAnsi="Calibri"/>
                <w:sz w:val="20"/>
              </w:rPr>
              <w:t xml:space="preserve">Review the use of override to determine that it is restricted to an authorized user and that an audit trail if its use is properly recorded. </w:t>
            </w:r>
          </w:p>
          <w:p w14:paraId="3E04015C" w14:textId="7E146AC1" w:rsidR="004F09AE" w:rsidRPr="004F09AE" w:rsidRDefault="004F09AE" w:rsidP="004F09AE">
            <w:pPr>
              <w:pStyle w:val="ListParagraph"/>
              <w:numPr>
                <w:ilvl w:val="0"/>
                <w:numId w:val="3"/>
              </w:numPr>
              <w:rPr>
                <w:rFonts w:ascii="Calibri" w:hAnsi="Calibri"/>
                <w:sz w:val="20"/>
              </w:rPr>
            </w:pPr>
            <w:r>
              <w:rPr>
                <w:rFonts w:ascii="Calibri" w:hAnsi="Calibri"/>
                <w:sz w:val="20"/>
              </w:rPr>
              <w:t xml:space="preserve">Review the access/resource rules that control who can use the override capability. </w:t>
            </w:r>
          </w:p>
        </w:tc>
        <w:tc>
          <w:tcPr>
            <w:tcW w:w="3353" w:type="dxa"/>
            <w:vAlign w:val="center"/>
          </w:tcPr>
          <w:p w14:paraId="3E04015D" w14:textId="77777777" w:rsidR="00245099" w:rsidRPr="000C57BE" w:rsidRDefault="00245099" w:rsidP="00F65445">
            <w:pPr>
              <w:jc w:val="center"/>
              <w:rPr>
                <w:rFonts w:ascii="Calibri" w:hAnsi="Calibri"/>
                <w:i/>
                <w:sz w:val="20"/>
              </w:rPr>
            </w:pPr>
            <w:r>
              <w:rPr>
                <w:rFonts w:ascii="Calibri" w:hAnsi="Calibri"/>
                <w:sz w:val="20"/>
              </w:rPr>
              <w:t>[</w:t>
            </w:r>
            <w:r w:rsidRPr="00245099">
              <w:rPr>
                <w:rFonts w:ascii="Calibri" w:hAnsi="Calibri"/>
                <w:i/>
                <w:color w:val="A6A6A6" w:themeColor="background1" w:themeShade="A6"/>
                <w:sz w:val="20"/>
              </w:rPr>
              <w:t xml:space="preserve">Test </w:t>
            </w:r>
            <w:r>
              <w:rPr>
                <w:rFonts w:ascii="Calibri" w:hAnsi="Calibri"/>
                <w:i/>
                <w:color w:val="A6A6A6" w:themeColor="background1" w:themeShade="A6"/>
                <w:sz w:val="20"/>
              </w:rPr>
              <w:t>Conclusion</w:t>
            </w:r>
            <w:r w:rsidRPr="00245099">
              <w:rPr>
                <w:rFonts w:ascii="Calibri" w:hAnsi="Calibri"/>
                <w:i/>
                <w:color w:val="A6A6A6" w:themeColor="background1" w:themeShade="A6"/>
                <w:sz w:val="20"/>
              </w:rPr>
              <w:t xml:space="preserve"> – See Methodology</w:t>
            </w:r>
            <w:r>
              <w:rPr>
                <w:rFonts w:ascii="Calibri" w:hAnsi="Calibri"/>
                <w:sz w:val="20"/>
              </w:rPr>
              <w:t>]</w:t>
            </w:r>
          </w:p>
        </w:tc>
        <w:tc>
          <w:tcPr>
            <w:tcW w:w="2700" w:type="dxa"/>
            <w:vAlign w:val="center"/>
          </w:tcPr>
          <w:p w14:paraId="3E04015E" w14:textId="77777777" w:rsidR="00245099" w:rsidRPr="00777EB8" w:rsidRDefault="00245099" w:rsidP="00F65445">
            <w:pPr>
              <w:jc w:val="center"/>
              <w:rPr>
                <w:sz w:val="20"/>
              </w:rPr>
            </w:pPr>
            <w:r>
              <w:rPr>
                <w:sz w:val="20"/>
              </w:rPr>
              <w:t>[</w:t>
            </w:r>
            <w:r w:rsidRPr="00245099">
              <w:rPr>
                <w:i/>
                <w:color w:val="A6A6A6" w:themeColor="background1" w:themeShade="A6"/>
                <w:sz w:val="20"/>
              </w:rPr>
              <w:t>Reportable Disposition of any gaps or exceptions</w:t>
            </w:r>
            <w:r>
              <w:rPr>
                <w:sz w:val="20"/>
              </w:rPr>
              <w:t>]</w:t>
            </w:r>
          </w:p>
        </w:tc>
      </w:tr>
    </w:tbl>
    <w:p w14:paraId="3E040195" w14:textId="77777777" w:rsidR="00BC32D4" w:rsidRDefault="00F0096F"/>
    <w:p w14:paraId="3E040196" w14:textId="77777777" w:rsidR="009C75A2" w:rsidRDefault="009C75A2"/>
    <w:p w14:paraId="3E040197" w14:textId="77777777" w:rsidR="009C75A2" w:rsidRDefault="009C75A2"/>
    <w:tbl>
      <w:tblPr>
        <w:tblStyle w:val="TableGrid"/>
        <w:tblW w:w="0" w:type="auto"/>
        <w:tblInd w:w="-522" w:type="dxa"/>
        <w:tblLook w:val="04A0" w:firstRow="1" w:lastRow="0" w:firstColumn="1" w:lastColumn="0" w:noHBand="0" w:noVBand="1"/>
      </w:tblPr>
      <w:tblGrid>
        <w:gridCol w:w="990"/>
        <w:gridCol w:w="8460"/>
      </w:tblGrid>
      <w:tr w:rsidR="009C75A2" w14:paraId="3E040199" w14:textId="77777777" w:rsidTr="00C440A8">
        <w:tc>
          <w:tcPr>
            <w:tcW w:w="9450" w:type="dxa"/>
            <w:gridSpan w:val="2"/>
            <w:shd w:val="clear" w:color="auto" w:fill="C00000"/>
          </w:tcPr>
          <w:p w14:paraId="3E040198" w14:textId="04C9EDE8" w:rsidR="009C75A2" w:rsidRPr="009C75A2" w:rsidRDefault="00A475FE" w:rsidP="009C75A2">
            <w:pPr>
              <w:jc w:val="center"/>
              <w:rPr>
                <w:b/>
              </w:rPr>
            </w:pPr>
            <w:r>
              <w:rPr>
                <w:b/>
                <w:color w:val="FFFFFF" w:themeColor="background1"/>
              </w:rPr>
              <w:t>Scope</w:t>
            </w:r>
            <w:r w:rsidR="009C75A2" w:rsidRPr="0099304C">
              <w:rPr>
                <w:b/>
                <w:color w:val="FFFFFF" w:themeColor="background1"/>
              </w:rPr>
              <w:t xml:space="preserve"> Objective Reference</w:t>
            </w:r>
          </w:p>
        </w:tc>
      </w:tr>
      <w:tr w:rsidR="009C75A2" w14:paraId="3E04019C" w14:textId="77777777" w:rsidTr="00777EB8">
        <w:tc>
          <w:tcPr>
            <w:tcW w:w="990" w:type="dxa"/>
            <w:vAlign w:val="center"/>
          </w:tcPr>
          <w:p w14:paraId="3E04019A" w14:textId="2DCD5439" w:rsidR="009C75A2" w:rsidRDefault="00A475FE" w:rsidP="00777EB8">
            <w:r>
              <w:t>S</w:t>
            </w:r>
            <w:r w:rsidR="009C75A2">
              <w:t>O-1</w:t>
            </w:r>
          </w:p>
        </w:tc>
        <w:tc>
          <w:tcPr>
            <w:tcW w:w="8460" w:type="dxa"/>
            <w:vAlign w:val="center"/>
          </w:tcPr>
          <w:p w14:paraId="3E04019B" w14:textId="18C6078B" w:rsidR="009C75A2" w:rsidRDefault="00524B98" w:rsidP="00A475FE">
            <w:r>
              <w:t>Access Management</w:t>
            </w:r>
          </w:p>
        </w:tc>
      </w:tr>
      <w:tr w:rsidR="009C75A2" w14:paraId="3E04019F" w14:textId="77777777" w:rsidTr="00777EB8">
        <w:tc>
          <w:tcPr>
            <w:tcW w:w="990" w:type="dxa"/>
            <w:vAlign w:val="center"/>
          </w:tcPr>
          <w:p w14:paraId="3E04019D" w14:textId="55D7ED1A" w:rsidR="009C75A2" w:rsidRDefault="00A475FE" w:rsidP="00777EB8">
            <w:r>
              <w:t>S</w:t>
            </w:r>
            <w:r w:rsidR="009C75A2">
              <w:t>O-2</w:t>
            </w:r>
          </w:p>
        </w:tc>
        <w:tc>
          <w:tcPr>
            <w:tcW w:w="8460" w:type="dxa"/>
            <w:vAlign w:val="center"/>
          </w:tcPr>
          <w:p w14:paraId="3E04019E" w14:textId="4A113D38" w:rsidR="009C75A2" w:rsidRDefault="00524B98" w:rsidP="00A475FE">
            <w:r>
              <w:t xml:space="preserve">Override Capabilities </w:t>
            </w:r>
          </w:p>
        </w:tc>
      </w:tr>
    </w:tbl>
    <w:p w14:paraId="3E0401A3" w14:textId="77777777" w:rsidR="009C75A2" w:rsidRDefault="009C75A2"/>
    <w:sectPr w:rsidR="009C75A2" w:rsidSect="00BD7D6D">
      <w:headerReference w:type="default" r:id="rId14"/>
      <w:footerReference w:type="default" r:id="rId15"/>
      <w:pgSz w:w="20160" w:h="12240" w:orient="landscape" w:code="5"/>
      <w:pgMar w:top="432" w:right="1440" w:bottom="432" w:left="1440" w:header="108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kling, Grant" w:date="2019-07-26T08:32:00Z" w:initials="GG">
    <w:p w14:paraId="1D7CE4B7" w14:textId="6E5EAB42" w:rsidR="005D6985" w:rsidRDefault="005D6985">
      <w:pPr>
        <w:pStyle w:val="CommentText"/>
      </w:pPr>
      <w:r>
        <w:rPr>
          <w:rStyle w:val="CommentReference"/>
        </w:rPr>
        <w:annotationRef/>
      </w:r>
      <w:r>
        <w:t xml:space="preserve">Integration Team to decide </w:t>
      </w:r>
      <w:proofErr w:type="gramStart"/>
      <w:r>
        <w:t>whether or not</w:t>
      </w:r>
      <w:proofErr w:type="gramEnd"/>
      <w:r>
        <w:t xml:space="preserve"> to keep non-key controls in the RCA. If we include non-key controls in the RCA, would the business by misled to believe that we have tested those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7CE4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7CE4B7" w16cid:durableId="23DE1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5A609" w14:textId="77777777" w:rsidR="00F0096F" w:rsidRDefault="00F0096F" w:rsidP="00AE3B21">
      <w:r>
        <w:separator/>
      </w:r>
    </w:p>
  </w:endnote>
  <w:endnote w:type="continuationSeparator" w:id="0">
    <w:p w14:paraId="6811869B" w14:textId="77777777" w:rsidR="00F0096F" w:rsidRDefault="00F0096F" w:rsidP="00AE3B21">
      <w:r>
        <w:continuationSeparator/>
      </w:r>
    </w:p>
  </w:endnote>
  <w:endnote w:id="1">
    <w:p w14:paraId="3E0401A8" w14:textId="77777777" w:rsidR="00AE3B21" w:rsidRDefault="00AE3B21">
      <w:pPr>
        <w:pStyle w:val="EndnoteText"/>
      </w:pPr>
      <w:r>
        <w:rPr>
          <w:rStyle w:val="EndnoteReference"/>
        </w:rPr>
        <w:endnoteRef/>
      </w:r>
      <w:r>
        <w:t xml:space="preserve"> </w:t>
      </w:r>
      <w:r w:rsidRPr="00AE3B21">
        <w:t>Be sure the control mitigates the assigned risk and that all controls have all five components of a control (1. person / process; 2. performing a function; 3. frequency; 4. prevents or detects; 5. evidenced).</w:t>
      </w:r>
      <w:r>
        <w:t xml:space="preserve"> </w:t>
      </w:r>
      <w:r w:rsidRPr="00AE3B21">
        <w:t>If one of the five is missing, verify with SME that the component is not otherwise addressed. If so, then note the Control Gap (note what component the control is lacking).</w:t>
      </w:r>
    </w:p>
  </w:endnote>
  <w:endnote w:id="2">
    <w:p w14:paraId="3E0401A9" w14:textId="77777777" w:rsidR="00AE3B21" w:rsidRDefault="00AE3B21">
      <w:pPr>
        <w:pStyle w:val="EndnoteText"/>
      </w:pPr>
      <w:r>
        <w:rPr>
          <w:rStyle w:val="EndnoteReference"/>
        </w:rPr>
        <w:endnoteRef/>
      </w:r>
      <w:r>
        <w:t xml:space="preserve"> </w:t>
      </w:r>
      <w:r w:rsidRPr="00AE3B21">
        <w:t>If all five components of a control are addressed and the control mitigates the risk, then it is an "Effective" control. If it does not mitigate the risk, it might be a process. If it does not include all five, this is a control gap and "</w:t>
      </w:r>
      <w:r w:rsidR="00BB3DEF">
        <w:t>Control Gap</w:t>
      </w:r>
      <w:r w:rsidRPr="00AE3B21">
        <w:t>" should be noted.</w:t>
      </w:r>
    </w:p>
  </w:endnote>
  <w:endnote w:id="3">
    <w:p w14:paraId="3E0401AA" w14:textId="77777777" w:rsidR="00AE3B21" w:rsidRDefault="00AE3B21" w:rsidP="00AE3B21">
      <w:pPr>
        <w:pStyle w:val="EndnoteText"/>
      </w:pPr>
      <w:r>
        <w:rPr>
          <w:rStyle w:val="EndnoteReference"/>
        </w:rPr>
        <w:endnoteRef/>
      </w:r>
      <w:r>
        <w:t xml:space="preserve"> A = Automatic Control (performed by a system); M = Manual Control (performed by a person); D = Detective (the control identifies instances of the realized risk after the fact)</w:t>
      </w:r>
    </w:p>
    <w:p w14:paraId="3E0401AB" w14:textId="77777777" w:rsidR="00AE3B21" w:rsidRDefault="00AE3B21" w:rsidP="00AE3B21">
      <w:pPr>
        <w:pStyle w:val="EndnoteText"/>
      </w:pPr>
      <w:r>
        <w:t>P = Preventative (the control mitigates the risk from occurring); How often is this control performed: Daily (once a day or more); Weekly; Monthly; Quarterly; Annually.</w:t>
      </w:r>
    </w:p>
  </w:endnote>
  <w:endnote w:id="4">
    <w:p w14:paraId="3E0401AC" w14:textId="77777777" w:rsidR="00AE3B21" w:rsidRDefault="00AE3B21">
      <w:pPr>
        <w:pStyle w:val="EndnoteText"/>
      </w:pPr>
      <w:r>
        <w:rPr>
          <w:rStyle w:val="EndnoteReference"/>
        </w:rPr>
        <w:endnoteRef/>
      </w:r>
      <w:r>
        <w:t xml:space="preserve"> </w:t>
      </w:r>
      <w:r w:rsidRPr="00AE3B21">
        <w:t>Key Control: substantially mitigates the risk on its own. Non-Key Control: supports a key control, but cannot wholly mitigate the risk on its own.</w:t>
      </w:r>
    </w:p>
  </w:endnote>
  <w:endnote w:id="5">
    <w:p w14:paraId="3E0401AD" w14:textId="77777777" w:rsidR="00AE3B21" w:rsidRDefault="00AE3B21">
      <w:pPr>
        <w:pStyle w:val="EndnoteText"/>
      </w:pPr>
      <w:r>
        <w:rPr>
          <w:rStyle w:val="EndnoteReference"/>
        </w:rPr>
        <w:endnoteRef/>
      </w:r>
      <w:r>
        <w:t xml:space="preserve"> </w:t>
      </w:r>
      <w:r w:rsidR="0098740D" w:rsidRPr="0098740D">
        <w:t>Describe the test steps to determine whether an effectively designed control is operating effectively. Be sure to include the following: 1. Define sample size (usually 25% of population) and testing sample (if possible). 2. Include the specific name of any reports referenced. 3. Verify the test addresses the risk (does it address completeness, accuracy, and / or timeliness). If the control is not effective, note "No testing to be performed due to ineffective control."</w:t>
      </w:r>
    </w:p>
  </w:endnote>
  <w:endnote w:id="6">
    <w:p w14:paraId="3E0401AE" w14:textId="77777777" w:rsidR="00AE3B21" w:rsidRDefault="00AE3B21" w:rsidP="00AE3B21">
      <w:pPr>
        <w:pStyle w:val="EndnoteText"/>
      </w:pPr>
      <w:r>
        <w:rPr>
          <w:rStyle w:val="EndnoteReference"/>
        </w:rPr>
        <w:endnoteRef/>
      </w:r>
      <w:r>
        <w:t xml:space="preserve"> Describe </w:t>
      </w:r>
      <w:r w:rsidR="0098740D">
        <w:t>the outcome of the test, clearly stating that the control either Passed or Failed the test.</w:t>
      </w:r>
    </w:p>
  </w:endnote>
  <w:endnote w:id="7">
    <w:p w14:paraId="3E0401AF" w14:textId="77777777" w:rsidR="000B0992" w:rsidRDefault="000B0992">
      <w:pPr>
        <w:pStyle w:val="EndnoteText"/>
      </w:pPr>
      <w:r>
        <w:rPr>
          <w:rStyle w:val="EndnoteReference"/>
        </w:rPr>
        <w:endnoteRef/>
      </w:r>
      <w:r>
        <w:t xml:space="preserve"> Describe the impact the Design Effectiveness and Operational Effectiveness results have on the audit report. List how the findings are included within any reportable issues. If findings were not reportable, explain relationship for the non-reportable disposition.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BC175" w14:textId="13E51D9F" w:rsidR="00B95960" w:rsidRDefault="00B95960">
    <w:pPr>
      <w:pStyle w:val="Footer"/>
    </w:pPr>
    <w:r>
      <w:rPr>
        <w:noProof/>
      </w:rPr>
      <mc:AlternateContent>
        <mc:Choice Requires="wps">
          <w:drawing>
            <wp:anchor distT="0" distB="0" distL="114300" distR="114300" simplePos="0" relativeHeight="251659264" behindDoc="0" locked="0" layoutInCell="0" allowOverlap="1" wp14:anchorId="57AE060C" wp14:editId="5A57D280">
              <wp:simplePos x="0" y="0"/>
              <wp:positionH relativeFrom="page">
                <wp:posOffset>0</wp:posOffset>
              </wp:positionH>
              <wp:positionV relativeFrom="page">
                <wp:posOffset>7315200</wp:posOffset>
              </wp:positionV>
              <wp:extent cx="12801600" cy="266700"/>
              <wp:effectExtent l="0" t="0" r="0" b="0"/>
              <wp:wrapNone/>
              <wp:docPr id="1" name="MSIPCM57514111b8227843d6543c61" descr="{&quot;HashCode&quot;:-356254672,&quot;Height&quot;:612.0,&quot;Width&quot;:1008.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28016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A5B151" w14:textId="7BAEE238" w:rsidR="00B95960" w:rsidRPr="00B95960" w:rsidRDefault="00B95960" w:rsidP="00B95960">
                          <w:pPr>
                            <w:rPr>
                              <w:rFonts w:ascii="Calibri" w:hAnsi="Calibri" w:cs="Calibri"/>
                              <w:color w:val="414141"/>
                              <w:sz w:val="16"/>
                            </w:rPr>
                          </w:pPr>
                          <w:r w:rsidRPr="00B95960">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AE060C" id="_x0000_t202" coordsize="21600,21600" o:spt="202" path="m,l,21600r21600,l21600,xe">
              <v:stroke joinstyle="miter"/>
              <v:path gradientshapeok="t" o:connecttype="rect"/>
            </v:shapetype>
            <v:shape id="MSIPCM57514111b8227843d6543c61" o:spid="_x0000_s1026" type="#_x0000_t202" alt="{&quot;HashCode&quot;:-356254672,&quot;Height&quot;:612.0,&quot;Width&quot;:1008.0,&quot;Placement&quot;:&quot;Footer&quot;,&quot;Index&quot;:&quot;Primary&quot;,&quot;Section&quot;:1,&quot;Top&quot;:0.0,&quot;Left&quot;:0.0}" style="position:absolute;margin-left:0;margin-top:8in;width:14in;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" o:allowincell="f" filled="f" stroked="f" strokeweight=".5pt">
              <v:textbox inset="20pt,0,,0">
                <w:txbxContent>
                  <w:p w14:paraId="16A5B151" w14:textId="7BAEE238" w:rsidR="00B95960" w:rsidRPr="00B95960" w:rsidRDefault="00B95960" w:rsidP="00B95960">
                    <w:pPr>
                      <w:rPr>
                        <w:rFonts w:ascii="Calibri" w:hAnsi="Calibri" w:cs="Calibri"/>
                        <w:color w:val="414141"/>
                        <w:sz w:val="16"/>
                      </w:rPr>
                    </w:pPr>
                    <w:r w:rsidRPr="00B95960">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FBBFF" w14:textId="77777777" w:rsidR="00F0096F" w:rsidRDefault="00F0096F" w:rsidP="00AE3B21">
      <w:r>
        <w:separator/>
      </w:r>
    </w:p>
  </w:footnote>
  <w:footnote w:type="continuationSeparator" w:id="0">
    <w:p w14:paraId="35D9FC1B" w14:textId="77777777" w:rsidR="00F0096F" w:rsidRDefault="00F0096F" w:rsidP="00AE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D363" w14:textId="7B2FDF19" w:rsidR="006D52F2" w:rsidRDefault="00BD7D6D" w:rsidP="00BD7D6D">
    <w:pPr>
      <w:pStyle w:val="Header"/>
      <w:jc w:val="center"/>
      <w:rPr>
        <w:sz w:val="24"/>
        <w:szCs w:val="24"/>
      </w:rPr>
    </w:pPr>
    <w:r w:rsidRPr="00BD7D6D">
      <w:rPr>
        <w:b/>
        <w:noProof/>
        <w:sz w:val="24"/>
        <w:szCs w:val="24"/>
      </w:rPr>
      <w:drawing>
        <wp:anchor distT="0" distB="0" distL="114300" distR="114300" simplePos="0" relativeHeight="251661312" behindDoc="0" locked="0" layoutInCell="1" allowOverlap="1" wp14:anchorId="7239E50B" wp14:editId="1C35EF5F">
          <wp:simplePos x="0" y="0"/>
          <wp:positionH relativeFrom="margin">
            <wp:align>center</wp:align>
          </wp:positionH>
          <wp:positionV relativeFrom="paragraph">
            <wp:posOffset>-408305</wp:posOffset>
          </wp:positionV>
          <wp:extent cx="2220685" cy="391968"/>
          <wp:effectExtent l="0" t="0" r="8255" b="8255"/>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685" cy="391968"/>
                  </a:xfrm>
                  <a:prstGeom prst="rect">
                    <a:avLst/>
                  </a:prstGeom>
                  <a:noFill/>
                </pic:spPr>
              </pic:pic>
            </a:graphicData>
          </a:graphic>
          <wp14:sizeRelH relativeFrom="page">
            <wp14:pctWidth>0</wp14:pctWidth>
          </wp14:sizeRelH>
          <wp14:sizeRelV relativeFrom="page">
            <wp14:pctHeight>0</wp14:pctHeight>
          </wp14:sizeRelV>
        </wp:anchor>
      </w:drawing>
    </w:r>
    <w:r w:rsidRPr="00BD7D6D">
      <w:rPr>
        <w:sz w:val="24"/>
        <w:szCs w:val="24"/>
      </w:rPr>
      <w:t xml:space="preserve">Risk Control Analysis – </w:t>
    </w:r>
    <w:r w:rsidR="005425D0">
      <w:rPr>
        <w:sz w:val="24"/>
        <w:szCs w:val="24"/>
      </w:rPr>
      <w:t>Benefits Production Access Review</w:t>
    </w:r>
    <w:r w:rsidRPr="00BD7D6D">
      <w:rPr>
        <w:sz w:val="24"/>
        <w:szCs w:val="24"/>
      </w:rPr>
      <w:t xml:space="preserve"> </w:t>
    </w:r>
    <w:r w:rsidR="005425D0">
      <w:rPr>
        <w:sz w:val="24"/>
        <w:szCs w:val="24"/>
      </w:rPr>
      <w:t>20335</w:t>
    </w:r>
    <w:r w:rsidRPr="00BD7D6D">
      <w:rPr>
        <w:sz w:val="24"/>
        <w:szCs w:val="24"/>
      </w:rPr>
      <w:t xml:space="preserve"> </w:t>
    </w:r>
    <w:r w:rsidR="005425D0">
      <w:rPr>
        <w:sz w:val="24"/>
        <w:szCs w:val="24"/>
      </w:rPr>
      <w:t>–</w:t>
    </w:r>
    <w:r w:rsidRPr="00BD7D6D">
      <w:rPr>
        <w:sz w:val="24"/>
        <w:szCs w:val="24"/>
      </w:rPr>
      <w:t xml:space="preserve"> </w:t>
    </w:r>
    <w:r w:rsidR="005425D0">
      <w:rPr>
        <w:sz w:val="24"/>
        <w:szCs w:val="24"/>
      </w:rPr>
      <w:t>2/22/2021</w:t>
    </w:r>
  </w:p>
  <w:p w14:paraId="59D4CC15" w14:textId="77777777" w:rsidR="00BD7D6D" w:rsidRPr="00BD7D6D" w:rsidRDefault="00BD7D6D" w:rsidP="00BD7D6D">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A7926"/>
    <w:multiLevelType w:val="hybridMultilevel"/>
    <w:tmpl w:val="D7322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94BAB"/>
    <w:multiLevelType w:val="multilevel"/>
    <w:tmpl w:val="4C1C666A"/>
    <w:lvl w:ilvl="0">
      <w:start w:val="1"/>
      <w:numFmt w:val="decimal"/>
      <w:lvlText w:val="%1"/>
      <w:lvlJc w:val="left"/>
      <w:pPr>
        <w:ind w:left="435" w:hanging="435"/>
      </w:pPr>
      <w:rPr>
        <w:rFonts w:hint="default"/>
      </w:rPr>
    </w:lvl>
    <w:lvl w:ilvl="1">
      <w:start w:val="1"/>
      <w:numFmt w:val="decimalZero"/>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AAA5E7D"/>
    <w:multiLevelType w:val="hybridMultilevel"/>
    <w:tmpl w:val="4F6C4E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kling, Grant">
    <w15:presenceInfo w15:providerId="AD" w15:userId="S-1-5-21-4258776639-1271169360-244890835-615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D16"/>
    <w:rsid w:val="000B0992"/>
    <w:rsid w:val="000C57BE"/>
    <w:rsid w:val="000D71C2"/>
    <w:rsid w:val="00131448"/>
    <w:rsid w:val="00141497"/>
    <w:rsid w:val="00185269"/>
    <w:rsid w:val="001A7168"/>
    <w:rsid w:val="001D03F7"/>
    <w:rsid w:val="00245099"/>
    <w:rsid w:val="002555A8"/>
    <w:rsid w:val="002873DD"/>
    <w:rsid w:val="00355FF1"/>
    <w:rsid w:val="00366A09"/>
    <w:rsid w:val="003D1633"/>
    <w:rsid w:val="003D33A6"/>
    <w:rsid w:val="003E086C"/>
    <w:rsid w:val="0045106C"/>
    <w:rsid w:val="004B586C"/>
    <w:rsid w:val="004F09AE"/>
    <w:rsid w:val="00524B98"/>
    <w:rsid w:val="005425D0"/>
    <w:rsid w:val="005D6985"/>
    <w:rsid w:val="00631A43"/>
    <w:rsid w:val="0065499C"/>
    <w:rsid w:val="00660BEF"/>
    <w:rsid w:val="006D52F2"/>
    <w:rsid w:val="007341FE"/>
    <w:rsid w:val="00770D5D"/>
    <w:rsid w:val="00774120"/>
    <w:rsid w:val="00777EB8"/>
    <w:rsid w:val="00847328"/>
    <w:rsid w:val="0098740D"/>
    <w:rsid w:val="0099304C"/>
    <w:rsid w:val="009C75A2"/>
    <w:rsid w:val="00A01DCD"/>
    <w:rsid w:val="00A05A0A"/>
    <w:rsid w:val="00A475FE"/>
    <w:rsid w:val="00AE3B21"/>
    <w:rsid w:val="00B95960"/>
    <w:rsid w:val="00BB3DEF"/>
    <w:rsid w:val="00BC1484"/>
    <w:rsid w:val="00BD7D6D"/>
    <w:rsid w:val="00C440A8"/>
    <w:rsid w:val="00C70E7E"/>
    <w:rsid w:val="00D80DAD"/>
    <w:rsid w:val="00E84869"/>
    <w:rsid w:val="00EB6862"/>
    <w:rsid w:val="00F0096F"/>
    <w:rsid w:val="00F6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40129"/>
  <w15:docId w15:val="{C7B557C2-8B73-4E50-A10B-A5C53556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2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2D16"/>
    <w:rPr>
      <w:sz w:val="16"/>
      <w:szCs w:val="16"/>
    </w:rPr>
  </w:style>
  <w:style w:type="paragraph" w:styleId="CommentText">
    <w:name w:val="annotation text"/>
    <w:basedOn w:val="Normal"/>
    <w:link w:val="CommentTextChar"/>
    <w:uiPriority w:val="99"/>
    <w:semiHidden/>
    <w:unhideWhenUsed/>
    <w:rsid w:val="00F62D16"/>
    <w:rPr>
      <w:sz w:val="20"/>
      <w:szCs w:val="20"/>
    </w:rPr>
  </w:style>
  <w:style w:type="character" w:customStyle="1" w:styleId="CommentTextChar">
    <w:name w:val="Comment Text Char"/>
    <w:basedOn w:val="DefaultParagraphFont"/>
    <w:link w:val="CommentText"/>
    <w:uiPriority w:val="99"/>
    <w:semiHidden/>
    <w:rsid w:val="00F62D16"/>
    <w:rPr>
      <w:sz w:val="20"/>
      <w:szCs w:val="20"/>
    </w:rPr>
  </w:style>
  <w:style w:type="paragraph" w:styleId="CommentSubject">
    <w:name w:val="annotation subject"/>
    <w:basedOn w:val="CommentText"/>
    <w:next w:val="CommentText"/>
    <w:link w:val="CommentSubjectChar"/>
    <w:uiPriority w:val="99"/>
    <w:semiHidden/>
    <w:unhideWhenUsed/>
    <w:rsid w:val="00F62D16"/>
    <w:rPr>
      <w:b/>
      <w:bCs/>
    </w:rPr>
  </w:style>
  <w:style w:type="character" w:customStyle="1" w:styleId="CommentSubjectChar">
    <w:name w:val="Comment Subject Char"/>
    <w:basedOn w:val="CommentTextChar"/>
    <w:link w:val="CommentSubject"/>
    <w:uiPriority w:val="99"/>
    <w:semiHidden/>
    <w:rsid w:val="00F62D16"/>
    <w:rPr>
      <w:b/>
      <w:bCs/>
      <w:sz w:val="20"/>
      <w:szCs w:val="20"/>
    </w:rPr>
  </w:style>
  <w:style w:type="paragraph" w:styleId="BalloonText">
    <w:name w:val="Balloon Text"/>
    <w:basedOn w:val="Normal"/>
    <w:link w:val="BalloonTextChar"/>
    <w:uiPriority w:val="99"/>
    <w:semiHidden/>
    <w:unhideWhenUsed/>
    <w:rsid w:val="00F62D16"/>
    <w:rPr>
      <w:rFonts w:ascii="Tahoma" w:hAnsi="Tahoma" w:cs="Tahoma"/>
      <w:sz w:val="16"/>
      <w:szCs w:val="16"/>
    </w:rPr>
  </w:style>
  <w:style w:type="character" w:customStyle="1" w:styleId="BalloonTextChar">
    <w:name w:val="Balloon Text Char"/>
    <w:basedOn w:val="DefaultParagraphFont"/>
    <w:link w:val="BalloonText"/>
    <w:uiPriority w:val="99"/>
    <w:semiHidden/>
    <w:rsid w:val="00F62D16"/>
    <w:rPr>
      <w:rFonts w:ascii="Tahoma" w:hAnsi="Tahoma" w:cs="Tahoma"/>
      <w:sz w:val="16"/>
      <w:szCs w:val="16"/>
    </w:rPr>
  </w:style>
  <w:style w:type="paragraph" w:styleId="ListParagraph">
    <w:name w:val="List Paragraph"/>
    <w:basedOn w:val="Normal"/>
    <w:uiPriority w:val="34"/>
    <w:qFormat/>
    <w:rsid w:val="00777EB8"/>
    <w:pPr>
      <w:ind w:left="720"/>
      <w:contextualSpacing/>
    </w:pPr>
  </w:style>
  <w:style w:type="character" w:styleId="Hyperlink">
    <w:name w:val="Hyperlink"/>
    <w:basedOn w:val="DefaultParagraphFont"/>
    <w:uiPriority w:val="99"/>
    <w:unhideWhenUsed/>
    <w:rsid w:val="000D71C2"/>
    <w:rPr>
      <w:color w:val="0000FF" w:themeColor="hyperlink"/>
      <w:u w:val="single"/>
    </w:rPr>
  </w:style>
  <w:style w:type="character" w:styleId="FollowedHyperlink">
    <w:name w:val="FollowedHyperlink"/>
    <w:basedOn w:val="DefaultParagraphFont"/>
    <w:uiPriority w:val="99"/>
    <w:semiHidden/>
    <w:unhideWhenUsed/>
    <w:rsid w:val="000D71C2"/>
    <w:rPr>
      <w:color w:val="800080" w:themeColor="followedHyperlink"/>
      <w:u w:val="single"/>
    </w:rPr>
  </w:style>
  <w:style w:type="paragraph" w:styleId="EndnoteText">
    <w:name w:val="endnote text"/>
    <w:basedOn w:val="Normal"/>
    <w:link w:val="EndnoteTextChar"/>
    <w:uiPriority w:val="99"/>
    <w:semiHidden/>
    <w:unhideWhenUsed/>
    <w:rsid w:val="00AE3B21"/>
    <w:rPr>
      <w:sz w:val="20"/>
      <w:szCs w:val="20"/>
    </w:rPr>
  </w:style>
  <w:style w:type="character" w:customStyle="1" w:styleId="EndnoteTextChar">
    <w:name w:val="Endnote Text Char"/>
    <w:basedOn w:val="DefaultParagraphFont"/>
    <w:link w:val="EndnoteText"/>
    <w:uiPriority w:val="99"/>
    <w:semiHidden/>
    <w:rsid w:val="00AE3B21"/>
    <w:rPr>
      <w:sz w:val="20"/>
      <w:szCs w:val="20"/>
    </w:rPr>
  </w:style>
  <w:style w:type="character" w:styleId="EndnoteReference">
    <w:name w:val="endnote reference"/>
    <w:basedOn w:val="DefaultParagraphFont"/>
    <w:uiPriority w:val="99"/>
    <w:semiHidden/>
    <w:unhideWhenUsed/>
    <w:rsid w:val="00AE3B21"/>
    <w:rPr>
      <w:vertAlign w:val="superscript"/>
    </w:rPr>
  </w:style>
  <w:style w:type="paragraph" w:styleId="Header">
    <w:name w:val="header"/>
    <w:basedOn w:val="Normal"/>
    <w:link w:val="HeaderChar"/>
    <w:uiPriority w:val="99"/>
    <w:unhideWhenUsed/>
    <w:rsid w:val="00B95960"/>
    <w:pPr>
      <w:tabs>
        <w:tab w:val="center" w:pos="4680"/>
        <w:tab w:val="right" w:pos="9360"/>
      </w:tabs>
    </w:pPr>
  </w:style>
  <w:style w:type="character" w:customStyle="1" w:styleId="HeaderChar">
    <w:name w:val="Header Char"/>
    <w:basedOn w:val="DefaultParagraphFont"/>
    <w:link w:val="Header"/>
    <w:uiPriority w:val="99"/>
    <w:rsid w:val="00B95960"/>
  </w:style>
  <w:style w:type="paragraph" w:styleId="Footer">
    <w:name w:val="footer"/>
    <w:basedOn w:val="Normal"/>
    <w:link w:val="FooterChar"/>
    <w:uiPriority w:val="99"/>
    <w:unhideWhenUsed/>
    <w:rsid w:val="00B95960"/>
    <w:pPr>
      <w:tabs>
        <w:tab w:val="center" w:pos="4680"/>
        <w:tab w:val="right" w:pos="9360"/>
      </w:tabs>
    </w:pPr>
  </w:style>
  <w:style w:type="character" w:customStyle="1" w:styleId="FooterChar">
    <w:name w:val="Footer Char"/>
    <w:basedOn w:val="DefaultParagraphFont"/>
    <w:link w:val="Footer"/>
    <w:uiPriority w:val="99"/>
    <w:rsid w:val="00B9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7755">
      <w:bodyDiv w:val="1"/>
      <w:marLeft w:val="0"/>
      <w:marRight w:val="0"/>
      <w:marTop w:val="0"/>
      <w:marBottom w:val="0"/>
      <w:divBdr>
        <w:top w:val="none" w:sz="0" w:space="0" w:color="auto"/>
        <w:left w:val="none" w:sz="0" w:space="0" w:color="auto"/>
        <w:bottom w:val="none" w:sz="0" w:space="0" w:color="auto"/>
        <w:right w:val="none" w:sz="0" w:space="0" w:color="auto"/>
      </w:divBdr>
    </w:div>
    <w:div w:id="115106483">
      <w:bodyDiv w:val="1"/>
      <w:marLeft w:val="0"/>
      <w:marRight w:val="0"/>
      <w:marTop w:val="0"/>
      <w:marBottom w:val="0"/>
      <w:divBdr>
        <w:top w:val="none" w:sz="0" w:space="0" w:color="auto"/>
        <w:left w:val="none" w:sz="0" w:space="0" w:color="auto"/>
        <w:bottom w:val="none" w:sz="0" w:space="0" w:color="auto"/>
        <w:right w:val="none" w:sz="0" w:space="0" w:color="auto"/>
      </w:divBdr>
    </w:div>
    <w:div w:id="380055269">
      <w:bodyDiv w:val="1"/>
      <w:marLeft w:val="0"/>
      <w:marRight w:val="0"/>
      <w:marTop w:val="0"/>
      <w:marBottom w:val="0"/>
      <w:divBdr>
        <w:top w:val="none" w:sz="0" w:space="0" w:color="auto"/>
        <w:left w:val="none" w:sz="0" w:space="0" w:color="auto"/>
        <w:bottom w:val="none" w:sz="0" w:space="0" w:color="auto"/>
        <w:right w:val="none" w:sz="0" w:space="0" w:color="auto"/>
      </w:divBdr>
    </w:div>
    <w:div w:id="16672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5483B-E0F2-4489-B4C2-5F1BEE260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E555510-8F62-4D70-A4E5-7836ED685A60}">
  <ds:schemaRefs>
    <ds:schemaRef ds:uri="http://schemas.microsoft.com/sharepoint/v3/contenttype/forms"/>
  </ds:schemaRefs>
</ds:datastoreItem>
</file>

<file path=customXml/itemProps3.xml><?xml version="1.0" encoding="utf-8"?>
<ds:datastoreItem xmlns:ds="http://schemas.openxmlformats.org/officeDocument/2006/customXml" ds:itemID="{1408C82B-78C2-4354-8468-566AF56546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CA19F4-8C97-4245-A363-E5D6181C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1812</Characters>
  <Application>Microsoft Office Word</Application>
  <DocSecurity>0</DocSecurity>
  <Lines>86</Lines>
  <Paragraphs>53</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Pickett</dc:creator>
  <cp:lastModifiedBy>Oluwaseyi</cp:lastModifiedBy>
  <cp:revision>3</cp:revision>
  <cp:lastPrinted>2018-02-14T20:53:00Z</cp:lastPrinted>
  <dcterms:created xsi:type="dcterms:W3CDTF">2021-02-22T18:48:00Z</dcterms:created>
  <dcterms:modified xsi:type="dcterms:W3CDTF">2021-02-22T18:50:00Z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0x0101000040EFD6DBADE444A4870A85480A4913</vt:lpwstr>
  </property>
  <property fmtid="{D5CDD505-2E9C-101B-9397-08002B2CF9AE}" pid="3" name="MSIP_Label_67599526-06ca-49cc-9fa9-5307800a949a_Enabled">
    <vt:lpwstr>True</vt:lpwstr>
  </property>
  <property fmtid="{D5CDD505-2E9C-101B-9397-08002B2CF9AE}" pid="4" name="MSIP_Label_67599526-06ca-49cc-9fa9-5307800a949a_SiteId">
    <vt:lpwstr>fabb61b8-3afe-4e75-b934-a47f782b8cd7</vt:lpwstr>
  </property>
  <property fmtid="{D5CDD505-2E9C-101B-9397-08002B2CF9AE}" pid="5" name="MSIP_Label_67599526-06ca-49cc-9fa9-5307800a949a_Owner">
    <vt:lpwstr>ChaplinskyT@aetna.com</vt:lpwstr>
  </property>
  <property fmtid="{D5CDD505-2E9C-101B-9397-08002B2CF9AE}" pid="6" name="MSIP_Label_67599526-06ca-49cc-9fa9-5307800a949a_SetDate">
    <vt:lpwstr>2019-07-22T22:04:29.3089481Z</vt:lpwstr>
  </property>
  <property fmtid="{D5CDD505-2E9C-101B-9397-08002B2CF9AE}" pid="7" name="MSIP_Label_67599526-06ca-49cc-9fa9-5307800a949a_Name">
    <vt:lpwstr>Proprietary</vt:lpwstr>
  </property>
  <property fmtid="{D5CDD505-2E9C-101B-9397-08002B2CF9AE}" pid="8" name="MSIP_Label_67599526-06ca-49cc-9fa9-5307800a949a_Application">
    <vt:lpwstr>Microsoft Azure Information Protection</vt:lpwstr>
  </property>
  <property fmtid="{D5CDD505-2E9C-101B-9397-08002B2CF9AE}" pid="9" name="MSIP_Label_67599526-06ca-49cc-9fa9-5307800a949a_ActionId">
    <vt:lpwstr>b828b188-3759-43f9-aebb-d6ce6a79174d</vt:lpwstr>
  </property>
  <property fmtid="{D5CDD505-2E9C-101B-9397-08002B2CF9AE}" pid="10" name="MSIP_Label_67599526-06ca-49cc-9fa9-5307800a949a_Extended_MSFT_Method">
    <vt:lpwstr>Automatic</vt:lpwstr>
  </property>
  <property fmtid="{D5CDD505-2E9C-101B-9397-08002B2CF9AE}" pid="11" name="Sensitivity">
    <vt:lpwstr>Proprietary</vt:lpwstr>
  </property>
</Properties>
</file>