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0000" w:rsidRDefault="0036678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Governance Walkthrough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Thursday, June 24, 2021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3:29 PM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Attendees: Seun Mafi, Jason Nazare, Moriah Striegel, Saicharan Sirangi, Sol Vazquez, Saurabh </w:t>
      </w:r>
      <w:r>
        <w:rPr>
          <w:rFonts w:ascii="Calibri" w:hAnsi="Calibri" w:cs="Calibri"/>
          <w:sz w:val="22"/>
          <w:szCs w:val="22"/>
        </w:rPr>
        <w:t xml:space="preserve">Dilip Saxena, Raymond Cloutier, Oliva Lawson, Matthew Colville, Tyrell Jarett,  Sonal Jain, Yogesh, Shinde, Aerozona Obiadazie.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AGENDA: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Jason: Go over Data governance piece, and how CDR is involved, who the key stakeholders are, and how request are tr</w:t>
      </w:r>
      <w:r>
        <w:rPr>
          <w:rFonts w:ascii="Calibri" w:hAnsi="Calibri" w:cs="Calibri"/>
          <w:b/>
          <w:bCs/>
          <w:sz w:val="22"/>
          <w:szCs w:val="22"/>
        </w:rPr>
        <w:t xml:space="preserve">acked.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Raymond:</w:t>
      </w:r>
      <w:r>
        <w:rPr>
          <w:rFonts w:ascii="Calibri" w:hAnsi="Calibri" w:cs="Calibri"/>
          <w:sz w:val="22"/>
          <w:szCs w:val="22"/>
        </w:rPr>
        <w:t xml:space="preserve"> For every release, we create a governance model. We capture the consumer data sources, data use polices, consent, and the gaps that exist in our framework.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What are they using the data for?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86350" cy="4438650"/>
            <wp:effectExtent l="0" t="0" r="0" b="0"/>
            <wp:docPr id="1" name="Picture 1" descr="Machine generated alternative text:&#10;klinical Domain Centric Governance Model &#10;Release 2. I &#10;Overview &#10;Thus document describes the data governance framework in place today which Will be used to &#10;data use policies for release 2.1 for: &#10;HAL Health Dashboard &#10;1. Capture Consumers use Case and Data Requirements &#10;HAL Health Dashboard — to enable viewing of immunization records. Details &#10;regarding this &#10;se and &#10;o Hal Case O uerview &#10;As we mature our consumer onboarding process, we will develop a form which enables &#10;cu&quot;entlw spread documents in the above link. The form &#10;capturing and storing Of details &#10;will include (but not limited to) the following items: &#10;Consumer Data Needs &#10;Historic Data requirements and sources &#10;PHIR &#10;Patient Consent Enforcement &#10;Access Method (API/ analytics) &#10;Access Frequency &#10;SLA &#10;2. New Data Source Ingest &#10;Data ingestion is handled by the EDP — CDR team. &#10;There is a standard form for on premise data ingestion request which should be used for new data &#10;Source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klinical Domain Centric Governance Model &#10;Release 2. I &#10;Overview &#10;Thus document describes the data governance framework in place today which Will be used to &#10;data use policies for release 2.1 for: &#10;HAL Health Dashboard &#10;1. Capture Consumers use Case and Data Requirements &#10;HAL Health Dashboard — to enable viewing of immunization records. Details &#10;regarding this &#10;se and &#10;o Hal Case O uerview &#10;As we mature our consumer onboarding process, we will develop a form which enables &#10;cu&quot;entlw spread documents in the above link. The form &#10;capturing and storing Of details &#10;will include (but not limited to) the following items: &#10;Consumer Data Needs &#10;Historic Data requirements and sources &#10;PHIR &#10;Patient Consent Enforcement &#10;Access Method (API/ analytics) &#10;Access Frequency &#10;SLA &#10;2. New Data Source Ingest &#10;Data ingestion is handled by the EDP — CDR team. &#10;There is a standard form for on premise data ingestion request which should be used for new data &#10;Sources.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we are looking for include: Immunization, COVID Lab etc.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Jason: Do we fill out th</w:t>
      </w:r>
      <w:r>
        <w:rPr>
          <w:rFonts w:ascii="Calibri" w:hAnsi="Calibri" w:cs="Calibri"/>
          <w:b/>
          <w:bCs/>
          <w:sz w:val="22"/>
          <w:szCs w:val="22"/>
        </w:rPr>
        <w:t>e information or the consumer does?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Raymond: We do.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snapshot of what the patient will see when they register.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10025" cy="4476750"/>
            <wp:effectExtent l="0" t="0" r="9525" b="0"/>
            <wp:docPr id="2" name="Picture 2" descr="Machine generated alternative text:&#10;Can &#10;pa S' West. RI &#10;City. SWe &#10;City, &#10;OIV • 19 &#10;06-20 t 9 &#10;PASTEUR &#10;B.072020 &#10;City. Sw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Can &#10;pa S' West. RI &#10;City. SWe &#10;City, &#10;OIV • 19 &#10;06-20 t 9 &#10;PASTEUR &#10;B.072020 &#10;City. SwO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Use case: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8553450" cy="4867275"/>
            <wp:effectExtent l="0" t="0" r="0" b="9525"/>
            <wp:docPr id="3" name="Picture 3" descr="Machine generated alternative text:&#10;HEALTH FOR &#10;Vision: Ongoing Care and Support &#10;Evolving into a 360 view of the consumer, creating a lifetime relationship with consumers through compelling, &#10;Illustrative &#10;personalized digital health experiences &#10;snaring a 360 view or tne consumers realm record &#10;Managing tor tne tamity &#10;Bring them along &#10;28 &#10;Making the health record actionable &#10;SVOS to &#10;*CVSHea1th. &#10;Note: Illustrative concepts pendi•g legal'brand input In all scenarios, the customer would have the option &#10;to control their account, any sharin$caregiver geferences, and all clinical and Othel inform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HEALTH FOR &#10;Vision: Ongoing Care and Support &#10;Evolving into a 360 view of the consumer, creating a lifetime relationship with consumers through compelling, &#10;Illustrative &#10;personalized digital health experiences &#10;snaring a 360 view or tne consumers realm record &#10;Managing tor tne tamity &#10;Bring them along &#10;28 &#10;Making the health record actionable &#10;SVOS to &#10;*CVSHea1th. &#10;Note: Illustrative concepts pendi•g legal'brand input In all scenarios, the customer would have the option &#10;to control their account, any sharin$caregiver geferences, and all clinical and Othel information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Ray:</w:t>
      </w:r>
      <w:r>
        <w:rPr>
          <w:rFonts w:ascii="Calibri" w:hAnsi="Calibri" w:cs="Calibri"/>
          <w:sz w:val="22"/>
          <w:szCs w:val="22"/>
        </w:rPr>
        <w:t xml:space="preserve"> We also capture information they (patient) need for data that meets their need. We map our data from the data sources to where the data is stor</w:t>
      </w:r>
      <w:r>
        <w:rPr>
          <w:rFonts w:ascii="Calibri" w:hAnsi="Calibri" w:cs="Calibri"/>
          <w:sz w:val="22"/>
          <w:szCs w:val="22"/>
        </w:rPr>
        <w:t xml:space="preserve">ed. We talk about the file attributes and where the data came from. We track from source to target.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620125" cy="3086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Currently they </w:t>
      </w:r>
      <w:r>
        <w:rPr>
          <w:rFonts w:ascii="Calibri" w:hAnsi="Calibri" w:cs="Calibri"/>
          <w:sz w:val="22"/>
          <w:szCs w:val="22"/>
        </w:rPr>
        <w:t xml:space="preserve">(Patients) are able to access immunization data from RXConnect.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Ray:</w:t>
      </w:r>
      <w:r>
        <w:rPr>
          <w:rFonts w:ascii="Calibri" w:hAnsi="Calibri" w:cs="Calibri"/>
          <w:sz w:val="22"/>
          <w:szCs w:val="22"/>
        </w:rPr>
        <w:t xml:space="preserve"> We are currently mapping immunization data. The CIAR will call out the other data. In the future, they (Patients) will get medication data as well.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Jason: Is there a defined time?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</w:t>
      </w:r>
      <w:r>
        <w:rPr>
          <w:rFonts w:ascii="Calibri" w:hAnsi="Calibri" w:cs="Calibri"/>
          <w:b/>
          <w:bCs/>
          <w:sz w:val="22"/>
          <w:szCs w:val="22"/>
        </w:rPr>
        <w:t>ay</w:t>
      </w:r>
      <w:r>
        <w:rPr>
          <w:rFonts w:ascii="Calibri" w:hAnsi="Calibri" w:cs="Calibri"/>
          <w:sz w:val="22"/>
          <w:szCs w:val="22"/>
        </w:rPr>
        <w:t xml:space="preserve">: Any consumer who wants to use data from CDR must complete a CIAR which is approved by Legal and compliance. Once approved, the lifespan of the CIAR is one year.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Jason: Additional time?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Ray:</w:t>
      </w:r>
      <w:r>
        <w:rPr>
          <w:rFonts w:ascii="Calibri" w:hAnsi="Calibri" w:cs="Calibri"/>
          <w:sz w:val="22"/>
          <w:szCs w:val="22"/>
        </w:rPr>
        <w:t xml:space="preserve"> They can extend for one year I believe.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Ray:</w:t>
      </w:r>
      <w:r>
        <w:rPr>
          <w:rFonts w:ascii="Calibri" w:hAnsi="Calibri" w:cs="Calibri"/>
          <w:sz w:val="22"/>
          <w:szCs w:val="22"/>
        </w:rPr>
        <w:t xml:space="preserve"> Here is what CI</w:t>
      </w:r>
      <w:r>
        <w:rPr>
          <w:rFonts w:ascii="Calibri" w:hAnsi="Calibri" w:cs="Calibri"/>
          <w:sz w:val="22"/>
          <w:szCs w:val="22"/>
        </w:rPr>
        <w:t xml:space="preserve">AR looks like. (See document) Will be provided in Auditboard.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Jason: Is there a specific person that approves the data?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Yogesh:</w:t>
      </w:r>
      <w:r>
        <w:rPr>
          <w:rFonts w:ascii="Calibri" w:hAnsi="Calibri" w:cs="Calibri"/>
          <w:sz w:val="22"/>
          <w:szCs w:val="22"/>
        </w:rPr>
        <w:t xml:space="preserve"> That is handled by the data governance team. They will review and approve.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Jason: Since the scope here is clinical data, i</w:t>
      </w:r>
      <w:r>
        <w:rPr>
          <w:rFonts w:ascii="Calibri" w:hAnsi="Calibri" w:cs="Calibri"/>
          <w:b/>
          <w:bCs/>
          <w:sz w:val="22"/>
          <w:szCs w:val="22"/>
        </w:rPr>
        <w:t>t is coming through a single metric?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Ray</w:t>
      </w:r>
      <w:r>
        <w:rPr>
          <w:rFonts w:ascii="Calibri" w:hAnsi="Calibri" w:cs="Calibri"/>
          <w:sz w:val="22"/>
          <w:szCs w:val="22"/>
        </w:rPr>
        <w:t xml:space="preserve">: After the CIAR is approved, comes back, then we write the data policy, make sure it is what we are asking for.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Jason: Read somewhere there is plans of migrating to Archer?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Ray</w:t>
      </w:r>
      <w:r>
        <w:rPr>
          <w:rFonts w:ascii="Calibri" w:hAnsi="Calibri" w:cs="Calibri"/>
          <w:sz w:val="22"/>
          <w:szCs w:val="22"/>
        </w:rPr>
        <w:t>: Yes. We don't have a timeframe. We</w:t>
      </w:r>
      <w:r>
        <w:rPr>
          <w:rFonts w:ascii="Calibri" w:hAnsi="Calibri" w:cs="Calibri"/>
          <w:sz w:val="22"/>
          <w:szCs w:val="22"/>
        </w:rPr>
        <w:t xml:space="preserve"> can get back to you if its required information.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Ray:</w:t>
      </w:r>
      <w:r>
        <w:rPr>
          <w:rFonts w:ascii="Calibri" w:hAnsi="Calibri" w:cs="Calibri"/>
          <w:sz w:val="22"/>
          <w:szCs w:val="22"/>
        </w:rPr>
        <w:t xml:space="preserve"> Here is the data use policy we approved.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087225" cy="4762500"/>
            <wp:effectExtent l="0" t="0" r="9525" b="0"/>
            <wp:docPr id="5" name="Picture 5" descr="Machine generated alternative text:&#10;Digital - Hælth for Life &#10;Policy (e.g. Restricted Data Source, Restricted Data Fields. Restricted Data &#10;Timeframe) &#10;Data &#10;Policy ID &#10;Source &#10;1429042 Archer &#10;1429042 Archer &#10;1429042 Archer &#10;14290Z2 Archer &#10;1.1290Z2 Archer &#10;1429042 Archer &#10;1429042 Archer &#10;14290.2 Archer &#10;1429042 Archer &#10;Status &#10;Active &#10;Active &#10;Active &#10;Active &#10;Active &#10;Active &#10;Active &#10;Active &#10;Active &#10;Digital - Health for Life &#10;Digital - Health for Life &#10;Digital - Health for Life &#10;- Health for Life &#10;Digital - Health for Life &#10;Digital - Health for Life &#10;Digital &#10;- Health for Life &#10;Digital - Health for Life &#10;Digital &#10;- Health for Life &#10;Restricted Access &#10;sed on CIAR Expiration Date &#10;Restricted Access Based on Purpose of Use &#10;Restricted Access Based on Data Source (Provenance Resource) &#10;Restricted Access on Data Source (Provenance Resource) &#10;Restricted Access on Data Type (FHIR Resource) &#10;Restricted Access on Data Type (FHIR Resource) &#10;Restricted Access Based on Data Type (FHIR Resource) &#10;Restricted Access Based Data Fields - TED - pending input &#10;Restricted Access Based on Data Timeframe &#10;is permited ACCESS to CDR for RxConnect EPIC MinuteClinic Immunization and Mediaticms &#10;based on the expiration date of the CIAR (Expiration Oate of CIAR Approval 12/22/2022) &#10;HAL is restricted access to data where the purpose of use Treatment &#10;HdL is restricted to receiving data from RxCOnnect (CVS/Phgrmaey Data) thriNgh CDR. (Note: HIL &#10;collects patent consent to grant access to RxConnect data) &#10;H4L is restricted to receiving data from EPIC (MinuteCIinic Data) through CDR. (Note: H4L collects &#10;_oetient consent to 8rant accss to EPIC &#10;is restricted to the Patent resource &#10;is restricted to the Immunization &#10;HAL is restricted to the Lab resource &#10;is restricted to the lib data detailed in the &quot;HAL permitted Lab Data Fields' tab &#10;HAL is restricted to a rolling S years of RxConnect immunization data (e.g. 7/15/2016 - 7/15/2021) &#10;Cuer Page Data use Policy H4L Consent rules &#10;H4L Permitted Imz Data Fields &#10;H4L Permitted Lab Data Fiel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Digital - Hælth for Life &#10;Policy (e.g. Restricted Data Source, Restricted Data Fields. Restricted Data &#10;Timeframe) &#10;Data &#10;Policy ID &#10;Source &#10;1429042 Archer &#10;1429042 Archer &#10;1429042 Archer &#10;14290Z2 Archer &#10;1.1290Z2 Archer &#10;1429042 Archer &#10;1429042 Archer &#10;14290.2 Archer &#10;1429042 Archer &#10;Status &#10;Active &#10;Active &#10;Active &#10;Active &#10;Active &#10;Active &#10;Active &#10;Active &#10;Active &#10;Digital - Health for Life &#10;Digital - Health for Life &#10;Digital - Health for Life &#10;- Health for Life &#10;Digital - Health for Life &#10;Digital - Health for Life &#10;Digital &#10;- Health for Life &#10;Digital - Health for Life &#10;Digital &#10;- Health for Life &#10;Restricted Access &#10;sed on CIAR Expiration Date &#10;Restricted Access Based on Purpose of Use &#10;Restricted Access Based on Data Source (Provenance Resource) &#10;Restricted Access on Data Source (Provenance Resource) &#10;Restricted Access on Data Type (FHIR Resource) &#10;Restricted Access on Data Type (FHIR Resource) &#10;Restricted Access Based on Data Type (FHIR Resource) &#10;Restricted Access Based Data Fields - TED - pending input &#10;Restricted Access Based on Data Timeframe &#10;is permited ACCESS to CDR for RxConnect EPIC MinuteClinic Immunization and Mediaticms &#10;based on the expiration date of the CIAR (Expiration Oate of CIAR Approval 12/22/2022) &#10;HAL is restricted access to data where the purpose of use Treatment &#10;HdL is restricted to receiving data from RxCOnnect (CVS/Phgrmaey Data) thriNgh CDR. (Note: HIL &#10;collects patent consent to grant access to RxConnect data) &#10;H4L is restricted to receiving data from EPIC (MinuteCIinic Data) through CDR. (Note: H4L collects &#10;_oetient consent to 8rant accss to EPIC &#10;is restricted to the Patent resource &#10;is restricted to the Immunization &#10;HAL is restricted to the Lab resource &#10;is restricted to the lib data detailed in the &quot;HAL permitted Lab Data Fields' tab &#10;HAL is restricted to a rolling S years of RxConnect immunization data (e.g. 7/15/2016 - 7/15/2021) &#10;Cuer Page Data use Policy H4L Consent rules &#10;H4L Permitted Imz Data Fields &#10;H4L Permitted Lab Data Fields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2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They can only utilize data that has a treatment source. If a patient does not give consent, they cannot provide information. We have other consumers coming onboard that do not require </w:t>
      </w:r>
      <w:r>
        <w:rPr>
          <w:rFonts w:ascii="Calibri" w:hAnsi="Calibri" w:cs="Calibri"/>
          <w:sz w:val="22"/>
          <w:szCs w:val="22"/>
        </w:rPr>
        <w:t xml:space="preserve">consent. We are only entitled to share consented data. 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get two types of consent. PHI, and we get opt out (Don't share my data for any purpose). We blend in the health 4 life.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only time we don't share data is when help4life has not gotten cons</w:t>
      </w:r>
      <w:r>
        <w:rPr>
          <w:rFonts w:ascii="Calibri" w:hAnsi="Calibri" w:cs="Calibri"/>
          <w:sz w:val="22"/>
          <w:szCs w:val="22"/>
        </w:rPr>
        <w:t xml:space="preserve">ent.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162675" cy="2705100"/>
            <wp:effectExtent l="0" t="0" r="9525" b="0"/>
            <wp:docPr id="6" name="Picture 6" descr="Machine generated alternative text:&#10;HAL PHI disclosure &#10;CE opt in/out &#10;Out &#10;S out &#10;6 out &#10;(EPIC) PHI disclosure &#10;(EPIC) &#10;H4L PHI disclosure &#10;COR must share data &#10;CDR must not share date &#10;CDR must share data &#10;CDR must &#10;E_ COR must share data &#10;CDR must NOT shire data &#10;The PHI disclosure supercedes the EPIC CE opt th EPIC PHI disclosure and hart correction fVg_ &#10;1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HAL PHI disclosure &#10;CE opt in/out &#10;Out &#10;S out &#10;6 out &#10;(EPIC) PHI disclosure &#10;(EPIC) &#10;H4L PHI disclosure &#10;COR must share data &#10;CDR must not share date &#10;CDR must share data &#10;CDR must &#10;E_ COR must share data &#10;CDR must NOT shire data &#10;The PHI disclosure supercedes the EPIC CE opt th EPIC PHI disclosure and hart correction fVg_ &#10;14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are partnering with CCE for future use case.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Bryan: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258175" cy="3095625"/>
            <wp:effectExtent l="0" t="0" r="9525" b="9525"/>
            <wp:docPr id="7" name="Picture 7" descr="Machine generated alternative text:&#10;'h &#10;COR-os-Oöo &#10;COR-os-003 EPIC &#10;onent &#10;d stA &#10;Patna or ovidgrs &#10;data) &#10;Legal and Contractual &#10;WA (m BÅtCh &#10;trans tom ec &#10;I tm GCS. &#10;intecrated &#10;F stveJ &#10;Epic Sensitive Codes &#10;eMaae'e•ne Menappan@CVSHeannc &#10;- MA-tin. ra &#10;Read Me &#10;Data Sources &#10;EPIC care &#10;Consumers &#10;Meta Data &#10;Caremark Sensitive Drug List &#10;P' MA Legislation Sensitive ICDIO Procedur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'h &#10;COR-os-Oöo &#10;COR-os-003 EPIC &#10;onent &#10;d stA &#10;Patna or ovidgrs &#10;data) &#10;Legal and Contractual &#10;WA (m BÅtCh &#10;trans tom ec &#10;I tm GCS. &#10;intecrated &#10;F stveJ &#10;Epic Sensitive Codes &#10;eMaae'e•ne Menappan@CVSHeannc &#10;- MA-tin. ra &#10;Read Me &#10;Data Sources &#10;EPIC care &#10;Consumers &#10;Meta Data &#10;Caremark Sensitive Drug List &#10;P' MA Legislation Sensitive ICDIO Procedure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are building a data store and this info will be removed from Excel.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capture statistics around the timefra</w:t>
      </w:r>
      <w:r>
        <w:rPr>
          <w:rFonts w:ascii="Calibri" w:hAnsi="Calibri" w:cs="Calibri"/>
          <w:sz w:val="22"/>
          <w:szCs w:val="22"/>
        </w:rPr>
        <w:t xml:space="preserve">me and the various loads.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Jason: Are you doing this manual process or someone else is doing it?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Ray</w:t>
      </w:r>
      <w:r>
        <w:rPr>
          <w:rFonts w:ascii="Calibri" w:hAnsi="Calibri" w:cs="Calibri"/>
          <w:sz w:val="22"/>
          <w:szCs w:val="22"/>
        </w:rPr>
        <w:t xml:space="preserve">: I'm not doing it, but team members are doing it.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Jason: The profiling is doing initially to set up the quality rules.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Yogesh: When it goes into prod</w:t>
      </w:r>
      <w:r>
        <w:rPr>
          <w:rFonts w:ascii="Calibri" w:hAnsi="Calibri" w:cs="Calibri"/>
          <w:sz w:val="22"/>
          <w:szCs w:val="22"/>
        </w:rPr>
        <w:t xml:space="preserve">uction live, it is monitored. Possible test cases are done before. Files get placed in the landing zone then it is moved.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EDP team and their framework lands data in our GCP landing bracket.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Gaps in the framework</w:t>
      </w:r>
      <w:r>
        <w:rPr>
          <w:rFonts w:ascii="Calibri" w:hAnsi="Calibri" w:cs="Calibri"/>
          <w:sz w:val="22"/>
          <w:szCs w:val="22"/>
        </w:rPr>
        <w:t xml:space="preserve"> - We can schedule a different time to </w:t>
      </w:r>
      <w:r>
        <w:rPr>
          <w:rFonts w:ascii="Calibri" w:hAnsi="Calibri" w:cs="Calibri"/>
          <w:sz w:val="22"/>
          <w:szCs w:val="22"/>
        </w:rPr>
        <w:t xml:space="preserve">go over this information. 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36678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783"/>
    <w:rsid w:val="0036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FA353C-4460-4AB0-ADA2-320C8A813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578</Words>
  <Characters>2729</Characters>
  <Application>Microsoft Office Word</Application>
  <DocSecurity>0</DocSecurity>
  <Lines>91</Lines>
  <Paragraphs>41</Paragraphs>
  <ScaleCrop>false</ScaleCrop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Mafi, oluwaseyi E</dc:creator>
  <cp:keywords/>
  <dc:description/>
  <cp:lastModifiedBy>Mafi, oluwaseyi E</cp:lastModifiedBy>
  <cp:revision>2</cp:revision>
  <dcterms:created xsi:type="dcterms:W3CDTF">2021-06-24T21:54:00Z</dcterms:created>
  <dcterms:modified xsi:type="dcterms:W3CDTF">2021-06-24T21:54:00Z</dcterms:modified>
</cp:coreProperties>
</file>