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314E2" w14:textId="77777777" w:rsidR="002909A0" w:rsidRDefault="005D655C" w:rsidP="00420F44">
      <w:pPr>
        <w:autoSpaceDE w:val="0"/>
        <w:autoSpaceDN w:val="0"/>
        <w:adjustRightInd w:val="0"/>
        <w:spacing w:after="0" w:line="240" w:lineRule="auto"/>
        <w:ind w:left="2505" w:hanging="2505"/>
      </w:pPr>
      <w:r>
        <w:rPr>
          <w:b/>
        </w:rPr>
        <w:t xml:space="preserve">Board </w:t>
      </w:r>
      <w:r w:rsidR="002909A0" w:rsidRPr="002909A0">
        <w:rPr>
          <w:b/>
        </w:rPr>
        <w:t>Strategy:</w:t>
      </w:r>
      <w:r w:rsidR="003711A9">
        <w:tab/>
      </w:r>
      <w:r w:rsidR="00420F44" w:rsidRPr="004C2D72">
        <w:t xml:space="preserve">Audit the governance processes and key controls used to assess and </w:t>
      </w:r>
      <w:r w:rsidR="00420F44">
        <w:t xml:space="preserve">   </w:t>
      </w:r>
      <w:r w:rsidR="00420F44" w:rsidRPr="004C1BA7">
        <w:t>mitigate third-party IT security risk including (1) third-party security risk assessment, (2) security issue identification and remediation, (3) third-party onsite security</w:t>
      </w:r>
      <w:r w:rsidR="00420F44" w:rsidRPr="004C2D72">
        <w:t xml:space="preserve"> reviews.</w:t>
      </w:r>
    </w:p>
    <w:p w14:paraId="0FA507C8" w14:textId="77777777" w:rsidR="00420F44" w:rsidRPr="003711A9" w:rsidRDefault="00420F44" w:rsidP="00420F44">
      <w:pPr>
        <w:autoSpaceDE w:val="0"/>
        <w:autoSpaceDN w:val="0"/>
        <w:adjustRightInd w:val="0"/>
        <w:spacing w:after="0" w:line="240" w:lineRule="auto"/>
        <w:ind w:left="2505" w:hanging="2505"/>
      </w:pPr>
    </w:p>
    <w:p w14:paraId="492849CA" w14:textId="77777777" w:rsidR="00420F44" w:rsidRPr="004C1BA7" w:rsidRDefault="005D655C" w:rsidP="00071325">
      <w:pPr>
        <w:tabs>
          <w:tab w:val="left" w:pos="2520"/>
          <w:tab w:val="left" w:pos="2790"/>
        </w:tabs>
        <w:spacing w:after="0"/>
        <w:ind w:left="2520" w:hanging="2520"/>
      </w:pPr>
      <w:r>
        <w:rPr>
          <w:b/>
        </w:rPr>
        <w:t xml:space="preserve">Audit </w:t>
      </w:r>
      <w:r w:rsidR="00071325" w:rsidRPr="00071325">
        <w:rPr>
          <w:b/>
        </w:rPr>
        <w:t>Objective</w:t>
      </w:r>
      <w:r w:rsidR="004C1BA7">
        <w:rPr>
          <w:b/>
        </w:rPr>
        <w:t>/Scope</w:t>
      </w:r>
      <w:r w:rsidR="00071325" w:rsidRPr="00071325">
        <w:rPr>
          <w:b/>
        </w:rPr>
        <w:t xml:space="preserve">: </w:t>
      </w:r>
      <w:r w:rsidR="00071325" w:rsidRPr="00071325">
        <w:rPr>
          <w:b/>
        </w:rPr>
        <w:tab/>
      </w:r>
      <w:r w:rsidR="00420F44" w:rsidRPr="00821177">
        <w:t xml:space="preserve">Review the processes and controls to assess and </w:t>
      </w:r>
      <w:r w:rsidR="00420F44" w:rsidRPr="004C1BA7">
        <w:t>mitigate third-party security risks including:</w:t>
      </w:r>
    </w:p>
    <w:p w14:paraId="29A3A4D3" w14:textId="77777777" w:rsidR="004C1BA7" w:rsidRPr="00F22CF9" w:rsidRDefault="004C1BA7" w:rsidP="00420F44">
      <w:pPr>
        <w:pStyle w:val="ListParagraph"/>
        <w:numPr>
          <w:ilvl w:val="0"/>
          <w:numId w:val="12"/>
        </w:numPr>
        <w:tabs>
          <w:tab w:val="left" w:pos="2520"/>
          <w:tab w:val="left" w:pos="2790"/>
        </w:tabs>
        <w:spacing w:after="0"/>
      </w:pPr>
      <w:r w:rsidRPr="00F22CF9">
        <w:t>Inventory of third parties; all tranches</w:t>
      </w:r>
    </w:p>
    <w:p w14:paraId="05F6EF59" w14:textId="77777777" w:rsidR="004C1BA7" w:rsidRPr="00F22CF9" w:rsidRDefault="004C1BA7" w:rsidP="00420F44">
      <w:pPr>
        <w:pStyle w:val="ListParagraph"/>
        <w:numPr>
          <w:ilvl w:val="0"/>
          <w:numId w:val="12"/>
        </w:numPr>
        <w:tabs>
          <w:tab w:val="left" w:pos="2520"/>
          <w:tab w:val="left" w:pos="2790"/>
        </w:tabs>
        <w:spacing w:after="0"/>
      </w:pPr>
      <w:r w:rsidRPr="00F22CF9">
        <w:t xml:space="preserve">Criteria </w:t>
      </w:r>
      <w:r w:rsidR="008A4099" w:rsidRPr="00F22CF9">
        <w:t xml:space="preserve">used to </w:t>
      </w:r>
      <w:r w:rsidRPr="00F22CF9">
        <w:t>evaluate risk level of third party</w:t>
      </w:r>
    </w:p>
    <w:p w14:paraId="6D48E1C0" w14:textId="77777777" w:rsidR="00071325" w:rsidRPr="00821177" w:rsidRDefault="00420F44" w:rsidP="00420F44">
      <w:pPr>
        <w:pStyle w:val="ListParagraph"/>
        <w:numPr>
          <w:ilvl w:val="0"/>
          <w:numId w:val="12"/>
        </w:numPr>
        <w:tabs>
          <w:tab w:val="left" w:pos="2520"/>
          <w:tab w:val="left" w:pos="2790"/>
        </w:tabs>
        <w:spacing w:after="0"/>
      </w:pPr>
      <w:r w:rsidRPr="00821177">
        <w:t>Third-party security risk assessment</w:t>
      </w:r>
      <w:r w:rsidR="005274C1" w:rsidRPr="00821177">
        <w:t xml:space="preserve"> </w:t>
      </w:r>
      <w:r w:rsidR="00825FD0">
        <w:t>(initial and on-going)</w:t>
      </w:r>
      <w:r w:rsidR="004C1BA7">
        <w:t xml:space="preserve"> </w:t>
      </w:r>
      <w:r w:rsidR="004C1BA7" w:rsidRPr="00F22CF9">
        <w:t>process</w:t>
      </w:r>
    </w:p>
    <w:p w14:paraId="20097A56" w14:textId="77777777" w:rsidR="00420F44" w:rsidRPr="00F22CF9" w:rsidRDefault="00420F44" w:rsidP="00420F44">
      <w:pPr>
        <w:pStyle w:val="ListParagraph"/>
        <w:numPr>
          <w:ilvl w:val="0"/>
          <w:numId w:val="12"/>
        </w:numPr>
        <w:tabs>
          <w:tab w:val="left" w:pos="2520"/>
          <w:tab w:val="left" w:pos="2790"/>
        </w:tabs>
        <w:spacing w:after="0"/>
      </w:pPr>
      <w:r w:rsidRPr="00F22CF9">
        <w:t>Third-party security issue identification and remediation</w:t>
      </w:r>
    </w:p>
    <w:p w14:paraId="26A70B30" w14:textId="77777777" w:rsidR="004C1BA7" w:rsidRPr="00F22CF9" w:rsidRDefault="00420F44" w:rsidP="00420F44">
      <w:pPr>
        <w:pStyle w:val="ListParagraph"/>
        <w:numPr>
          <w:ilvl w:val="0"/>
          <w:numId w:val="12"/>
        </w:numPr>
        <w:tabs>
          <w:tab w:val="left" w:pos="2520"/>
          <w:tab w:val="left" w:pos="2790"/>
        </w:tabs>
        <w:spacing w:after="0"/>
      </w:pPr>
      <w:r w:rsidRPr="00F22CF9">
        <w:t xml:space="preserve">Third-party </w:t>
      </w:r>
      <w:r w:rsidR="004C1BA7" w:rsidRPr="00F22CF9">
        <w:t xml:space="preserve">questionnaire </w:t>
      </w:r>
    </w:p>
    <w:p w14:paraId="7164F106" w14:textId="77777777" w:rsidR="00420F44" w:rsidRDefault="004C1BA7" w:rsidP="00420F44">
      <w:pPr>
        <w:pStyle w:val="ListParagraph"/>
        <w:numPr>
          <w:ilvl w:val="0"/>
          <w:numId w:val="12"/>
        </w:numPr>
        <w:tabs>
          <w:tab w:val="left" w:pos="2520"/>
          <w:tab w:val="left" w:pos="2790"/>
        </w:tabs>
        <w:spacing w:after="0"/>
      </w:pPr>
      <w:r>
        <w:t xml:space="preserve">Third-party </w:t>
      </w:r>
      <w:r w:rsidR="00420F44" w:rsidRPr="00821177">
        <w:t>onsite</w:t>
      </w:r>
      <w:r>
        <w:t xml:space="preserve"> </w:t>
      </w:r>
      <w:r w:rsidR="00420F44" w:rsidRPr="00821177">
        <w:t>security reviews</w:t>
      </w:r>
    </w:p>
    <w:p w14:paraId="487F630C" w14:textId="77777777" w:rsidR="001F64F1" w:rsidRDefault="001F64F1" w:rsidP="00071325">
      <w:pPr>
        <w:tabs>
          <w:tab w:val="left" w:pos="2520"/>
          <w:tab w:val="left" w:pos="2790"/>
        </w:tabs>
        <w:spacing w:after="0"/>
        <w:ind w:left="2520" w:hanging="2520"/>
      </w:pPr>
    </w:p>
    <w:p w14:paraId="5A07A48A" w14:textId="77777777" w:rsidR="006D0027" w:rsidRPr="00472BC1" w:rsidRDefault="0032758C" w:rsidP="00BA0CF1">
      <w:pPr>
        <w:tabs>
          <w:tab w:val="left" w:pos="1440"/>
          <w:tab w:val="left" w:pos="2790"/>
        </w:tabs>
        <w:spacing w:after="0"/>
        <w:ind w:left="2520" w:hanging="2520"/>
      </w:pPr>
      <w:r w:rsidRPr="00472BC1">
        <w:rPr>
          <w:b/>
        </w:rPr>
        <w:t>ERM:</w:t>
      </w:r>
      <w:r w:rsidR="00BA0CF1">
        <w:rPr>
          <w:b/>
        </w:rPr>
        <w:tab/>
      </w:r>
      <w:r w:rsidR="00BA0CF1">
        <w:rPr>
          <w:b/>
        </w:rPr>
        <w:tab/>
      </w:r>
      <w:r w:rsidR="00472BC1" w:rsidRPr="00472BC1">
        <w:t>(1) Cyber Security, Espionage &amp; Information Security</w:t>
      </w:r>
    </w:p>
    <w:p w14:paraId="72403286" w14:textId="77777777" w:rsidR="00472BC1" w:rsidRPr="00472BC1" w:rsidRDefault="00472BC1" w:rsidP="00BA0CF1">
      <w:pPr>
        <w:tabs>
          <w:tab w:val="left" w:pos="2790"/>
        </w:tabs>
        <w:spacing w:after="0"/>
        <w:ind w:left="2520" w:hanging="2520"/>
      </w:pPr>
      <w:r w:rsidRPr="00472BC1">
        <w:tab/>
        <w:t>(2) Vendor Performance Management</w:t>
      </w:r>
    </w:p>
    <w:p w14:paraId="23DF2A34" w14:textId="77777777" w:rsidR="00056D01" w:rsidRDefault="00056D01" w:rsidP="00071325">
      <w:pPr>
        <w:tabs>
          <w:tab w:val="left" w:pos="2520"/>
          <w:tab w:val="left" w:pos="2790"/>
        </w:tabs>
        <w:spacing w:after="0"/>
        <w:ind w:left="2520" w:hanging="2520"/>
      </w:pPr>
    </w:p>
    <w:p w14:paraId="4362D98B" w14:textId="77777777" w:rsidR="00BA0CF1" w:rsidRDefault="009A7A94" w:rsidP="00BA0CF1">
      <w:pPr>
        <w:tabs>
          <w:tab w:val="left" w:pos="2520"/>
          <w:tab w:val="left" w:pos="2790"/>
        </w:tabs>
        <w:spacing w:after="0"/>
        <w:rPr>
          <w:b/>
        </w:rPr>
      </w:pPr>
      <w:r w:rsidRPr="00BA0CF1">
        <w:rPr>
          <w:b/>
        </w:rPr>
        <w:t>Preliminary Risks:</w:t>
      </w:r>
      <w:r w:rsidRPr="00BA0CF1">
        <w:rPr>
          <w:b/>
        </w:rPr>
        <w:tab/>
      </w:r>
    </w:p>
    <w:p w14:paraId="42407C5E" w14:textId="77777777" w:rsidR="00420F44" w:rsidRDefault="00420F44" w:rsidP="00BA0CF1">
      <w:pPr>
        <w:pStyle w:val="ListParagraph"/>
        <w:numPr>
          <w:ilvl w:val="0"/>
          <w:numId w:val="20"/>
        </w:numPr>
        <w:tabs>
          <w:tab w:val="left" w:pos="2520"/>
          <w:tab w:val="left" w:pos="2790"/>
        </w:tabs>
        <w:spacing w:after="0"/>
        <w:ind w:left="2520"/>
      </w:pPr>
      <w:r>
        <w:t>Data in motion and at rest at third party location is not appropriately protected</w:t>
      </w:r>
    </w:p>
    <w:p w14:paraId="3EEFF7F1" w14:textId="77777777" w:rsidR="009A7A94" w:rsidRDefault="00420F44" w:rsidP="00BA0CF1">
      <w:pPr>
        <w:pStyle w:val="ListParagraph"/>
        <w:numPr>
          <w:ilvl w:val="0"/>
          <w:numId w:val="20"/>
        </w:numPr>
        <w:tabs>
          <w:tab w:val="left" w:pos="2520"/>
          <w:tab w:val="left" w:pos="2790"/>
        </w:tabs>
        <w:spacing w:after="0"/>
        <w:ind w:left="2520"/>
      </w:pPr>
      <w:r>
        <w:t>Unavailability and instability of systems</w:t>
      </w:r>
      <w:r w:rsidRPr="00420F44">
        <w:t xml:space="preserve"> </w:t>
      </w:r>
    </w:p>
    <w:p w14:paraId="1707B192" w14:textId="77777777" w:rsidR="00B556F2" w:rsidRDefault="00B556F2" w:rsidP="008714D5">
      <w:pPr>
        <w:tabs>
          <w:tab w:val="left" w:pos="2520"/>
          <w:tab w:val="left" w:pos="2790"/>
        </w:tabs>
        <w:spacing w:after="0"/>
        <w:ind w:left="2160" w:hanging="2160"/>
        <w:rPr>
          <w:b/>
        </w:rPr>
      </w:pPr>
    </w:p>
    <w:p w14:paraId="1D33D96D" w14:textId="77777777" w:rsidR="00420F44" w:rsidRDefault="00061704" w:rsidP="008714D5">
      <w:pPr>
        <w:tabs>
          <w:tab w:val="left" w:pos="2520"/>
          <w:tab w:val="left" w:pos="2790"/>
        </w:tabs>
        <w:spacing w:after="0"/>
        <w:ind w:left="2160" w:hanging="2160"/>
      </w:pPr>
      <w:r>
        <w:rPr>
          <w:b/>
        </w:rPr>
        <w:t>Key Process Areas:</w:t>
      </w:r>
      <w:r>
        <w:rPr>
          <w:b/>
        </w:rPr>
        <w:tab/>
      </w:r>
    </w:p>
    <w:p w14:paraId="6928E497" w14:textId="77777777" w:rsidR="00825FD0" w:rsidRDefault="00454496" w:rsidP="008714D5">
      <w:pPr>
        <w:pStyle w:val="ListParagraph"/>
        <w:numPr>
          <w:ilvl w:val="1"/>
          <w:numId w:val="16"/>
        </w:numPr>
        <w:tabs>
          <w:tab w:val="left" w:pos="2520"/>
          <w:tab w:val="left" w:pos="2790"/>
        </w:tabs>
        <w:spacing w:after="0"/>
      </w:pPr>
      <w:r w:rsidRPr="00825FD0">
        <w:rPr>
          <w:b/>
        </w:rPr>
        <w:t>Risk Criteria &amp; Categorization/Prioritization</w:t>
      </w:r>
      <w:r w:rsidR="008D2A70">
        <w:t xml:space="preserve">:  </w:t>
      </w:r>
    </w:p>
    <w:p w14:paraId="60D66552" w14:textId="77777777" w:rsidR="008D2A70" w:rsidRDefault="008D2A70" w:rsidP="004C1BA7">
      <w:pPr>
        <w:pStyle w:val="ListParagraph"/>
        <w:numPr>
          <w:ilvl w:val="2"/>
          <w:numId w:val="26"/>
        </w:numPr>
        <w:tabs>
          <w:tab w:val="left" w:pos="2520"/>
          <w:tab w:val="left" w:pos="2790"/>
        </w:tabs>
        <w:spacing w:after="0"/>
      </w:pPr>
      <w:r>
        <w:t xml:space="preserve">Third parties are </w:t>
      </w:r>
      <w:r w:rsidRPr="00F22CF9">
        <w:t xml:space="preserve">appropriately </w:t>
      </w:r>
      <w:r w:rsidR="004C1BA7" w:rsidRPr="00F22CF9">
        <w:t xml:space="preserve">risk </w:t>
      </w:r>
      <w:r w:rsidRPr="00F22CF9">
        <w:t xml:space="preserve">categorized; which drives the </w:t>
      </w:r>
      <w:r w:rsidR="004C1BA7" w:rsidRPr="00F22CF9">
        <w:t xml:space="preserve">frequency </w:t>
      </w:r>
      <w:r w:rsidR="004C1BA7">
        <w:t xml:space="preserve">and </w:t>
      </w:r>
      <w:r>
        <w:t>level of security requirements and oversight</w:t>
      </w:r>
    </w:p>
    <w:p w14:paraId="1BF9ED48" w14:textId="77777777" w:rsidR="00825FD0" w:rsidRDefault="00825FD0" w:rsidP="004C1BA7">
      <w:pPr>
        <w:pStyle w:val="ListParagraph"/>
        <w:numPr>
          <w:ilvl w:val="2"/>
          <w:numId w:val="26"/>
        </w:numPr>
        <w:tabs>
          <w:tab w:val="left" w:pos="2520"/>
          <w:tab w:val="left" w:pos="2790"/>
        </w:tabs>
        <w:spacing w:after="0"/>
      </w:pPr>
      <w:r>
        <w:t xml:space="preserve">Review of control </w:t>
      </w:r>
      <w:r w:rsidR="00BA385C">
        <w:t>inventory/</w:t>
      </w:r>
      <w:r>
        <w:t>documentation, criteria and governance expectations</w:t>
      </w:r>
    </w:p>
    <w:p w14:paraId="5E10AB9C" w14:textId="77777777" w:rsidR="00825FD0" w:rsidRPr="00F22CF9" w:rsidRDefault="00825FD0" w:rsidP="004C1BA7">
      <w:pPr>
        <w:pStyle w:val="ListParagraph"/>
        <w:numPr>
          <w:ilvl w:val="2"/>
          <w:numId w:val="26"/>
        </w:numPr>
        <w:tabs>
          <w:tab w:val="left" w:pos="2520"/>
          <w:tab w:val="left" w:pos="2790"/>
        </w:tabs>
        <w:spacing w:after="0"/>
      </w:pPr>
      <w:r w:rsidRPr="00F22CF9">
        <w:t>Understanding established risk appetite (inherent &amp; residual risk planning)</w:t>
      </w:r>
    </w:p>
    <w:p w14:paraId="40947250" w14:textId="77777777" w:rsidR="00825FD0" w:rsidRPr="00F22CF9" w:rsidRDefault="00825FD0" w:rsidP="004C1BA7">
      <w:pPr>
        <w:pStyle w:val="ListParagraph"/>
        <w:numPr>
          <w:ilvl w:val="2"/>
          <w:numId w:val="26"/>
        </w:numPr>
      </w:pPr>
      <w:r w:rsidRPr="00F22CF9">
        <w:t>Exit Strategy and govern</w:t>
      </w:r>
      <w:r w:rsidR="006D3396" w:rsidRPr="00F22CF9">
        <w:t>ance process</w:t>
      </w:r>
      <w:r w:rsidRPr="00F22CF9">
        <w:t xml:space="preserve"> (</w:t>
      </w:r>
      <w:r w:rsidR="00080154" w:rsidRPr="00F22CF9">
        <w:rPr>
          <w:i/>
        </w:rPr>
        <w:t>when initiated through disengagement</w:t>
      </w:r>
      <w:r w:rsidRPr="00F22CF9">
        <w:t>)</w:t>
      </w:r>
      <w:r w:rsidR="00080154" w:rsidRPr="00F22CF9">
        <w:t xml:space="preserve"> to ensure controls for Data and Operation Protection</w:t>
      </w:r>
      <w:r w:rsidR="00DE07E5" w:rsidRPr="00F22CF9">
        <w:t xml:space="preserve"> such as ensuring data removal from T</w:t>
      </w:r>
      <w:r w:rsidR="00F22CF9" w:rsidRPr="00F22CF9">
        <w:t>hird Party (“TP”)</w:t>
      </w:r>
      <w:r w:rsidR="00DE07E5" w:rsidRPr="00F22CF9">
        <w:t>.</w:t>
      </w:r>
    </w:p>
    <w:p w14:paraId="19F23D75" w14:textId="77777777" w:rsidR="003A6276" w:rsidRDefault="00454496" w:rsidP="00454496">
      <w:pPr>
        <w:pStyle w:val="ListParagraph"/>
        <w:numPr>
          <w:ilvl w:val="1"/>
          <w:numId w:val="16"/>
        </w:numPr>
        <w:tabs>
          <w:tab w:val="left" w:pos="2520"/>
          <w:tab w:val="left" w:pos="2790"/>
        </w:tabs>
        <w:spacing w:after="0"/>
      </w:pPr>
      <w:r w:rsidRPr="003A6276">
        <w:rPr>
          <w:b/>
        </w:rPr>
        <w:t>Governance &amp; Oversight Standards</w:t>
      </w:r>
      <w:r>
        <w:t xml:space="preserve">:  </w:t>
      </w:r>
    </w:p>
    <w:p w14:paraId="7D2C7589" w14:textId="77777777" w:rsidR="005A56A8" w:rsidRDefault="0090065D" w:rsidP="004C1BA7">
      <w:pPr>
        <w:pStyle w:val="ListParagraph"/>
        <w:numPr>
          <w:ilvl w:val="2"/>
          <w:numId w:val="27"/>
        </w:numPr>
        <w:tabs>
          <w:tab w:val="left" w:pos="2520"/>
          <w:tab w:val="left" w:pos="2790"/>
        </w:tabs>
        <w:spacing w:after="0"/>
      </w:pPr>
      <w:r>
        <w:t>C</w:t>
      </w:r>
      <w:r w:rsidR="005A56A8">
        <w:t>ompleteness of</w:t>
      </w:r>
      <w:r>
        <w:t xml:space="preserve"> T</w:t>
      </w:r>
      <w:r w:rsidR="00F22CF9">
        <w:t>hird Party Risk Management (“T</w:t>
      </w:r>
      <w:r>
        <w:t>PRM</w:t>
      </w:r>
      <w:r w:rsidR="00F22CF9">
        <w:t>”)</w:t>
      </w:r>
      <w:r w:rsidR="005A56A8" w:rsidRPr="004C1BA7">
        <w:rPr>
          <w:color w:val="FF0000"/>
        </w:rPr>
        <w:t xml:space="preserve"> </w:t>
      </w:r>
      <w:r w:rsidR="005A56A8">
        <w:t>inventory of all third parties (</w:t>
      </w:r>
      <w:r w:rsidR="00B556F2">
        <w:t>All</w:t>
      </w:r>
      <w:r w:rsidR="005A56A8">
        <w:t xml:space="preserve"> tranches) contracted with Aetna</w:t>
      </w:r>
    </w:p>
    <w:p w14:paraId="2DA60647" w14:textId="77777777" w:rsidR="008D2A70" w:rsidRDefault="00C45B20" w:rsidP="004C1BA7">
      <w:pPr>
        <w:pStyle w:val="ListParagraph"/>
        <w:numPr>
          <w:ilvl w:val="2"/>
          <w:numId w:val="27"/>
        </w:numPr>
        <w:tabs>
          <w:tab w:val="left" w:pos="2520"/>
          <w:tab w:val="left" w:pos="2790"/>
        </w:tabs>
        <w:spacing w:after="0"/>
      </w:pPr>
      <w:r>
        <w:t>Review standards</w:t>
      </w:r>
      <w:r w:rsidR="00454496">
        <w:t xml:space="preserve"> (onsite &amp; questionnaire) – The documentation </w:t>
      </w:r>
      <w:r w:rsidR="003A6276">
        <w:t xml:space="preserve">and process controls in place </w:t>
      </w:r>
      <w:r w:rsidR="008D2A70">
        <w:t>that facilitates oversight, accountability, monitoring, and on-goin</w:t>
      </w:r>
      <w:r w:rsidR="006D3396">
        <w:t>g risk management;</w:t>
      </w:r>
    </w:p>
    <w:p w14:paraId="554B8EDC" w14:textId="77777777" w:rsidR="00C45B20" w:rsidRDefault="004C1BA7" w:rsidP="004C1BA7">
      <w:pPr>
        <w:pStyle w:val="ListParagraph"/>
        <w:numPr>
          <w:ilvl w:val="2"/>
          <w:numId w:val="27"/>
        </w:numPr>
        <w:tabs>
          <w:tab w:val="left" w:pos="2520"/>
          <w:tab w:val="left" w:pos="2790"/>
        </w:tabs>
        <w:spacing w:after="0"/>
      </w:pPr>
      <w:r w:rsidRPr="00F22CF9">
        <w:t xml:space="preserve">Frequency of </w:t>
      </w:r>
      <w:r w:rsidR="00C45B20">
        <w:t>reviews – Scheduling,</w:t>
      </w:r>
      <w:r w:rsidR="006D3396">
        <w:t xml:space="preserve"> </w:t>
      </w:r>
      <w:r w:rsidR="00527844">
        <w:t>t</w:t>
      </w:r>
      <w:r w:rsidR="006D3396">
        <w:t>racking</w:t>
      </w:r>
      <w:r w:rsidR="00527844">
        <w:t>, and a</w:t>
      </w:r>
      <w:r w:rsidR="00C45B20">
        <w:t>pproach (</w:t>
      </w:r>
      <w:r w:rsidR="00C45B20" w:rsidRPr="00D6366D">
        <w:t>Based on risk tier</w:t>
      </w:r>
      <w:r w:rsidR="00527844">
        <w:t xml:space="preserve"> </w:t>
      </w:r>
      <w:r w:rsidR="00527844" w:rsidRPr="00F22CF9">
        <w:t>of the third party</w:t>
      </w:r>
      <w:r w:rsidR="00C45B20" w:rsidRPr="00F22CF9">
        <w:t xml:space="preserve">).  </w:t>
      </w:r>
      <w:r w:rsidR="00527844">
        <w:t>Questionnaires vs on sites</w:t>
      </w:r>
      <w:r w:rsidR="006D3396">
        <w:t xml:space="preserve"> </w:t>
      </w:r>
    </w:p>
    <w:p w14:paraId="4EB4692F" w14:textId="77777777" w:rsidR="003A6276" w:rsidRDefault="003A6276" w:rsidP="004C1BA7">
      <w:pPr>
        <w:pStyle w:val="ListParagraph"/>
        <w:numPr>
          <w:ilvl w:val="2"/>
          <w:numId w:val="27"/>
        </w:numPr>
        <w:tabs>
          <w:tab w:val="left" w:pos="2520"/>
          <w:tab w:val="left" w:pos="2790"/>
        </w:tabs>
        <w:spacing w:after="0"/>
      </w:pPr>
      <w:r>
        <w:t xml:space="preserve">Reporting and communications, including </w:t>
      </w:r>
      <w:r w:rsidR="00527844">
        <w:t>escalation</w:t>
      </w:r>
    </w:p>
    <w:p w14:paraId="7A34130D" w14:textId="77777777" w:rsidR="003A6276" w:rsidRDefault="00C45B20" w:rsidP="00454496">
      <w:pPr>
        <w:pStyle w:val="ListParagraph"/>
        <w:numPr>
          <w:ilvl w:val="1"/>
          <w:numId w:val="16"/>
        </w:numPr>
        <w:tabs>
          <w:tab w:val="left" w:pos="2520"/>
          <w:tab w:val="left" w:pos="2790"/>
        </w:tabs>
        <w:spacing w:after="0"/>
      </w:pPr>
      <w:r>
        <w:rPr>
          <w:b/>
        </w:rPr>
        <w:t xml:space="preserve">On-Going </w:t>
      </w:r>
      <w:r w:rsidR="00454496" w:rsidRPr="003A6276">
        <w:rPr>
          <w:b/>
        </w:rPr>
        <w:t>Risk Monitoring</w:t>
      </w:r>
      <w:r w:rsidR="00454496">
        <w:t xml:space="preserve">:  </w:t>
      </w:r>
    </w:p>
    <w:p w14:paraId="3ACBD7E7" w14:textId="77777777" w:rsidR="003A6276" w:rsidRDefault="00454496" w:rsidP="00527844">
      <w:pPr>
        <w:pStyle w:val="ListParagraph"/>
        <w:numPr>
          <w:ilvl w:val="2"/>
          <w:numId w:val="28"/>
        </w:numPr>
        <w:tabs>
          <w:tab w:val="left" w:pos="2520"/>
          <w:tab w:val="left" w:pos="2790"/>
        </w:tabs>
        <w:spacing w:after="0"/>
      </w:pPr>
      <w:r>
        <w:lastRenderedPageBreak/>
        <w:t xml:space="preserve">Understanding </w:t>
      </w:r>
      <w:r w:rsidR="003A6276">
        <w:t xml:space="preserve">the assessment of </w:t>
      </w:r>
      <w:r w:rsidR="00DE07E5">
        <w:t>new/evolving risks and/</w:t>
      </w:r>
      <w:r>
        <w:t>or vendor changes (including how Aetna</w:t>
      </w:r>
      <w:r w:rsidR="006D3396">
        <w:t>’s relationship changing)</w:t>
      </w:r>
      <w:r w:rsidR="00DE07E5">
        <w:t xml:space="preserve"> that impact Aetna</w:t>
      </w:r>
      <w:r w:rsidR="006D3396">
        <w:t>;</w:t>
      </w:r>
    </w:p>
    <w:p w14:paraId="39268E43" w14:textId="77777777" w:rsidR="00454496" w:rsidRDefault="00C45B20" w:rsidP="00527844">
      <w:pPr>
        <w:pStyle w:val="ListParagraph"/>
        <w:numPr>
          <w:ilvl w:val="2"/>
          <w:numId w:val="28"/>
        </w:numPr>
        <w:tabs>
          <w:tab w:val="left" w:pos="2520"/>
          <w:tab w:val="left" w:pos="2790"/>
        </w:tabs>
        <w:spacing w:after="0"/>
      </w:pPr>
      <w:r>
        <w:t xml:space="preserve">How results </w:t>
      </w:r>
      <w:r w:rsidR="00454496">
        <w:t>of ongoing monit</w:t>
      </w:r>
      <w:r>
        <w:t>or</w:t>
      </w:r>
      <w:r w:rsidR="00454496">
        <w:t>ing activities ensure risks are re-prioritized, re-a</w:t>
      </w:r>
      <w:r>
        <w:t xml:space="preserve">ssignment, </w:t>
      </w:r>
      <w:r w:rsidR="006D3396">
        <w:t>and re-classified; and</w:t>
      </w:r>
    </w:p>
    <w:p w14:paraId="172C75E9" w14:textId="77777777" w:rsidR="00C45B20" w:rsidRDefault="00C45B20" w:rsidP="00527844">
      <w:pPr>
        <w:pStyle w:val="ListParagraph"/>
        <w:numPr>
          <w:ilvl w:val="2"/>
          <w:numId w:val="28"/>
        </w:numPr>
        <w:tabs>
          <w:tab w:val="left" w:pos="2520"/>
          <w:tab w:val="left" w:pos="2790"/>
        </w:tabs>
        <w:spacing w:after="0"/>
      </w:pPr>
      <w:r>
        <w:t xml:space="preserve">Reporting and communications, including </w:t>
      </w:r>
      <w:r w:rsidR="006D3396">
        <w:t>escalation.</w:t>
      </w:r>
    </w:p>
    <w:p w14:paraId="1FB42FC2" w14:textId="77777777" w:rsidR="00BD18A4" w:rsidRDefault="00BD18A4" w:rsidP="00F61465">
      <w:pPr>
        <w:tabs>
          <w:tab w:val="left" w:pos="2520"/>
          <w:tab w:val="left" w:pos="2790"/>
        </w:tabs>
        <w:spacing w:after="0"/>
        <w:ind w:left="2160" w:hanging="2160"/>
      </w:pPr>
    </w:p>
    <w:p w14:paraId="5E98DD39" w14:textId="77777777" w:rsidR="00785D3E" w:rsidRDefault="00785D3E" w:rsidP="00BA0CF1">
      <w:pPr>
        <w:tabs>
          <w:tab w:val="left" w:pos="2520"/>
          <w:tab w:val="left" w:pos="2790"/>
        </w:tabs>
        <w:spacing w:after="0"/>
        <w:ind w:left="2520" w:hanging="2520"/>
      </w:pPr>
      <w:r w:rsidRPr="00785D3E">
        <w:rPr>
          <w:b/>
        </w:rPr>
        <w:t>Auditee/EC+1:</w:t>
      </w:r>
      <w:r>
        <w:tab/>
      </w:r>
      <w:r w:rsidR="008D2A70">
        <w:t>Jim Routh</w:t>
      </w:r>
      <w:r>
        <w:tab/>
      </w:r>
    </w:p>
    <w:p w14:paraId="296BB2F1" w14:textId="77777777" w:rsidR="00785D3E" w:rsidRDefault="00785D3E" w:rsidP="00F61465">
      <w:pPr>
        <w:tabs>
          <w:tab w:val="left" w:pos="2520"/>
          <w:tab w:val="left" w:pos="2790"/>
        </w:tabs>
        <w:spacing w:after="0"/>
        <w:ind w:left="2520" w:hanging="2520"/>
      </w:pPr>
      <w:r w:rsidRPr="00785D3E">
        <w:rPr>
          <w:b/>
        </w:rPr>
        <w:t>Key Audit</w:t>
      </w:r>
      <w:r w:rsidR="003A7F53">
        <w:rPr>
          <w:b/>
        </w:rPr>
        <w:t>ee</w:t>
      </w:r>
      <w:r w:rsidRPr="00785D3E">
        <w:rPr>
          <w:b/>
        </w:rPr>
        <w:t xml:space="preserve"> Contact:</w:t>
      </w:r>
      <w:r>
        <w:tab/>
      </w:r>
      <w:r w:rsidR="008D2A70">
        <w:t>Brenda Ferraro</w:t>
      </w:r>
    </w:p>
    <w:p w14:paraId="23BC9C39" w14:textId="77777777" w:rsidR="00785D3E" w:rsidRDefault="00785D3E" w:rsidP="00F61465">
      <w:pPr>
        <w:tabs>
          <w:tab w:val="left" w:pos="2520"/>
          <w:tab w:val="left" w:pos="2790"/>
        </w:tabs>
        <w:spacing w:after="0"/>
        <w:ind w:left="2520" w:hanging="2520"/>
      </w:pPr>
    </w:p>
    <w:p w14:paraId="15C1F3ED" w14:textId="77777777" w:rsidR="00785D3E" w:rsidRDefault="00785D3E" w:rsidP="00F61465">
      <w:pPr>
        <w:tabs>
          <w:tab w:val="left" w:pos="2520"/>
          <w:tab w:val="left" w:pos="2790"/>
        </w:tabs>
        <w:spacing w:after="0"/>
        <w:ind w:left="2520" w:hanging="2520"/>
      </w:pPr>
      <w:r w:rsidRPr="00785D3E">
        <w:rPr>
          <w:b/>
        </w:rPr>
        <w:t>Fieldwork Start</w:t>
      </w:r>
      <w:r w:rsidR="001F64F1">
        <w:rPr>
          <w:b/>
        </w:rPr>
        <w:t>/End</w:t>
      </w:r>
      <w:r w:rsidRPr="00785D3E">
        <w:rPr>
          <w:b/>
        </w:rPr>
        <w:t>:</w:t>
      </w:r>
      <w:r>
        <w:tab/>
      </w:r>
      <w:r w:rsidR="001F64F1">
        <w:t>October 1</w:t>
      </w:r>
      <w:r w:rsidR="008D2A70">
        <w:t>7</w:t>
      </w:r>
      <w:r w:rsidR="001F64F1">
        <w:t xml:space="preserve">, 2016 / Nov </w:t>
      </w:r>
      <w:r w:rsidR="004075BD">
        <w:t>18</w:t>
      </w:r>
      <w:r w:rsidR="001F64F1">
        <w:t xml:space="preserve">, 2016 </w:t>
      </w:r>
    </w:p>
    <w:p w14:paraId="4CB78DEF" w14:textId="77777777" w:rsidR="006D0027" w:rsidRDefault="006D0027" w:rsidP="00F61465">
      <w:pPr>
        <w:tabs>
          <w:tab w:val="left" w:pos="2520"/>
          <w:tab w:val="left" w:pos="2790"/>
        </w:tabs>
        <w:spacing w:after="0"/>
        <w:ind w:left="2520" w:hanging="2520"/>
      </w:pPr>
      <w:r>
        <w:rPr>
          <w:b/>
        </w:rPr>
        <w:t>Report Date Target:</w:t>
      </w:r>
      <w:r>
        <w:t xml:space="preserve">  </w:t>
      </w:r>
      <w:r w:rsidR="00DF455E">
        <w:tab/>
      </w:r>
      <w:r>
        <w:t xml:space="preserve">December </w:t>
      </w:r>
      <w:r w:rsidR="008714D5">
        <w:t>09</w:t>
      </w:r>
      <w:r>
        <w:t>, 2016</w:t>
      </w:r>
    </w:p>
    <w:p w14:paraId="38CCE490" w14:textId="77777777" w:rsidR="003A7F53" w:rsidRDefault="003A7F53" w:rsidP="00F61465">
      <w:pPr>
        <w:tabs>
          <w:tab w:val="left" w:pos="2520"/>
          <w:tab w:val="left" w:pos="2790"/>
        </w:tabs>
        <w:spacing w:after="0"/>
        <w:ind w:left="2520" w:hanging="2520"/>
      </w:pPr>
    </w:p>
    <w:p w14:paraId="276940E1" w14:textId="77777777" w:rsidR="003A7F53" w:rsidRDefault="0027468D" w:rsidP="00F61465">
      <w:pPr>
        <w:tabs>
          <w:tab w:val="left" w:pos="2520"/>
          <w:tab w:val="left" w:pos="2790"/>
        </w:tabs>
        <w:spacing w:after="0"/>
        <w:ind w:left="2520" w:hanging="2520"/>
      </w:pPr>
      <w:r>
        <w:rPr>
          <w:b/>
        </w:rPr>
        <w:t xml:space="preserve">Audit </w:t>
      </w:r>
      <w:r w:rsidR="00D16E71">
        <w:rPr>
          <w:b/>
        </w:rPr>
        <w:t>P</w:t>
      </w:r>
      <w:r>
        <w:rPr>
          <w:b/>
        </w:rPr>
        <w:t>ortfolio Leader</w:t>
      </w:r>
      <w:r w:rsidR="003A7F53" w:rsidRPr="003A7F53">
        <w:rPr>
          <w:b/>
        </w:rPr>
        <w:t>:</w:t>
      </w:r>
      <w:r w:rsidR="003A7F53">
        <w:tab/>
        <w:t xml:space="preserve">Diane Santiago </w:t>
      </w:r>
      <w:r w:rsidR="00594A29">
        <w:t>(PL)</w:t>
      </w:r>
    </w:p>
    <w:p w14:paraId="0BEAC60B" w14:textId="77777777" w:rsidR="00056D01" w:rsidRPr="006D0027" w:rsidRDefault="0027468D" w:rsidP="0027468D">
      <w:pPr>
        <w:tabs>
          <w:tab w:val="left" w:pos="2520"/>
          <w:tab w:val="left" w:pos="2790"/>
        </w:tabs>
        <w:spacing w:after="0"/>
        <w:ind w:left="2520" w:hanging="2520"/>
      </w:pPr>
      <w:r>
        <w:rPr>
          <w:b/>
        </w:rPr>
        <w:t xml:space="preserve">Audit </w:t>
      </w:r>
      <w:r w:rsidR="00056D01">
        <w:rPr>
          <w:b/>
        </w:rPr>
        <w:t>Team:</w:t>
      </w:r>
      <w:r w:rsidR="00056D01">
        <w:rPr>
          <w:b/>
        </w:rPr>
        <w:tab/>
      </w:r>
      <w:r w:rsidR="00594A29">
        <w:t>Nirav Shah (M2)</w:t>
      </w:r>
      <w:r>
        <w:t xml:space="preserve">, Theresa Zagarino (IC), </w:t>
      </w:r>
      <w:r w:rsidR="00056D01" w:rsidRPr="006D0027">
        <w:t>Sol Vazquez, David Ronca, Kevin Thomas &amp;</w:t>
      </w:r>
      <w:r w:rsidR="006D0027">
        <w:t xml:space="preserve"> Ayoola </w:t>
      </w:r>
      <w:r w:rsidR="0090065D">
        <w:t>Akanni</w:t>
      </w:r>
    </w:p>
    <w:p w14:paraId="48BC405A" w14:textId="77777777" w:rsidR="001F64F1" w:rsidRDefault="001F64F1" w:rsidP="00F61465">
      <w:pPr>
        <w:tabs>
          <w:tab w:val="left" w:pos="2520"/>
          <w:tab w:val="left" w:pos="2790"/>
        </w:tabs>
        <w:spacing w:after="0"/>
        <w:ind w:left="2520" w:hanging="2520"/>
      </w:pPr>
    </w:p>
    <w:p w14:paraId="78FDAAE9" w14:textId="77777777" w:rsidR="001F64F1" w:rsidRPr="00F22CF9" w:rsidRDefault="001F64F1" w:rsidP="001F64F1">
      <w:pPr>
        <w:spacing w:after="0"/>
        <w:ind w:left="2250" w:hanging="2250"/>
        <w:rPr>
          <w:b/>
        </w:rPr>
      </w:pPr>
      <w:r w:rsidRPr="00FD1047">
        <w:rPr>
          <w:b/>
        </w:rPr>
        <w:t>Initial Data/Information requests</w:t>
      </w:r>
      <w:r w:rsidR="003C50B6" w:rsidRPr="00F22CF9">
        <w:rPr>
          <w:b/>
        </w:rPr>
        <w:t>*</w:t>
      </w:r>
      <w:r w:rsidR="008A4099" w:rsidRPr="00F22CF9">
        <w:rPr>
          <w:b/>
        </w:rPr>
        <w:t xml:space="preserve">, please place this information in the Box repository by </w:t>
      </w:r>
      <w:r w:rsidR="00F22CF9" w:rsidRPr="00F22CF9">
        <w:rPr>
          <w:b/>
        </w:rPr>
        <w:t>10/19/16</w:t>
      </w:r>
    </w:p>
    <w:tbl>
      <w:tblPr>
        <w:tblStyle w:val="TableGrid"/>
        <w:tblW w:w="9450" w:type="dxa"/>
        <w:tblInd w:w="198" w:type="dxa"/>
        <w:tblLook w:val="04A0" w:firstRow="1" w:lastRow="0" w:firstColumn="1" w:lastColumn="0" w:noHBand="0" w:noVBand="1"/>
      </w:tblPr>
      <w:tblGrid>
        <w:gridCol w:w="845"/>
        <w:gridCol w:w="8605"/>
      </w:tblGrid>
      <w:tr w:rsidR="003D4A1E" w:rsidRPr="00824FF0" w14:paraId="50C22B2B" w14:textId="77777777" w:rsidTr="003C50B6">
        <w:tc>
          <w:tcPr>
            <w:tcW w:w="845" w:type="dxa"/>
          </w:tcPr>
          <w:p w14:paraId="3692B444" w14:textId="77777777" w:rsidR="003D4A1E" w:rsidRPr="00824FF0" w:rsidRDefault="003D4A1E" w:rsidP="00365ACF">
            <w:pPr>
              <w:jc w:val="center"/>
              <w:rPr>
                <w:b/>
              </w:rPr>
            </w:pPr>
            <w:r w:rsidRPr="00824FF0">
              <w:rPr>
                <w:b/>
              </w:rPr>
              <w:t>ID#</w:t>
            </w:r>
          </w:p>
        </w:tc>
        <w:tc>
          <w:tcPr>
            <w:tcW w:w="8605" w:type="dxa"/>
          </w:tcPr>
          <w:p w14:paraId="351A65DA" w14:textId="77777777" w:rsidR="003D4A1E" w:rsidRPr="002534DE" w:rsidRDefault="00B556F2" w:rsidP="00B556F2">
            <w:pPr>
              <w:jc w:val="center"/>
              <w:rPr>
                <w:b/>
              </w:rPr>
            </w:pPr>
            <w:r>
              <w:rPr>
                <w:b/>
              </w:rPr>
              <w:t>Data Requests</w:t>
            </w:r>
          </w:p>
        </w:tc>
      </w:tr>
      <w:tr w:rsidR="00CF122B" w14:paraId="3B60E460" w14:textId="77777777" w:rsidTr="003C50B6">
        <w:tc>
          <w:tcPr>
            <w:tcW w:w="845" w:type="dxa"/>
          </w:tcPr>
          <w:p w14:paraId="43FEFBB2" w14:textId="77777777" w:rsidR="00CF122B" w:rsidRDefault="00CF122B" w:rsidP="00DA7825">
            <w:pPr>
              <w:rPr>
                <w:b/>
              </w:rPr>
            </w:pPr>
            <w:r>
              <w:rPr>
                <w:b/>
              </w:rPr>
              <w:t>01TSM</w:t>
            </w:r>
          </w:p>
        </w:tc>
        <w:tc>
          <w:tcPr>
            <w:tcW w:w="8605" w:type="dxa"/>
          </w:tcPr>
          <w:p w14:paraId="280AA4CC" w14:textId="77777777" w:rsidR="00CF122B" w:rsidRPr="00F22CF9" w:rsidRDefault="00CF122B" w:rsidP="00365ACF">
            <w:r w:rsidRPr="00F22CF9">
              <w:t>Third Party Security Risk Governance Charter</w:t>
            </w:r>
          </w:p>
        </w:tc>
      </w:tr>
      <w:tr w:rsidR="00CF122B" w14:paraId="629DC8BA" w14:textId="77777777" w:rsidTr="003C50B6">
        <w:tc>
          <w:tcPr>
            <w:tcW w:w="845" w:type="dxa"/>
          </w:tcPr>
          <w:p w14:paraId="0F260E8B" w14:textId="77777777" w:rsidR="00CF122B" w:rsidRDefault="00CF122B" w:rsidP="00DA7825">
            <w:pPr>
              <w:rPr>
                <w:b/>
              </w:rPr>
            </w:pPr>
            <w:r>
              <w:rPr>
                <w:b/>
              </w:rPr>
              <w:t>02TSM</w:t>
            </w:r>
          </w:p>
        </w:tc>
        <w:tc>
          <w:tcPr>
            <w:tcW w:w="8605" w:type="dxa"/>
          </w:tcPr>
          <w:p w14:paraId="4208B1E7" w14:textId="77777777" w:rsidR="00CF122B" w:rsidRPr="00F22CF9" w:rsidRDefault="00CF122B" w:rsidP="00F72FC3">
            <w:r w:rsidRPr="00F22CF9">
              <w:t>Third Party Security Risk Governance Policy</w:t>
            </w:r>
          </w:p>
        </w:tc>
      </w:tr>
      <w:tr w:rsidR="00CF122B" w14:paraId="77AC3E22" w14:textId="77777777" w:rsidTr="003C50B6">
        <w:tc>
          <w:tcPr>
            <w:tcW w:w="845" w:type="dxa"/>
          </w:tcPr>
          <w:p w14:paraId="5A2A714B" w14:textId="77777777" w:rsidR="00CF122B" w:rsidRDefault="00CF122B" w:rsidP="00DA7825">
            <w:pPr>
              <w:rPr>
                <w:b/>
              </w:rPr>
            </w:pPr>
            <w:r>
              <w:rPr>
                <w:b/>
              </w:rPr>
              <w:t>03TSM</w:t>
            </w:r>
          </w:p>
        </w:tc>
        <w:tc>
          <w:tcPr>
            <w:tcW w:w="8605" w:type="dxa"/>
          </w:tcPr>
          <w:p w14:paraId="29492F67" w14:textId="77777777" w:rsidR="00CF122B" w:rsidRPr="00F22CF9" w:rsidRDefault="00CF122B" w:rsidP="00F72FC3">
            <w:r w:rsidRPr="00F22CF9">
              <w:t>Third Party Security Risk Governance Standards</w:t>
            </w:r>
          </w:p>
        </w:tc>
      </w:tr>
      <w:tr w:rsidR="00CF122B" w14:paraId="492EA760" w14:textId="77777777" w:rsidTr="003C50B6">
        <w:tc>
          <w:tcPr>
            <w:tcW w:w="845" w:type="dxa"/>
          </w:tcPr>
          <w:p w14:paraId="25D895A4" w14:textId="77777777" w:rsidR="00CF122B" w:rsidRDefault="00CF122B" w:rsidP="00DA7825">
            <w:pPr>
              <w:rPr>
                <w:b/>
              </w:rPr>
            </w:pPr>
            <w:r>
              <w:rPr>
                <w:b/>
              </w:rPr>
              <w:t>04TSM</w:t>
            </w:r>
          </w:p>
        </w:tc>
        <w:tc>
          <w:tcPr>
            <w:tcW w:w="8605" w:type="dxa"/>
          </w:tcPr>
          <w:p w14:paraId="00F16EA7" w14:textId="77777777" w:rsidR="00CF122B" w:rsidRPr="00F22CF9" w:rsidRDefault="00CF122B" w:rsidP="00F72FC3">
            <w:r w:rsidRPr="00F22CF9">
              <w:t xml:space="preserve">List of Third Party Security Risk Governance key controls </w:t>
            </w:r>
          </w:p>
        </w:tc>
      </w:tr>
      <w:tr w:rsidR="00CF122B" w14:paraId="2809B8D0" w14:textId="77777777" w:rsidTr="003C50B6">
        <w:tc>
          <w:tcPr>
            <w:tcW w:w="845" w:type="dxa"/>
          </w:tcPr>
          <w:p w14:paraId="1DD7FC3F" w14:textId="77777777" w:rsidR="00CF122B" w:rsidRDefault="00CF122B" w:rsidP="00DA7825">
            <w:pPr>
              <w:rPr>
                <w:b/>
              </w:rPr>
            </w:pPr>
            <w:r>
              <w:rPr>
                <w:b/>
              </w:rPr>
              <w:t>05TSM</w:t>
            </w:r>
          </w:p>
        </w:tc>
        <w:tc>
          <w:tcPr>
            <w:tcW w:w="8605" w:type="dxa"/>
          </w:tcPr>
          <w:p w14:paraId="01F4D12F" w14:textId="77777777" w:rsidR="00CF122B" w:rsidRPr="00F22CF9" w:rsidRDefault="00CF122B" w:rsidP="00365ACF">
            <w:r w:rsidRPr="00F22CF9">
              <w:t>Self-testing results related to the key controls, or access to the system that houses the data</w:t>
            </w:r>
          </w:p>
        </w:tc>
      </w:tr>
      <w:tr w:rsidR="00CF122B" w14:paraId="78D0A98A" w14:textId="77777777" w:rsidTr="003C50B6">
        <w:tc>
          <w:tcPr>
            <w:tcW w:w="845" w:type="dxa"/>
          </w:tcPr>
          <w:p w14:paraId="1803DB02" w14:textId="77777777" w:rsidR="00CF122B" w:rsidRDefault="00CF122B" w:rsidP="00DA7825">
            <w:pPr>
              <w:rPr>
                <w:b/>
              </w:rPr>
            </w:pPr>
            <w:r>
              <w:rPr>
                <w:b/>
              </w:rPr>
              <w:t>06TSM</w:t>
            </w:r>
          </w:p>
        </w:tc>
        <w:tc>
          <w:tcPr>
            <w:tcW w:w="8605" w:type="dxa"/>
          </w:tcPr>
          <w:p w14:paraId="66F5A53B" w14:textId="77777777" w:rsidR="00CF122B" w:rsidRPr="00F22CF9" w:rsidRDefault="00CF122B" w:rsidP="00365ACF">
            <w:r w:rsidRPr="00F22CF9">
              <w:t>Criteria used to risk rank third parties</w:t>
            </w:r>
          </w:p>
        </w:tc>
      </w:tr>
      <w:tr w:rsidR="00CF122B" w14:paraId="78A65A94" w14:textId="77777777" w:rsidTr="003C50B6">
        <w:tc>
          <w:tcPr>
            <w:tcW w:w="845" w:type="dxa"/>
          </w:tcPr>
          <w:p w14:paraId="7804FC8E" w14:textId="77777777" w:rsidR="00CF122B" w:rsidRDefault="00CF122B" w:rsidP="00DA7825">
            <w:pPr>
              <w:rPr>
                <w:b/>
              </w:rPr>
            </w:pPr>
            <w:r>
              <w:rPr>
                <w:b/>
              </w:rPr>
              <w:t>07TSM</w:t>
            </w:r>
          </w:p>
        </w:tc>
        <w:tc>
          <w:tcPr>
            <w:tcW w:w="8605" w:type="dxa"/>
          </w:tcPr>
          <w:p w14:paraId="7259C34D" w14:textId="77777777" w:rsidR="00CF122B" w:rsidRPr="00F22CF9" w:rsidRDefault="00CF122B" w:rsidP="00F72FC3">
            <w:r w:rsidRPr="00F22CF9">
              <w:t>Automation (i.e. system used to perform the automation, logic used within this sytem) used to risk assess third parties</w:t>
            </w:r>
          </w:p>
        </w:tc>
      </w:tr>
      <w:tr w:rsidR="00CF122B" w14:paraId="2D7D0166" w14:textId="77777777" w:rsidTr="003C50B6">
        <w:tc>
          <w:tcPr>
            <w:tcW w:w="845" w:type="dxa"/>
          </w:tcPr>
          <w:p w14:paraId="20EDD87A" w14:textId="77777777" w:rsidR="00CF122B" w:rsidRDefault="00CF122B" w:rsidP="00DA7825">
            <w:pPr>
              <w:rPr>
                <w:b/>
              </w:rPr>
            </w:pPr>
            <w:r>
              <w:rPr>
                <w:b/>
              </w:rPr>
              <w:t>08TSM</w:t>
            </w:r>
          </w:p>
        </w:tc>
        <w:tc>
          <w:tcPr>
            <w:tcW w:w="8605" w:type="dxa"/>
          </w:tcPr>
          <w:p w14:paraId="5F968BC6" w14:textId="77777777" w:rsidR="00CF122B" w:rsidRPr="00F22CF9" w:rsidRDefault="00CF122B" w:rsidP="00365ACF">
            <w:r w:rsidRPr="00F22CF9">
              <w:t>Copy of the training provided to third parties regarding the security control techniques that are required</w:t>
            </w:r>
          </w:p>
        </w:tc>
      </w:tr>
      <w:tr w:rsidR="00CF122B" w14:paraId="592A9AED" w14:textId="77777777" w:rsidTr="003C50B6">
        <w:tc>
          <w:tcPr>
            <w:tcW w:w="845" w:type="dxa"/>
          </w:tcPr>
          <w:p w14:paraId="2FAB710F" w14:textId="77777777" w:rsidR="00CF122B" w:rsidRDefault="00CF122B" w:rsidP="00DA7825">
            <w:pPr>
              <w:rPr>
                <w:b/>
              </w:rPr>
            </w:pPr>
            <w:r>
              <w:rPr>
                <w:b/>
              </w:rPr>
              <w:t>09TSM</w:t>
            </w:r>
          </w:p>
        </w:tc>
        <w:tc>
          <w:tcPr>
            <w:tcW w:w="8605" w:type="dxa"/>
          </w:tcPr>
          <w:p w14:paraId="5F1D1F78" w14:textId="77777777" w:rsidR="00CF122B" w:rsidRPr="002534DE" w:rsidRDefault="00CF122B" w:rsidP="00365ACF">
            <w:r>
              <w:t xml:space="preserve">9/23/16: </w:t>
            </w:r>
            <w:r w:rsidRPr="002534DE">
              <w:t xml:space="preserve">An inventory of all third </w:t>
            </w:r>
            <w:r>
              <w:t>parties</w:t>
            </w:r>
            <w:r w:rsidRPr="002534DE">
              <w:t xml:space="preserve">.  </w:t>
            </w:r>
          </w:p>
          <w:p w14:paraId="7B4D2252" w14:textId="77777777" w:rsidR="00CF122B" w:rsidRPr="002534DE" w:rsidRDefault="00CF122B" w:rsidP="00CF122B">
            <w:pPr>
              <w:pStyle w:val="ListParagraph"/>
              <w:numPr>
                <w:ilvl w:val="0"/>
                <w:numId w:val="15"/>
              </w:numPr>
            </w:pPr>
            <w:r>
              <w:t>Please provide us with a “confirmed” list of the sources and access to systems that house this data</w:t>
            </w:r>
            <w:r w:rsidRPr="00CF122B">
              <w:t xml:space="preserve">. The individuals that need access are the audit team noted above. IA </w:t>
            </w:r>
            <w:r>
              <w:t>will need to be able to ascertain of this list the type of provider, the tier rating (risk rating) and the start/end date of the relationship.</w:t>
            </w:r>
          </w:p>
        </w:tc>
      </w:tr>
      <w:tr w:rsidR="00CF122B" w14:paraId="43F5CACF" w14:textId="77777777" w:rsidTr="003C50B6">
        <w:tc>
          <w:tcPr>
            <w:tcW w:w="845" w:type="dxa"/>
          </w:tcPr>
          <w:p w14:paraId="528648BE" w14:textId="77777777" w:rsidR="00CF122B" w:rsidRDefault="00CF122B" w:rsidP="00DA7825">
            <w:pPr>
              <w:rPr>
                <w:b/>
              </w:rPr>
            </w:pPr>
            <w:r>
              <w:rPr>
                <w:b/>
              </w:rPr>
              <w:t>10TSM</w:t>
            </w:r>
          </w:p>
        </w:tc>
        <w:tc>
          <w:tcPr>
            <w:tcW w:w="8605" w:type="dxa"/>
          </w:tcPr>
          <w:p w14:paraId="04A18847" w14:textId="77777777" w:rsidR="00CF122B" w:rsidRPr="002534DE" w:rsidRDefault="00CF122B" w:rsidP="00CF122B">
            <w:r>
              <w:t xml:space="preserve">9/23/16: </w:t>
            </w:r>
            <w:r w:rsidRPr="002534DE">
              <w:t xml:space="preserve">Population of </w:t>
            </w:r>
            <w:r>
              <w:t>Third-Party Risk governance</w:t>
            </w:r>
            <w:r w:rsidRPr="008A4099">
              <w:rPr>
                <w:color w:val="FF0000"/>
              </w:rPr>
              <w:t xml:space="preserve"> </w:t>
            </w:r>
            <w:r w:rsidRPr="002534DE">
              <w:t>exceptions and acceptance</w:t>
            </w:r>
            <w:r>
              <w:t xml:space="preserve"> criteria</w:t>
            </w:r>
          </w:p>
        </w:tc>
      </w:tr>
      <w:tr w:rsidR="003D4A1E" w14:paraId="052F1F2E" w14:textId="77777777" w:rsidTr="003C50B6">
        <w:tc>
          <w:tcPr>
            <w:tcW w:w="845" w:type="dxa"/>
          </w:tcPr>
          <w:p w14:paraId="477237D2" w14:textId="77777777" w:rsidR="003D4A1E" w:rsidRDefault="00CF122B" w:rsidP="002534DE">
            <w:pPr>
              <w:rPr>
                <w:b/>
              </w:rPr>
            </w:pPr>
            <w:r>
              <w:rPr>
                <w:b/>
              </w:rPr>
              <w:t>11</w:t>
            </w:r>
            <w:r w:rsidR="002534DE">
              <w:rPr>
                <w:b/>
              </w:rPr>
              <w:t>TSM</w:t>
            </w:r>
          </w:p>
        </w:tc>
        <w:tc>
          <w:tcPr>
            <w:tcW w:w="8605" w:type="dxa"/>
          </w:tcPr>
          <w:p w14:paraId="03D45E37" w14:textId="77777777" w:rsidR="0081228F" w:rsidRPr="002534DE" w:rsidRDefault="00B556F2" w:rsidP="0081228F">
            <w:r>
              <w:t xml:space="preserve">9/23/16: </w:t>
            </w:r>
            <w:r w:rsidR="002534DE" w:rsidRPr="002534DE">
              <w:t>Link to Risk Category Grid</w:t>
            </w:r>
          </w:p>
        </w:tc>
      </w:tr>
      <w:tr w:rsidR="002534DE" w14:paraId="5F8F5DC5" w14:textId="77777777" w:rsidTr="003C50B6">
        <w:tc>
          <w:tcPr>
            <w:tcW w:w="845" w:type="dxa"/>
          </w:tcPr>
          <w:p w14:paraId="7BCBC7DA" w14:textId="77777777" w:rsidR="002534DE" w:rsidRDefault="00CF122B" w:rsidP="002534DE">
            <w:pPr>
              <w:rPr>
                <w:b/>
              </w:rPr>
            </w:pPr>
            <w:r>
              <w:rPr>
                <w:b/>
              </w:rPr>
              <w:t>12</w:t>
            </w:r>
            <w:r w:rsidR="002534DE">
              <w:rPr>
                <w:b/>
              </w:rPr>
              <w:t>TSM</w:t>
            </w:r>
          </w:p>
        </w:tc>
        <w:tc>
          <w:tcPr>
            <w:tcW w:w="8605" w:type="dxa"/>
          </w:tcPr>
          <w:p w14:paraId="53BEF379" w14:textId="77777777" w:rsidR="0081228F" w:rsidRPr="002534DE" w:rsidRDefault="00B556F2" w:rsidP="00365ACF">
            <w:r>
              <w:t xml:space="preserve">9/23/16: </w:t>
            </w:r>
            <w:r w:rsidR="002534DE" w:rsidRPr="002534DE">
              <w:t>Link to Security Category Grid</w:t>
            </w:r>
          </w:p>
        </w:tc>
      </w:tr>
      <w:tr w:rsidR="002534DE" w14:paraId="79D8C814" w14:textId="77777777" w:rsidTr="003C50B6">
        <w:tc>
          <w:tcPr>
            <w:tcW w:w="845" w:type="dxa"/>
          </w:tcPr>
          <w:p w14:paraId="1A0D2F3A" w14:textId="77777777" w:rsidR="002534DE" w:rsidRDefault="00CF122B" w:rsidP="002534DE">
            <w:pPr>
              <w:rPr>
                <w:b/>
              </w:rPr>
            </w:pPr>
            <w:r>
              <w:rPr>
                <w:b/>
              </w:rPr>
              <w:t>13</w:t>
            </w:r>
            <w:r w:rsidR="002534DE">
              <w:rPr>
                <w:b/>
              </w:rPr>
              <w:t>TSM</w:t>
            </w:r>
          </w:p>
        </w:tc>
        <w:tc>
          <w:tcPr>
            <w:tcW w:w="8605" w:type="dxa"/>
          </w:tcPr>
          <w:p w14:paraId="06D983B0" w14:textId="77777777" w:rsidR="002534DE" w:rsidRPr="002534DE" w:rsidRDefault="00B556F2" w:rsidP="002534DE">
            <w:r>
              <w:t xml:space="preserve">9/23/16: </w:t>
            </w:r>
            <w:r w:rsidR="007C6458">
              <w:t>A List of any "known issues".</w:t>
            </w:r>
          </w:p>
          <w:p w14:paraId="619DB294" w14:textId="77777777" w:rsidR="002534DE" w:rsidRPr="002534DE" w:rsidRDefault="002534DE" w:rsidP="002534DE">
            <w:r w:rsidRPr="00200CC9">
              <w:rPr>
                <w:i/>
              </w:rPr>
              <w:t>To ensure our audit adds maximum value, discussing issues that are “known” to management during our audit planning is important as this may reduce the time audit staff spends in your area, avoids having auditors duplicate efforts already undertaken by management, and may eliminate the need for unnecessary discussions at the end of fieldwork</w:t>
            </w:r>
            <w:r w:rsidR="00200CC9">
              <w:t>.</w:t>
            </w:r>
          </w:p>
        </w:tc>
      </w:tr>
      <w:tr w:rsidR="00F00F99" w14:paraId="065E8834" w14:textId="77777777" w:rsidTr="003C50B6">
        <w:tc>
          <w:tcPr>
            <w:tcW w:w="845" w:type="dxa"/>
          </w:tcPr>
          <w:p w14:paraId="0C80B230" w14:textId="77777777" w:rsidR="00F00F99" w:rsidRDefault="00CF122B" w:rsidP="002534DE">
            <w:pPr>
              <w:rPr>
                <w:b/>
              </w:rPr>
            </w:pPr>
            <w:r>
              <w:rPr>
                <w:b/>
              </w:rPr>
              <w:t>14</w:t>
            </w:r>
            <w:r w:rsidR="00F00F99">
              <w:rPr>
                <w:b/>
              </w:rPr>
              <w:t>TSM</w:t>
            </w:r>
          </w:p>
        </w:tc>
        <w:tc>
          <w:tcPr>
            <w:tcW w:w="8605" w:type="dxa"/>
          </w:tcPr>
          <w:p w14:paraId="404085EC" w14:textId="77777777" w:rsidR="00F00F99" w:rsidRPr="002534DE" w:rsidRDefault="00B556F2" w:rsidP="008A4099">
            <w:r>
              <w:t xml:space="preserve">10/7/16: </w:t>
            </w:r>
            <w:r w:rsidR="00F00F99" w:rsidRPr="00F00F99">
              <w:t>Dept</w:t>
            </w:r>
            <w:r w:rsidR="00F00F99">
              <w:t>. of Insurance audit results/</w:t>
            </w:r>
            <w:r w:rsidR="00F00F99" w:rsidRPr="00F00F99">
              <w:t>audit report</w:t>
            </w:r>
            <w:r w:rsidR="00200CC9">
              <w:t>s as related to governance of third-</w:t>
            </w:r>
            <w:r w:rsidR="008A4099">
              <w:t>parties</w:t>
            </w:r>
          </w:p>
        </w:tc>
      </w:tr>
      <w:tr w:rsidR="0081228F" w14:paraId="35642D75" w14:textId="77777777" w:rsidTr="003C50B6">
        <w:tc>
          <w:tcPr>
            <w:tcW w:w="845" w:type="dxa"/>
          </w:tcPr>
          <w:p w14:paraId="739BE1B8" w14:textId="77777777" w:rsidR="0081228F" w:rsidRDefault="00CF122B" w:rsidP="002534DE">
            <w:pPr>
              <w:rPr>
                <w:b/>
              </w:rPr>
            </w:pPr>
            <w:r>
              <w:rPr>
                <w:b/>
              </w:rPr>
              <w:t>15</w:t>
            </w:r>
            <w:r w:rsidR="0081228F">
              <w:rPr>
                <w:b/>
              </w:rPr>
              <w:t>TSM</w:t>
            </w:r>
          </w:p>
        </w:tc>
        <w:tc>
          <w:tcPr>
            <w:tcW w:w="8605" w:type="dxa"/>
          </w:tcPr>
          <w:p w14:paraId="3E2F3DD7" w14:textId="77777777" w:rsidR="0081228F" w:rsidRDefault="00B556F2" w:rsidP="002534DE">
            <w:r>
              <w:t xml:space="preserve">10/12/16: </w:t>
            </w:r>
            <w:r w:rsidR="00986FE9">
              <w:t xml:space="preserve">Copy of the ACO schedule for third &amp; fourth party providers for 2016 and planned </w:t>
            </w:r>
            <w:r w:rsidR="00986FE9">
              <w:lastRenderedPageBreak/>
              <w:t>for 2017</w:t>
            </w:r>
          </w:p>
        </w:tc>
      </w:tr>
      <w:tr w:rsidR="00986FE9" w14:paraId="4AFD0DD4" w14:textId="77777777" w:rsidTr="003C50B6">
        <w:tc>
          <w:tcPr>
            <w:tcW w:w="845" w:type="dxa"/>
          </w:tcPr>
          <w:p w14:paraId="5F30BEDD" w14:textId="77777777" w:rsidR="00986FE9" w:rsidRDefault="00CF122B" w:rsidP="002534DE">
            <w:pPr>
              <w:rPr>
                <w:b/>
              </w:rPr>
            </w:pPr>
            <w:r>
              <w:rPr>
                <w:b/>
              </w:rPr>
              <w:lastRenderedPageBreak/>
              <w:t>16</w:t>
            </w:r>
            <w:r w:rsidR="00986FE9">
              <w:rPr>
                <w:b/>
              </w:rPr>
              <w:t>TSM</w:t>
            </w:r>
          </w:p>
        </w:tc>
        <w:tc>
          <w:tcPr>
            <w:tcW w:w="8605" w:type="dxa"/>
          </w:tcPr>
          <w:p w14:paraId="6C170A8F" w14:textId="77777777" w:rsidR="00986FE9" w:rsidRDefault="00B556F2" w:rsidP="002534DE">
            <w:r>
              <w:t xml:space="preserve">10/12/16: </w:t>
            </w:r>
            <w:r w:rsidR="008B738B">
              <w:t>The</w:t>
            </w:r>
            <w:r w:rsidR="00986FE9">
              <w:t xml:space="preserve"> results and or grading for all completed ACOs for 2016 </w:t>
            </w:r>
          </w:p>
        </w:tc>
      </w:tr>
      <w:tr w:rsidR="00962C3D" w14:paraId="3FA44E14" w14:textId="77777777" w:rsidTr="003C50B6">
        <w:tc>
          <w:tcPr>
            <w:tcW w:w="845" w:type="dxa"/>
          </w:tcPr>
          <w:p w14:paraId="69085DD9" w14:textId="77777777" w:rsidR="00962C3D" w:rsidRDefault="00CF122B" w:rsidP="002534DE">
            <w:pPr>
              <w:rPr>
                <w:b/>
              </w:rPr>
            </w:pPr>
            <w:r>
              <w:rPr>
                <w:b/>
              </w:rPr>
              <w:t>17</w:t>
            </w:r>
            <w:r w:rsidR="00962C3D">
              <w:rPr>
                <w:b/>
              </w:rPr>
              <w:t>TSM</w:t>
            </w:r>
          </w:p>
        </w:tc>
        <w:tc>
          <w:tcPr>
            <w:tcW w:w="8605" w:type="dxa"/>
          </w:tcPr>
          <w:p w14:paraId="010533E3" w14:textId="77777777" w:rsidR="00962C3D" w:rsidRDefault="00B556F2" w:rsidP="008A4099">
            <w:r>
              <w:t xml:space="preserve">10/12/16: </w:t>
            </w:r>
            <w:r w:rsidR="008B738B">
              <w:t>A</w:t>
            </w:r>
            <w:r w:rsidR="00962C3D">
              <w:t xml:space="preserve"> list of businesses that chose not to perform on-site reviews of third-part</w:t>
            </w:r>
            <w:r w:rsidR="008A4099">
              <w:t xml:space="preserve">ies in </w:t>
            </w:r>
            <w:r w:rsidR="00200CC9">
              <w:t>the last 12 months</w:t>
            </w:r>
            <w:r w:rsidR="00962C3D">
              <w:t>, including reason provided to your governance team.</w:t>
            </w:r>
          </w:p>
        </w:tc>
      </w:tr>
    </w:tbl>
    <w:p w14:paraId="1D541B1A" w14:textId="77777777" w:rsidR="0017291C" w:rsidRPr="00DF33BF" w:rsidRDefault="0017291C" w:rsidP="0017291C">
      <w:pPr>
        <w:spacing w:after="0"/>
        <w:rPr>
          <w:i/>
          <w:sz w:val="16"/>
          <w:szCs w:val="16"/>
        </w:rPr>
      </w:pPr>
      <w:r w:rsidRPr="00DF33BF">
        <w:rPr>
          <w:i/>
          <w:sz w:val="16"/>
          <w:szCs w:val="16"/>
        </w:rPr>
        <w:t xml:space="preserve">*This is an initial data request list to enable the Internal Audit Department to obtain a current understanding of </w:t>
      </w:r>
      <w:r>
        <w:rPr>
          <w:i/>
          <w:sz w:val="16"/>
          <w:szCs w:val="16"/>
        </w:rPr>
        <w:t xml:space="preserve">the </w:t>
      </w:r>
      <w:r w:rsidRPr="00DF33BF">
        <w:rPr>
          <w:i/>
          <w:sz w:val="16"/>
          <w:szCs w:val="16"/>
        </w:rPr>
        <w:t xml:space="preserve">business function being audited, prior to the start of fieldwork.  Additional data </w:t>
      </w:r>
      <w:r>
        <w:rPr>
          <w:i/>
          <w:sz w:val="16"/>
          <w:szCs w:val="16"/>
        </w:rPr>
        <w:t xml:space="preserve">will be </w:t>
      </w:r>
      <w:r w:rsidRPr="00DF33BF">
        <w:rPr>
          <w:i/>
          <w:sz w:val="16"/>
          <w:szCs w:val="16"/>
        </w:rPr>
        <w:t>request</w:t>
      </w:r>
      <w:r>
        <w:rPr>
          <w:i/>
          <w:sz w:val="16"/>
          <w:szCs w:val="16"/>
        </w:rPr>
        <w:t>ed after</w:t>
      </w:r>
      <w:r w:rsidRPr="00DF33BF">
        <w:rPr>
          <w:i/>
          <w:sz w:val="16"/>
          <w:szCs w:val="16"/>
        </w:rPr>
        <w:t xml:space="preserve"> completion of the walk-throughs</w:t>
      </w:r>
      <w:r>
        <w:rPr>
          <w:i/>
          <w:sz w:val="16"/>
          <w:szCs w:val="16"/>
        </w:rPr>
        <w:t xml:space="preserve"> with the auditees.</w:t>
      </w:r>
    </w:p>
    <w:p w14:paraId="3EA07E7A" w14:textId="77777777" w:rsidR="0017291C" w:rsidRDefault="0017291C" w:rsidP="003D4A1E">
      <w:pPr>
        <w:spacing w:after="0"/>
        <w:ind w:left="2250" w:hanging="2250"/>
        <w:rPr>
          <w:b/>
        </w:rPr>
      </w:pPr>
    </w:p>
    <w:p w14:paraId="2E20D37B" w14:textId="77777777" w:rsidR="00526984" w:rsidRPr="005F516C" w:rsidRDefault="00CF122B" w:rsidP="005F5BAE">
      <w:pPr>
        <w:spacing w:after="0"/>
        <w:ind w:left="2250" w:hanging="2250"/>
        <w:rPr>
          <w:b/>
        </w:rPr>
      </w:pPr>
      <w:r>
        <w:rPr>
          <w:b/>
        </w:rPr>
        <w:t xml:space="preserve">Preliminary </w:t>
      </w:r>
      <w:r w:rsidR="00526984" w:rsidRPr="005F516C">
        <w:rPr>
          <w:b/>
        </w:rPr>
        <w:t>Questions for Auditee</w:t>
      </w:r>
      <w:r>
        <w:rPr>
          <w:b/>
        </w:rPr>
        <w:t xml:space="preserve"> (</w:t>
      </w:r>
      <w:r w:rsidRPr="00CF122B">
        <w:rPr>
          <w:b/>
          <w:i/>
        </w:rPr>
        <w:t>Meeting 10/1</w:t>
      </w:r>
      <w:r>
        <w:rPr>
          <w:b/>
          <w:i/>
        </w:rPr>
        <w:t>7</w:t>
      </w:r>
      <w:r w:rsidRPr="00CF122B">
        <w:rPr>
          <w:b/>
          <w:i/>
        </w:rPr>
        <w:t>/16 to close these</w:t>
      </w:r>
      <w:r>
        <w:rPr>
          <w:b/>
        </w:rPr>
        <w:t>)</w:t>
      </w:r>
    </w:p>
    <w:tbl>
      <w:tblPr>
        <w:tblStyle w:val="TableGrid"/>
        <w:tblW w:w="9450" w:type="dxa"/>
        <w:tblInd w:w="198" w:type="dxa"/>
        <w:tblLook w:val="04A0" w:firstRow="1" w:lastRow="0" w:firstColumn="1" w:lastColumn="0" w:noHBand="0" w:noVBand="1"/>
      </w:tblPr>
      <w:tblGrid>
        <w:gridCol w:w="9450"/>
      </w:tblGrid>
      <w:tr w:rsidR="00526984" w:rsidRPr="005F5BAE" w14:paraId="78BDF03D" w14:textId="77777777" w:rsidTr="007860E5">
        <w:tc>
          <w:tcPr>
            <w:tcW w:w="9450" w:type="dxa"/>
          </w:tcPr>
          <w:p w14:paraId="3C5DE243" w14:textId="77777777" w:rsidR="00526984" w:rsidRPr="005F5BAE" w:rsidRDefault="00200CC9" w:rsidP="005F5BAE">
            <w:pPr>
              <w:pStyle w:val="ListParagraph"/>
              <w:numPr>
                <w:ilvl w:val="0"/>
                <w:numId w:val="22"/>
              </w:numPr>
            </w:pPr>
            <w:r w:rsidRPr="005F5BAE">
              <w:t xml:space="preserve">How </w:t>
            </w:r>
            <w:r w:rsidR="002D2BFF" w:rsidRPr="005F5BAE">
              <w:t>the TP governance team is</w:t>
            </w:r>
            <w:r w:rsidRPr="005F5BAE">
              <w:t xml:space="preserve"> made aware of new arrangement and or edited arrangements with third/fourth parties?  What is the intake process? </w:t>
            </w:r>
          </w:p>
        </w:tc>
      </w:tr>
      <w:tr w:rsidR="00526984" w14:paraId="52D22554" w14:textId="77777777" w:rsidTr="007860E5">
        <w:tc>
          <w:tcPr>
            <w:tcW w:w="9450" w:type="dxa"/>
          </w:tcPr>
          <w:p w14:paraId="29B65470" w14:textId="77777777" w:rsidR="00526984" w:rsidRPr="00200CC9" w:rsidRDefault="00200CC9" w:rsidP="005F5BAE">
            <w:pPr>
              <w:pStyle w:val="ListParagraph"/>
              <w:numPr>
                <w:ilvl w:val="0"/>
                <w:numId w:val="22"/>
              </w:numPr>
            </w:pPr>
            <w:r w:rsidRPr="00200CC9">
              <w:t>What role does Procurement and Legal have as part of the governance oversight of TP?  What are other required and critical Aetna business organizations that support the process?</w:t>
            </w:r>
          </w:p>
        </w:tc>
      </w:tr>
      <w:tr w:rsidR="00526984" w14:paraId="0098D9A0" w14:textId="77777777" w:rsidTr="007860E5">
        <w:tc>
          <w:tcPr>
            <w:tcW w:w="9450" w:type="dxa"/>
          </w:tcPr>
          <w:p w14:paraId="62EEDCC8" w14:textId="77777777" w:rsidR="00526984" w:rsidRPr="00200CC9" w:rsidRDefault="00D81C22" w:rsidP="00D81C22">
            <w:pPr>
              <w:pStyle w:val="ListParagraph"/>
              <w:numPr>
                <w:ilvl w:val="0"/>
                <w:numId w:val="22"/>
              </w:numPr>
            </w:pPr>
            <w:r>
              <w:t>How is the TP Governance &amp; Monitoring team advised of changes with or to third/fourth parties?  Changes can be changes to established arrangements and or issues that could pose legal risk to Aetna.</w:t>
            </w:r>
          </w:p>
        </w:tc>
      </w:tr>
      <w:tr w:rsidR="00526984" w14:paraId="1DB89E03" w14:textId="77777777" w:rsidTr="007860E5">
        <w:tc>
          <w:tcPr>
            <w:tcW w:w="9450" w:type="dxa"/>
          </w:tcPr>
          <w:p w14:paraId="02E170FF" w14:textId="77777777" w:rsidR="00526984" w:rsidRPr="00200CC9" w:rsidRDefault="00D81C22" w:rsidP="00D81C22">
            <w:pPr>
              <w:pStyle w:val="ListParagraph"/>
              <w:numPr>
                <w:ilvl w:val="0"/>
                <w:numId w:val="22"/>
              </w:numPr>
              <w:contextualSpacing w:val="0"/>
            </w:pPr>
            <w:r>
              <w:t>Please provide location to the Security category list referenced in acs-4751, Third Party Categorization standard.</w:t>
            </w:r>
          </w:p>
        </w:tc>
      </w:tr>
      <w:tr w:rsidR="00526984" w14:paraId="6A369E1A" w14:textId="77777777" w:rsidTr="007860E5">
        <w:tc>
          <w:tcPr>
            <w:tcW w:w="9450" w:type="dxa"/>
          </w:tcPr>
          <w:p w14:paraId="4E92A0FB" w14:textId="77777777" w:rsidR="00526984" w:rsidRPr="00200CC9" w:rsidRDefault="00D81C22" w:rsidP="00D81C22">
            <w:pPr>
              <w:pStyle w:val="ListParagraph"/>
              <w:numPr>
                <w:ilvl w:val="0"/>
                <w:numId w:val="22"/>
              </w:numPr>
              <w:contextualSpacing w:val="0"/>
            </w:pPr>
            <w:r>
              <w:t>Where we maintain third party business partners (TPBP), are relationship managers identified? What about identified contacts for TPBPs?</w:t>
            </w:r>
          </w:p>
        </w:tc>
      </w:tr>
      <w:tr w:rsidR="00526984" w14:paraId="08A73552" w14:textId="77777777" w:rsidTr="007860E5">
        <w:tc>
          <w:tcPr>
            <w:tcW w:w="9450" w:type="dxa"/>
          </w:tcPr>
          <w:p w14:paraId="4C5C3698" w14:textId="77777777" w:rsidR="00526984" w:rsidRPr="00200CC9" w:rsidRDefault="00142B1E" w:rsidP="00142B1E">
            <w:pPr>
              <w:pStyle w:val="ListParagraph"/>
              <w:numPr>
                <w:ilvl w:val="0"/>
                <w:numId w:val="22"/>
              </w:numPr>
              <w:contextualSpacing w:val="0"/>
            </w:pPr>
            <w:r>
              <w:t>How often is the risk criteria reviewed to identify needs for update? And by whom? (factors include: emerging/new risks, industry risks, changes to regulatory landscape etc)</w:t>
            </w:r>
          </w:p>
        </w:tc>
      </w:tr>
      <w:tr w:rsidR="00526984" w14:paraId="72225CDD" w14:textId="77777777" w:rsidTr="007860E5">
        <w:tc>
          <w:tcPr>
            <w:tcW w:w="9450" w:type="dxa"/>
          </w:tcPr>
          <w:p w14:paraId="11B544F0" w14:textId="77777777" w:rsidR="00526984" w:rsidRPr="00200CC9" w:rsidRDefault="00E7765C" w:rsidP="00142B1E">
            <w:pPr>
              <w:pStyle w:val="ListParagraph"/>
              <w:numPr>
                <w:ilvl w:val="0"/>
                <w:numId w:val="22"/>
              </w:numPr>
            </w:pPr>
            <w:r>
              <w:t>With regard to the assessments completed, who is responsible for executing the assessments and to whom do they report results?</w:t>
            </w:r>
          </w:p>
        </w:tc>
      </w:tr>
      <w:tr w:rsidR="00526984" w14:paraId="6EF0751F" w14:textId="77777777" w:rsidTr="007860E5">
        <w:tc>
          <w:tcPr>
            <w:tcW w:w="9450" w:type="dxa"/>
          </w:tcPr>
          <w:p w14:paraId="2B517489" w14:textId="77777777" w:rsidR="00526984" w:rsidRPr="00200CC9" w:rsidRDefault="00E7765C" w:rsidP="00E7765C">
            <w:pPr>
              <w:pStyle w:val="ListParagraph"/>
              <w:numPr>
                <w:ilvl w:val="0"/>
                <w:numId w:val="22"/>
              </w:numPr>
            </w:pPr>
            <w:r>
              <w:t>Please confirm that assessments on-site are optional for businesses due to expenses on business cost centers.  Also for those TPBPs that fall into Tier 1, are those on-sites optional?</w:t>
            </w:r>
          </w:p>
        </w:tc>
      </w:tr>
      <w:tr w:rsidR="00E7765C" w14:paraId="7A32A08F" w14:textId="77777777" w:rsidTr="007860E5">
        <w:tc>
          <w:tcPr>
            <w:tcW w:w="9450" w:type="dxa"/>
          </w:tcPr>
          <w:p w14:paraId="19CA1FCC" w14:textId="77777777" w:rsidR="00E7765C" w:rsidRDefault="0006277D" w:rsidP="004D1959">
            <w:pPr>
              <w:pStyle w:val="ListParagraph"/>
              <w:numPr>
                <w:ilvl w:val="0"/>
                <w:numId w:val="22"/>
              </w:numPr>
            </w:pPr>
            <w:r>
              <w:t>How do you identify non-compliance behaviors? And where is this documented/tracked?</w:t>
            </w:r>
            <w:r w:rsidR="004D1959">
              <w:t xml:space="preserve">  What is Aetna’s action to non-compliance on behalf of the TPBPs?</w:t>
            </w:r>
          </w:p>
        </w:tc>
      </w:tr>
      <w:tr w:rsidR="00E7765C" w14:paraId="4446E5CF" w14:textId="77777777" w:rsidTr="007860E5">
        <w:tc>
          <w:tcPr>
            <w:tcW w:w="9450" w:type="dxa"/>
          </w:tcPr>
          <w:p w14:paraId="03468AC9" w14:textId="77777777" w:rsidR="00E7765C" w:rsidRDefault="007D3BDA" w:rsidP="00E7765C">
            <w:pPr>
              <w:pStyle w:val="ListParagraph"/>
              <w:numPr>
                <w:ilvl w:val="0"/>
                <w:numId w:val="22"/>
              </w:numPr>
            </w:pPr>
            <w:r>
              <w:t>How does your team manage and track “extended service” arrangements made between a business and a TPBP?  Are there any assessments or approvals in place to ensure that extended arrangement or use of services/products doesn’t impact current risk rating?</w:t>
            </w:r>
          </w:p>
        </w:tc>
      </w:tr>
      <w:tr w:rsidR="00E7765C" w14:paraId="4BE44C05" w14:textId="77777777" w:rsidTr="007860E5">
        <w:tc>
          <w:tcPr>
            <w:tcW w:w="9450" w:type="dxa"/>
          </w:tcPr>
          <w:p w14:paraId="6EEB1728" w14:textId="77777777" w:rsidR="00E7765C" w:rsidRDefault="009372BD" w:rsidP="00E7765C">
            <w:pPr>
              <w:pStyle w:val="ListParagraph"/>
              <w:numPr>
                <w:ilvl w:val="0"/>
                <w:numId w:val="22"/>
              </w:numPr>
            </w:pPr>
            <w:r>
              <w:t>How does your team monitor expenditure related to TPBPs?  Is it possible that a business area can charge services/</w:t>
            </w:r>
            <w:r w:rsidR="004F1BA3">
              <w:t>products using</w:t>
            </w:r>
            <w:r>
              <w:t xml:space="preserve"> a corporate card and expense them without that expense falling into the proper expense classification for TPBPs?</w:t>
            </w:r>
          </w:p>
        </w:tc>
      </w:tr>
      <w:tr w:rsidR="00E7765C" w14:paraId="4D4D1B7E" w14:textId="77777777" w:rsidTr="007860E5">
        <w:tc>
          <w:tcPr>
            <w:tcW w:w="9450" w:type="dxa"/>
          </w:tcPr>
          <w:p w14:paraId="10454AA3" w14:textId="77777777" w:rsidR="00E7765C" w:rsidRDefault="00CC7DA2" w:rsidP="00E7765C">
            <w:pPr>
              <w:pStyle w:val="ListParagraph"/>
              <w:numPr>
                <w:ilvl w:val="0"/>
                <w:numId w:val="22"/>
              </w:numPr>
            </w:pPr>
            <w:r>
              <w:t>What requirements do you place on the business groups that own the relationships with TPBPs?  For example, if a business group manages relationship and governs that TPBP, if the TP falls into a specific tier is it mandatory that your team be involved in certain discussions related to the arrangement?  How is that managed?</w:t>
            </w:r>
          </w:p>
        </w:tc>
      </w:tr>
      <w:tr w:rsidR="00EC4DF5" w14:paraId="6E6240A7" w14:textId="77777777" w:rsidTr="007860E5">
        <w:tc>
          <w:tcPr>
            <w:tcW w:w="9450" w:type="dxa"/>
          </w:tcPr>
          <w:p w14:paraId="2224872B" w14:textId="77777777" w:rsidR="00EC4DF5" w:rsidRDefault="00F64583" w:rsidP="00E7765C">
            <w:pPr>
              <w:pStyle w:val="ListParagraph"/>
              <w:numPr>
                <w:ilvl w:val="0"/>
                <w:numId w:val="22"/>
              </w:numPr>
            </w:pPr>
            <w:r>
              <w:t>Understanding that the risk assessment criteria can be around 500 questions, can you explain how you intake evidence supporting the replies by the TPBPs?  Does your team conduct initial on-site evaluations as part of the assessment process for TPBPs?</w:t>
            </w:r>
          </w:p>
        </w:tc>
      </w:tr>
      <w:tr w:rsidR="00EC4DF5" w14:paraId="10DF2F6B" w14:textId="77777777" w:rsidTr="007860E5">
        <w:tc>
          <w:tcPr>
            <w:tcW w:w="9450" w:type="dxa"/>
          </w:tcPr>
          <w:p w14:paraId="4A57442C" w14:textId="77777777" w:rsidR="00EC4DF5" w:rsidRDefault="008D7B9A" w:rsidP="00E7765C">
            <w:pPr>
              <w:pStyle w:val="ListParagraph"/>
              <w:numPr>
                <w:ilvl w:val="0"/>
                <w:numId w:val="22"/>
              </w:numPr>
            </w:pPr>
            <w:r>
              <w:t>Is it possible that a TPBP that was determined to be lower tier could have shifted into higher rating before the ACO is completed?  How would your team identify those instances?</w:t>
            </w:r>
          </w:p>
        </w:tc>
      </w:tr>
    </w:tbl>
    <w:p w14:paraId="5D2AD0C5" w14:textId="77777777" w:rsidR="00BC66A6" w:rsidRDefault="00BC66A6">
      <w:pPr>
        <w:rPr>
          <w:b/>
          <w:u w:val="single"/>
        </w:rPr>
      </w:pPr>
    </w:p>
    <w:p w14:paraId="4E97F88C" w14:textId="77777777" w:rsidR="00BC66A6" w:rsidRDefault="00BC66A6">
      <w:pPr>
        <w:rPr>
          <w:b/>
          <w:u w:val="single"/>
        </w:rPr>
      </w:pPr>
    </w:p>
    <w:sectPr w:rsidR="00BC66A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69A9D" w14:textId="77777777" w:rsidR="00A3685E" w:rsidRDefault="00A3685E" w:rsidP="00EA6875">
      <w:pPr>
        <w:spacing w:after="0" w:line="240" w:lineRule="auto"/>
      </w:pPr>
      <w:r>
        <w:separator/>
      </w:r>
    </w:p>
  </w:endnote>
  <w:endnote w:type="continuationSeparator" w:id="0">
    <w:p w14:paraId="575EB1B4" w14:textId="77777777" w:rsidR="00A3685E" w:rsidRDefault="00A3685E" w:rsidP="00EA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6EAAD" w14:textId="77777777" w:rsidR="00A3685E" w:rsidRDefault="00A3685E" w:rsidP="00EA6875">
      <w:pPr>
        <w:spacing w:after="0" w:line="240" w:lineRule="auto"/>
      </w:pPr>
      <w:r>
        <w:separator/>
      </w:r>
    </w:p>
  </w:footnote>
  <w:footnote w:type="continuationSeparator" w:id="0">
    <w:p w14:paraId="5744615E" w14:textId="77777777" w:rsidR="00A3685E" w:rsidRDefault="00A3685E" w:rsidP="00EA6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92AC" w14:textId="77777777" w:rsidR="00EA6875" w:rsidRPr="00EA6875" w:rsidRDefault="00BA0CF1" w:rsidP="00EA6875">
    <w:pPr>
      <w:pStyle w:val="Header"/>
      <w:jc w:val="center"/>
      <w:rPr>
        <w:b/>
        <w:sz w:val="24"/>
        <w:szCs w:val="24"/>
      </w:rPr>
    </w:pPr>
    <w:r>
      <w:rPr>
        <w:b/>
        <w:sz w:val="24"/>
        <w:szCs w:val="24"/>
      </w:rPr>
      <w:t xml:space="preserve">16212: </w:t>
    </w:r>
    <w:r w:rsidR="00420F44">
      <w:rPr>
        <w:b/>
        <w:sz w:val="24"/>
        <w:szCs w:val="24"/>
      </w:rPr>
      <w:t>Third Party Security Risk Management Audit</w:t>
    </w:r>
    <w:r w:rsidR="00EA6875" w:rsidRPr="00EA6875">
      <w:rPr>
        <w:b/>
        <w:sz w:val="24"/>
        <w:szCs w:val="24"/>
      </w:rPr>
      <w:t xml:space="preserve"> </w:t>
    </w:r>
    <w:r w:rsidR="00424339">
      <w:rPr>
        <w:b/>
        <w:sz w:val="24"/>
        <w:szCs w:val="24"/>
      </w:rPr>
      <w:t>–Scope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C81"/>
    <w:multiLevelType w:val="hybridMultilevel"/>
    <w:tmpl w:val="E0CC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1E5B"/>
    <w:multiLevelType w:val="hybridMultilevel"/>
    <w:tmpl w:val="7934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E02FC"/>
    <w:multiLevelType w:val="hybridMultilevel"/>
    <w:tmpl w:val="697E5ED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DE7CB7"/>
    <w:multiLevelType w:val="hybridMultilevel"/>
    <w:tmpl w:val="8152A656"/>
    <w:lvl w:ilvl="0" w:tplc="B6E60486">
      <w:start w:val="1"/>
      <w:numFmt w:val="decimal"/>
      <w:lvlText w:val="%1."/>
      <w:lvlJc w:val="left"/>
      <w:pPr>
        <w:tabs>
          <w:tab w:val="num" w:pos="720"/>
        </w:tabs>
        <w:ind w:left="720" w:hanging="360"/>
      </w:pPr>
    </w:lvl>
    <w:lvl w:ilvl="1" w:tplc="CA26C3AA">
      <w:start w:val="1"/>
      <w:numFmt w:val="decimal"/>
      <w:lvlText w:val="%2."/>
      <w:lvlJc w:val="left"/>
      <w:pPr>
        <w:tabs>
          <w:tab w:val="num" w:pos="1440"/>
        </w:tabs>
        <w:ind w:left="1440" w:hanging="360"/>
      </w:pPr>
    </w:lvl>
    <w:lvl w:ilvl="2" w:tplc="CDDE3E08" w:tentative="1">
      <w:start w:val="1"/>
      <w:numFmt w:val="decimal"/>
      <w:lvlText w:val="%3."/>
      <w:lvlJc w:val="left"/>
      <w:pPr>
        <w:tabs>
          <w:tab w:val="num" w:pos="2160"/>
        </w:tabs>
        <w:ind w:left="2160" w:hanging="360"/>
      </w:pPr>
    </w:lvl>
    <w:lvl w:ilvl="3" w:tplc="44F6DDC6" w:tentative="1">
      <w:start w:val="1"/>
      <w:numFmt w:val="decimal"/>
      <w:lvlText w:val="%4."/>
      <w:lvlJc w:val="left"/>
      <w:pPr>
        <w:tabs>
          <w:tab w:val="num" w:pos="2880"/>
        </w:tabs>
        <w:ind w:left="2880" w:hanging="360"/>
      </w:pPr>
    </w:lvl>
    <w:lvl w:ilvl="4" w:tplc="87E6002A" w:tentative="1">
      <w:start w:val="1"/>
      <w:numFmt w:val="decimal"/>
      <w:lvlText w:val="%5."/>
      <w:lvlJc w:val="left"/>
      <w:pPr>
        <w:tabs>
          <w:tab w:val="num" w:pos="3600"/>
        </w:tabs>
        <w:ind w:left="3600" w:hanging="360"/>
      </w:pPr>
    </w:lvl>
    <w:lvl w:ilvl="5" w:tplc="9C12CC64" w:tentative="1">
      <w:start w:val="1"/>
      <w:numFmt w:val="decimal"/>
      <w:lvlText w:val="%6."/>
      <w:lvlJc w:val="left"/>
      <w:pPr>
        <w:tabs>
          <w:tab w:val="num" w:pos="4320"/>
        </w:tabs>
        <w:ind w:left="4320" w:hanging="360"/>
      </w:pPr>
    </w:lvl>
    <w:lvl w:ilvl="6" w:tplc="C5C6AEC6" w:tentative="1">
      <w:start w:val="1"/>
      <w:numFmt w:val="decimal"/>
      <w:lvlText w:val="%7."/>
      <w:lvlJc w:val="left"/>
      <w:pPr>
        <w:tabs>
          <w:tab w:val="num" w:pos="5040"/>
        </w:tabs>
        <w:ind w:left="5040" w:hanging="360"/>
      </w:pPr>
    </w:lvl>
    <w:lvl w:ilvl="7" w:tplc="7EC84A50" w:tentative="1">
      <w:start w:val="1"/>
      <w:numFmt w:val="decimal"/>
      <w:lvlText w:val="%8."/>
      <w:lvlJc w:val="left"/>
      <w:pPr>
        <w:tabs>
          <w:tab w:val="num" w:pos="5760"/>
        </w:tabs>
        <w:ind w:left="5760" w:hanging="360"/>
      </w:pPr>
    </w:lvl>
    <w:lvl w:ilvl="8" w:tplc="3D46097A" w:tentative="1">
      <w:start w:val="1"/>
      <w:numFmt w:val="decimal"/>
      <w:lvlText w:val="%9."/>
      <w:lvlJc w:val="left"/>
      <w:pPr>
        <w:tabs>
          <w:tab w:val="num" w:pos="6480"/>
        </w:tabs>
        <w:ind w:left="6480" w:hanging="360"/>
      </w:pPr>
    </w:lvl>
  </w:abstractNum>
  <w:abstractNum w:abstractNumId="4" w15:restartNumberingAfterBreak="0">
    <w:nsid w:val="20115F92"/>
    <w:multiLevelType w:val="hybridMultilevel"/>
    <w:tmpl w:val="823A6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D419A"/>
    <w:multiLevelType w:val="hybridMultilevel"/>
    <w:tmpl w:val="02EE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F2D12"/>
    <w:multiLevelType w:val="hybridMultilevel"/>
    <w:tmpl w:val="8DAC64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4A58D2"/>
    <w:multiLevelType w:val="hybridMultilevel"/>
    <w:tmpl w:val="867A8E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FB6E2F"/>
    <w:multiLevelType w:val="hybridMultilevel"/>
    <w:tmpl w:val="9E56C108"/>
    <w:lvl w:ilvl="0" w:tplc="85A6B9E8">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2B57AD6"/>
    <w:multiLevelType w:val="hybridMultilevel"/>
    <w:tmpl w:val="072A14CE"/>
    <w:lvl w:ilvl="0" w:tplc="C772E9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CC0F6E"/>
    <w:multiLevelType w:val="hybridMultilevel"/>
    <w:tmpl w:val="3CB20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AB70B9"/>
    <w:multiLevelType w:val="hybridMultilevel"/>
    <w:tmpl w:val="993E51EA"/>
    <w:lvl w:ilvl="0" w:tplc="02EA2CA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DE1F9B"/>
    <w:multiLevelType w:val="hybridMultilevel"/>
    <w:tmpl w:val="15CC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921F6"/>
    <w:multiLevelType w:val="hybridMultilevel"/>
    <w:tmpl w:val="EC8E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14428"/>
    <w:multiLevelType w:val="hybridMultilevel"/>
    <w:tmpl w:val="F5AA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B732E"/>
    <w:multiLevelType w:val="hybridMultilevel"/>
    <w:tmpl w:val="6ACEF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944719"/>
    <w:multiLevelType w:val="hybridMultilevel"/>
    <w:tmpl w:val="E07CBABC"/>
    <w:lvl w:ilvl="0" w:tplc="DCEA993A">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2B16DF8"/>
    <w:multiLevelType w:val="hybridMultilevel"/>
    <w:tmpl w:val="D82CCBB4"/>
    <w:lvl w:ilvl="0" w:tplc="C3C4CF5E">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3B72DA2"/>
    <w:multiLevelType w:val="hybridMultilevel"/>
    <w:tmpl w:val="B36832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4F00762"/>
    <w:multiLevelType w:val="hybridMultilevel"/>
    <w:tmpl w:val="B538979E"/>
    <w:lvl w:ilvl="0" w:tplc="04090001">
      <w:start w:val="1"/>
      <w:numFmt w:val="bullet"/>
      <w:lvlText w:val=""/>
      <w:lvlJc w:val="left"/>
      <w:pPr>
        <w:ind w:left="3248" w:hanging="360"/>
      </w:pPr>
      <w:rPr>
        <w:rFonts w:ascii="Symbol" w:hAnsi="Symbol" w:hint="default"/>
      </w:rPr>
    </w:lvl>
    <w:lvl w:ilvl="1" w:tplc="04090003" w:tentative="1">
      <w:start w:val="1"/>
      <w:numFmt w:val="bullet"/>
      <w:lvlText w:val="o"/>
      <w:lvlJc w:val="left"/>
      <w:pPr>
        <w:ind w:left="3968" w:hanging="360"/>
      </w:pPr>
      <w:rPr>
        <w:rFonts w:ascii="Courier New" w:hAnsi="Courier New" w:cs="Courier New" w:hint="default"/>
      </w:rPr>
    </w:lvl>
    <w:lvl w:ilvl="2" w:tplc="04090005" w:tentative="1">
      <w:start w:val="1"/>
      <w:numFmt w:val="bullet"/>
      <w:lvlText w:val=""/>
      <w:lvlJc w:val="left"/>
      <w:pPr>
        <w:ind w:left="4688" w:hanging="360"/>
      </w:pPr>
      <w:rPr>
        <w:rFonts w:ascii="Wingdings" w:hAnsi="Wingdings" w:hint="default"/>
      </w:rPr>
    </w:lvl>
    <w:lvl w:ilvl="3" w:tplc="04090001" w:tentative="1">
      <w:start w:val="1"/>
      <w:numFmt w:val="bullet"/>
      <w:lvlText w:val=""/>
      <w:lvlJc w:val="left"/>
      <w:pPr>
        <w:ind w:left="5408" w:hanging="360"/>
      </w:pPr>
      <w:rPr>
        <w:rFonts w:ascii="Symbol" w:hAnsi="Symbol" w:hint="default"/>
      </w:rPr>
    </w:lvl>
    <w:lvl w:ilvl="4" w:tplc="04090003" w:tentative="1">
      <w:start w:val="1"/>
      <w:numFmt w:val="bullet"/>
      <w:lvlText w:val="o"/>
      <w:lvlJc w:val="left"/>
      <w:pPr>
        <w:ind w:left="6128" w:hanging="360"/>
      </w:pPr>
      <w:rPr>
        <w:rFonts w:ascii="Courier New" w:hAnsi="Courier New" w:cs="Courier New" w:hint="default"/>
      </w:rPr>
    </w:lvl>
    <w:lvl w:ilvl="5" w:tplc="04090005" w:tentative="1">
      <w:start w:val="1"/>
      <w:numFmt w:val="bullet"/>
      <w:lvlText w:val=""/>
      <w:lvlJc w:val="left"/>
      <w:pPr>
        <w:ind w:left="6848" w:hanging="360"/>
      </w:pPr>
      <w:rPr>
        <w:rFonts w:ascii="Wingdings" w:hAnsi="Wingdings" w:hint="default"/>
      </w:rPr>
    </w:lvl>
    <w:lvl w:ilvl="6" w:tplc="04090001" w:tentative="1">
      <w:start w:val="1"/>
      <w:numFmt w:val="bullet"/>
      <w:lvlText w:val=""/>
      <w:lvlJc w:val="left"/>
      <w:pPr>
        <w:ind w:left="7568" w:hanging="360"/>
      </w:pPr>
      <w:rPr>
        <w:rFonts w:ascii="Symbol" w:hAnsi="Symbol" w:hint="default"/>
      </w:rPr>
    </w:lvl>
    <w:lvl w:ilvl="7" w:tplc="04090003" w:tentative="1">
      <w:start w:val="1"/>
      <w:numFmt w:val="bullet"/>
      <w:lvlText w:val="o"/>
      <w:lvlJc w:val="left"/>
      <w:pPr>
        <w:ind w:left="8288" w:hanging="360"/>
      </w:pPr>
      <w:rPr>
        <w:rFonts w:ascii="Courier New" w:hAnsi="Courier New" w:cs="Courier New" w:hint="default"/>
      </w:rPr>
    </w:lvl>
    <w:lvl w:ilvl="8" w:tplc="04090005" w:tentative="1">
      <w:start w:val="1"/>
      <w:numFmt w:val="bullet"/>
      <w:lvlText w:val=""/>
      <w:lvlJc w:val="left"/>
      <w:pPr>
        <w:ind w:left="9008" w:hanging="360"/>
      </w:pPr>
      <w:rPr>
        <w:rFonts w:ascii="Wingdings" w:hAnsi="Wingdings" w:hint="default"/>
      </w:rPr>
    </w:lvl>
  </w:abstractNum>
  <w:abstractNum w:abstractNumId="20" w15:restartNumberingAfterBreak="0">
    <w:nsid w:val="6B9E519C"/>
    <w:multiLevelType w:val="hybridMultilevel"/>
    <w:tmpl w:val="2FB8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314FA7"/>
    <w:multiLevelType w:val="hybridMultilevel"/>
    <w:tmpl w:val="033A3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694700"/>
    <w:multiLevelType w:val="hybridMultilevel"/>
    <w:tmpl w:val="27460F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7432DC"/>
    <w:multiLevelType w:val="hybridMultilevel"/>
    <w:tmpl w:val="36F6E7CA"/>
    <w:lvl w:ilvl="0" w:tplc="F40E3DA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38804A8"/>
    <w:multiLevelType w:val="hybridMultilevel"/>
    <w:tmpl w:val="8F5C49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5A2511"/>
    <w:multiLevelType w:val="hybridMultilevel"/>
    <w:tmpl w:val="BB88F0B4"/>
    <w:lvl w:ilvl="0" w:tplc="E5C2F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1C5EF8"/>
    <w:multiLevelType w:val="hybridMultilevel"/>
    <w:tmpl w:val="4374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5"/>
  </w:num>
  <w:num w:numId="4">
    <w:abstractNumId w:val="1"/>
  </w:num>
  <w:num w:numId="5">
    <w:abstractNumId w:val="20"/>
  </w:num>
  <w:num w:numId="6">
    <w:abstractNumId w:val="14"/>
  </w:num>
  <w:num w:numId="7">
    <w:abstractNumId w:val="8"/>
  </w:num>
  <w:num w:numId="8">
    <w:abstractNumId w:val="16"/>
  </w:num>
  <w:num w:numId="9">
    <w:abstractNumId w:val="17"/>
  </w:num>
  <w:num w:numId="10">
    <w:abstractNumId w:val="0"/>
  </w:num>
  <w:num w:numId="11">
    <w:abstractNumId w:val="13"/>
  </w:num>
  <w:num w:numId="12">
    <w:abstractNumId w:val="19"/>
  </w:num>
  <w:num w:numId="13">
    <w:abstractNumId w:val="25"/>
  </w:num>
  <w:num w:numId="14">
    <w:abstractNumId w:val="9"/>
  </w:num>
  <w:num w:numId="15">
    <w:abstractNumId w:val="11"/>
  </w:num>
  <w:num w:numId="16">
    <w:abstractNumId w:val="2"/>
  </w:num>
  <w:num w:numId="17">
    <w:abstractNumId w:val="3"/>
  </w:num>
  <w:num w:numId="18">
    <w:abstractNumId w:val="22"/>
  </w:num>
  <w:num w:numId="19">
    <w:abstractNumId w:val="4"/>
  </w:num>
  <w:num w:numId="20">
    <w:abstractNumId w:val="18"/>
  </w:num>
  <w:num w:numId="21">
    <w:abstractNumId w:val="12"/>
  </w:num>
  <w:num w:numId="22">
    <w:abstractNumId w:val="15"/>
  </w:num>
  <w:num w:numId="23">
    <w:abstractNumId w:val="23"/>
  </w:num>
  <w:num w:numId="24">
    <w:abstractNumId w:val="23"/>
  </w:num>
  <w:num w:numId="25">
    <w:abstractNumId w:val="10"/>
  </w:num>
  <w:num w:numId="26">
    <w:abstractNumId w:val="6"/>
  </w:num>
  <w:num w:numId="27">
    <w:abstractNumId w:val="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875"/>
    <w:rsid w:val="0000029C"/>
    <w:rsid w:val="00002D0C"/>
    <w:rsid w:val="00023328"/>
    <w:rsid w:val="00056D01"/>
    <w:rsid w:val="000614F2"/>
    <w:rsid w:val="00061704"/>
    <w:rsid w:val="0006277D"/>
    <w:rsid w:val="000634B5"/>
    <w:rsid w:val="00071325"/>
    <w:rsid w:val="00080154"/>
    <w:rsid w:val="00082265"/>
    <w:rsid w:val="00093A69"/>
    <w:rsid w:val="000B4961"/>
    <w:rsid w:val="0011543D"/>
    <w:rsid w:val="00142B1E"/>
    <w:rsid w:val="00165B49"/>
    <w:rsid w:val="0017291C"/>
    <w:rsid w:val="001C2CEC"/>
    <w:rsid w:val="001D213E"/>
    <w:rsid w:val="001F64F1"/>
    <w:rsid w:val="00200CC9"/>
    <w:rsid w:val="00215073"/>
    <w:rsid w:val="002534DE"/>
    <w:rsid w:val="00265A0B"/>
    <w:rsid w:val="0027468D"/>
    <w:rsid w:val="002909A0"/>
    <w:rsid w:val="0029595C"/>
    <w:rsid w:val="002D2BFF"/>
    <w:rsid w:val="002F76A9"/>
    <w:rsid w:val="0032758C"/>
    <w:rsid w:val="003711A9"/>
    <w:rsid w:val="0037328D"/>
    <w:rsid w:val="00385DB3"/>
    <w:rsid w:val="003A0BAF"/>
    <w:rsid w:val="003A6276"/>
    <w:rsid w:val="003A7F53"/>
    <w:rsid w:val="003B0D20"/>
    <w:rsid w:val="003C50B6"/>
    <w:rsid w:val="003D4A1E"/>
    <w:rsid w:val="003E026A"/>
    <w:rsid w:val="004075BD"/>
    <w:rsid w:val="00420F44"/>
    <w:rsid w:val="00424339"/>
    <w:rsid w:val="00425CD0"/>
    <w:rsid w:val="00454496"/>
    <w:rsid w:val="00472BC1"/>
    <w:rsid w:val="004C1BA7"/>
    <w:rsid w:val="004D1959"/>
    <w:rsid w:val="004D32FC"/>
    <w:rsid w:val="004F1BA3"/>
    <w:rsid w:val="0051500F"/>
    <w:rsid w:val="00526984"/>
    <w:rsid w:val="005274C1"/>
    <w:rsid w:val="00527844"/>
    <w:rsid w:val="005476F9"/>
    <w:rsid w:val="00552AE7"/>
    <w:rsid w:val="005618A8"/>
    <w:rsid w:val="00567B3C"/>
    <w:rsid w:val="0059329C"/>
    <w:rsid w:val="00594A29"/>
    <w:rsid w:val="00594FBE"/>
    <w:rsid w:val="005A437C"/>
    <w:rsid w:val="005A56A8"/>
    <w:rsid w:val="005D35AE"/>
    <w:rsid w:val="005D655C"/>
    <w:rsid w:val="005D6ABB"/>
    <w:rsid w:val="005F516C"/>
    <w:rsid w:val="005F5BAE"/>
    <w:rsid w:val="00636FAB"/>
    <w:rsid w:val="006435A2"/>
    <w:rsid w:val="00687598"/>
    <w:rsid w:val="006D0027"/>
    <w:rsid w:val="006D3396"/>
    <w:rsid w:val="006D73D6"/>
    <w:rsid w:val="006E3BFF"/>
    <w:rsid w:val="00767AC8"/>
    <w:rsid w:val="00785D3E"/>
    <w:rsid w:val="007860E5"/>
    <w:rsid w:val="00797A6A"/>
    <w:rsid w:val="007C6458"/>
    <w:rsid w:val="007D3BDA"/>
    <w:rsid w:val="0081228F"/>
    <w:rsid w:val="00812402"/>
    <w:rsid w:val="00821177"/>
    <w:rsid w:val="00825FD0"/>
    <w:rsid w:val="00851E26"/>
    <w:rsid w:val="008714D5"/>
    <w:rsid w:val="00883CDA"/>
    <w:rsid w:val="008979E2"/>
    <w:rsid w:val="008A4099"/>
    <w:rsid w:val="008B738B"/>
    <w:rsid w:val="008D2A70"/>
    <w:rsid w:val="008D7B9A"/>
    <w:rsid w:val="0090065D"/>
    <w:rsid w:val="00901D5D"/>
    <w:rsid w:val="009304B0"/>
    <w:rsid w:val="009372BD"/>
    <w:rsid w:val="00962C3D"/>
    <w:rsid w:val="00984696"/>
    <w:rsid w:val="00984B93"/>
    <w:rsid w:val="00986FE9"/>
    <w:rsid w:val="00990017"/>
    <w:rsid w:val="009A7A94"/>
    <w:rsid w:val="009E7DD5"/>
    <w:rsid w:val="009F1000"/>
    <w:rsid w:val="009F220A"/>
    <w:rsid w:val="00A3685E"/>
    <w:rsid w:val="00A668E5"/>
    <w:rsid w:val="00AA70B0"/>
    <w:rsid w:val="00AB7F7E"/>
    <w:rsid w:val="00B556F2"/>
    <w:rsid w:val="00BA0CF1"/>
    <w:rsid w:val="00BA385C"/>
    <w:rsid w:val="00BA47F3"/>
    <w:rsid w:val="00BC66A6"/>
    <w:rsid w:val="00BD18A4"/>
    <w:rsid w:val="00BF3ACB"/>
    <w:rsid w:val="00C141A2"/>
    <w:rsid w:val="00C40459"/>
    <w:rsid w:val="00C45B20"/>
    <w:rsid w:val="00C517DD"/>
    <w:rsid w:val="00C54E9F"/>
    <w:rsid w:val="00C91E9C"/>
    <w:rsid w:val="00C95C83"/>
    <w:rsid w:val="00CA11D8"/>
    <w:rsid w:val="00CA4E24"/>
    <w:rsid w:val="00CB087C"/>
    <w:rsid w:val="00CC7DA2"/>
    <w:rsid w:val="00CD048F"/>
    <w:rsid w:val="00CF122B"/>
    <w:rsid w:val="00D16E71"/>
    <w:rsid w:val="00D6120A"/>
    <w:rsid w:val="00D6366D"/>
    <w:rsid w:val="00D814BE"/>
    <w:rsid w:val="00D81C22"/>
    <w:rsid w:val="00D82652"/>
    <w:rsid w:val="00D94B86"/>
    <w:rsid w:val="00DB027F"/>
    <w:rsid w:val="00DD0CB7"/>
    <w:rsid w:val="00DE07E5"/>
    <w:rsid w:val="00DE0FCF"/>
    <w:rsid w:val="00DF455E"/>
    <w:rsid w:val="00DF75D2"/>
    <w:rsid w:val="00E4700F"/>
    <w:rsid w:val="00E7113F"/>
    <w:rsid w:val="00E7765C"/>
    <w:rsid w:val="00EA6875"/>
    <w:rsid w:val="00EC4DF5"/>
    <w:rsid w:val="00EF3ACB"/>
    <w:rsid w:val="00F00F99"/>
    <w:rsid w:val="00F220FA"/>
    <w:rsid w:val="00F22CF9"/>
    <w:rsid w:val="00F41F30"/>
    <w:rsid w:val="00F61465"/>
    <w:rsid w:val="00F64583"/>
    <w:rsid w:val="00F65712"/>
    <w:rsid w:val="00F71DBF"/>
    <w:rsid w:val="00F72FC3"/>
    <w:rsid w:val="00F94D42"/>
    <w:rsid w:val="00FD4436"/>
    <w:rsid w:val="00FD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A3DFB"/>
  <w15:docId w15:val="{7BD07D7C-D59A-4AC2-8C44-5EFD550D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875"/>
  </w:style>
  <w:style w:type="paragraph" w:styleId="Footer">
    <w:name w:val="footer"/>
    <w:basedOn w:val="Normal"/>
    <w:link w:val="FooterChar"/>
    <w:uiPriority w:val="99"/>
    <w:unhideWhenUsed/>
    <w:rsid w:val="00EA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875"/>
  </w:style>
  <w:style w:type="paragraph" w:styleId="ListParagraph">
    <w:name w:val="List Paragraph"/>
    <w:basedOn w:val="Normal"/>
    <w:uiPriority w:val="34"/>
    <w:qFormat/>
    <w:rsid w:val="00CD048F"/>
    <w:pPr>
      <w:ind w:left="720"/>
      <w:contextualSpacing/>
    </w:pPr>
  </w:style>
  <w:style w:type="table" w:styleId="TableGrid">
    <w:name w:val="Table Grid"/>
    <w:basedOn w:val="TableNormal"/>
    <w:uiPriority w:val="59"/>
    <w:rsid w:val="001F6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4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1E"/>
    <w:rPr>
      <w:rFonts w:ascii="Tahoma" w:hAnsi="Tahoma" w:cs="Tahoma"/>
      <w:sz w:val="16"/>
      <w:szCs w:val="16"/>
    </w:rPr>
  </w:style>
  <w:style w:type="character" w:styleId="CommentReference">
    <w:name w:val="annotation reference"/>
    <w:basedOn w:val="DefaultParagraphFont"/>
    <w:uiPriority w:val="99"/>
    <w:semiHidden/>
    <w:unhideWhenUsed/>
    <w:rsid w:val="004D32FC"/>
    <w:rPr>
      <w:sz w:val="16"/>
      <w:szCs w:val="16"/>
    </w:rPr>
  </w:style>
  <w:style w:type="paragraph" w:styleId="CommentText">
    <w:name w:val="annotation text"/>
    <w:basedOn w:val="Normal"/>
    <w:link w:val="CommentTextChar"/>
    <w:uiPriority w:val="99"/>
    <w:semiHidden/>
    <w:unhideWhenUsed/>
    <w:rsid w:val="004D32FC"/>
    <w:pPr>
      <w:spacing w:line="240" w:lineRule="auto"/>
    </w:pPr>
    <w:rPr>
      <w:sz w:val="20"/>
      <w:szCs w:val="20"/>
    </w:rPr>
  </w:style>
  <w:style w:type="character" w:customStyle="1" w:styleId="CommentTextChar">
    <w:name w:val="Comment Text Char"/>
    <w:basedOn w:val="DefaultParagraphFont"/>
    <w:link w:val="CommentText"/>
    <w:uiPriority w:val="99"/>
    <w:semiHidden/>
    <w:rsid w:val="004D32FC"/>
    <w:rPr>
      <w:sz w:val="20"/>
      <w:szCs w:val="20"/>
    </w:rPr>
  </w:style>
  <w:style w:type="paragraph" w:styleId="CommentSubject">
    <w:name w:val="annotation subject"/>
    <w:basedOn w:val="CommentText"/>
    <w:next w:val="CommentText"/>
    <w:link w:val="CommentSubjectChar"/>
    <w:uiPriority w:val="99"/>
    <w:semiHidden/>
    <w:unhideWhenUsed/>
    <w:rsid w:val="004D32FC"/>
    <w:rPr>
      <w:b/>
      <w:bCs/>
    </w:rPr>
  </w:style>
  <w:style w:type="character" w:customStyle="1" w:styleId="CommentSubjectChar">
    <w:name w:val="Comment Subject Char"/>
    <w:basedOn w:val="CommentTextChar"/>
    <w:link w:val="CommentSubject"/>
    <w:uiPriority w:val="99"/>
    <w:semiHidden/>
    <w:rsid w:val="004D32FC"/>
    <w:rPr>
      <w:b/>
      <w:bCs/>
      <w:sz w:val="20"/>
      <w:szCs w:val="20"/>
    </w:rPr>
  </w:style>
  <w:style w:type="paragraph" w:styleId="NormalWeb">
    <w:name w:val="Normal (Web)"/>
    <w:basedOn w:val="Normal"/>
    <w:uiPriority w:val="99"/>
    <w:semiHidden/>
    <w:unhideWhenUsed/>
    <w:rsid w:val="00D6366D"/>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52698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2698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9513">
      <w:bodyDiv w:val="1"/>
      <w:marLeft w:val="0"/>
      <w:marRight w:val="0"/>
      <w:marTop w:val="0"/>
      <w:marBottom w:val="0"/>
      <w:divBdr>
        <w:top w:val="none" w:sz="0" w:space="0" w:color="auto"/>
        <w:left w:val="none" w:sz="0" w:space="0" w:color="auto"/>
        <w:bottom w:val="none" w:sz="0" w:space="0" w:color="auto"/>
        <w:right w:val="none" w:sz="0" w:space="0" w:color="auto"/>
      </w:divBdr>
    </w:div>
    <w:div w:id="178351581">
      <w:bodyDiv w:val="1"/>
      <w:marLeft w:val="0"/>
      <w:marRight w:val="0"/>
      <w:marTop w:val="0"/>
      <w:marBottom w:val="0"/>
      <w:divBdr>
        <w:top w:val="none" w:sz="0" w:space="0" w:color="auto"/>
        <w:left w:val="none" w:sz="0" w:space="0" w:color="auto"/>
        <w:bottom w:val="none" w:sz="0" w:space="0" w:color="auto"/>
        <w:right w:val="none" w:sz="0" w:space="0" w:color="auto"/>
      </w:divBdr>
    </w:div>
    <w:div w:id="364864846">
      <w:bodyDiv w:val="1"/>
      <w:marLeft w:val="0"/>
      <w:marRight w:val="0"/>
      <w:marTop w:val="0"/>
      <w:marBottom w:val="0"/>
      <w:divBdr>
        <w:top w:val="none" w:sz="0" w:space="0" w:color="auto"/>
        <w:left w:val="none" w:sz="0" w:space="0" w:color="auto"/>
        <w:bottom w:val="none" w:sz="0" w:space="0" w:color="auto"/>
        <w:right w:val="none" w:sz="0" w:space="0" w:color="auto"/>
      </w:divBdr>
    </w:div>
    <w:div w:id="376855105">
      <w:bodyDiv w:val="1"/>
      <w:marLeft w:val="0"/>
      <w:marRight w:val="0"/>
      <w:marTop w:val="0"/>
      <w:marBottom w:val="0"/>
      <w:divBdr>
        <w:top w:val="none" w:sz="0" w:space="0" w:color="auto"/>
        <w:left w:val="none" w:sz="0" w:space="0" w:color="auto"/>
        <w:bottom w:val="none" w:sz="0" w:space="0" w:color="auto"/>
        <w:right w:val="none" w:sz="0" w:space="0" w:color="auto"/>
      </w:divBdr>
    </w:div>
    <w:div w:id="462962596">
      <w:bodyDiv w:val="1"/>
      <w:marLeft w:val="0"/>
      <w:marRight w:val="0"/>
      <w:marTop w:val="0"/>
      <w:marBottom w:val="0"/>
      <w:divBdr>
        <w:top w:val="none" w:sz="0" w:space="0" w:color="auto"/>
        <w:left w:val="none" w:sz="0" w:space="0" w:color="auto"/>
        <w:bottom w:val="none" w:sz="0" w:space="0" w:color="auto"/>
        <w:right w:val="none" w:sz="0" w:space="0" w:color="auto"/>
      </w:divBdr>
    </w:div>
    <w:div w:id="581456039">
      <w:bodyDiv w:val="1"/>
      <w:marLeft w:val="0"/>
      <w:marRight w:val="0"/>
      <w:marTop w:val="0"/>
      <w:marBottom w:val="0"/>
      <w:divBdr>
        <w:top w:val="none" w:sz="0" w:space="0" w:color="auto"/>
        <w:left w:val="none" w:sz="0" w:space="0" w:color="auto"/>
        <w:bottom w:val="none" w:sz="0" w:space="0" w:color="auto"/>
        <w:right w:val="none" w:sz="0" w:space="0" w:color="auto"/>
      </w:divBdr>
    </w:div>
    <w:div w:id="630747433">
      <w:bodyDiv w:val="1"/>
      <w:marLeft w:val="0"/>
      <w:marRight w:val="0"/>
      <w:marTop w:val="0"/>
      <w:marBottom w:val="0"/>
      <w:divBdr>
        <w:top w:val="none" w:sz="0" w:space="0" w:color="auto"/>
        <w:left w:val="none" w:sz="0" w:space="0" w:color="auto"/>
        <w:bottom w:val="none" w:sz="0" w:space="0" w:color="auto"/>
        <w:right w:val="none" w:sz="0" w:space="0" w:color="auto"/>
      </w:divBdr>
    </w:div>
    <w:div w:id="1104113477">
      <w:bodyDiv w:val="1"/>
      <w:marLeft w:val="0"/>
      <w:marRight w:val="0"/>
      <w:marTop w:val="0"/>
      <w:marBottom w:val="0"/>
      <w:divBdr>
        <w:top w:val="none" w:sz="0" w:space="0" w:color="auto"/>
        <w:left w:val="none" w:sz="0" w:space="0" w:color="auto"/>
        <w:bottom w:val="none" w:sz="0" w:space="0" w:color="auto"/>
        <w:right w:val="none" w:sz="0" w:space="0" w:color="auto"/>
      </w:divBdr>
    </w:div>
    <w:div w:id="1676423359">
      <w:bodyDiv w:val="1"/>
      <w:marLeft w:val="0"/>
      <w:marRight w:val="0"/>
      <w:marTop w:val="0"/>
      <w:marBottom w:val="0"/>
      <w:divBdr>
        <w:top w:val="none" w:sz="0" w:space="0" w:color="auto"/>
        <w:left w:val="none" w:sz="0" w:space="0" w:color="auto"/>
        <w:bottom w:val="none" w:sz="0" w:space="0" w:color="auto"/>
        <w:right w:val="none" w:sz="0" w:space="0" w:color="auto"/>
      </w:divBdr>
      <w:divsChild>
        <w:div w:id="30151706">
          <w:marLeft w:val="547"/>
          <w:marRight w:val="0"/>
          <w:marTop w:val="240"/>
          <w:marBottom w:val="0"/>
          <w:divBdr>
            <w:top w:val="none" w:sz="0" w:space="0" w:color="auto"/>
            <w:left w:val="none" w:sz="0" w:space="0" w:color="auto"/>
            <w:bottom w:val="none" w:sz="0" w:space="0" w:color="auto"/>
            <w:right w:val="none" w:sz="0" w:space="0" w:color="auto"/>
          </w:divBdr>
        </w:div>
        <w:div w:id="1212812657">
          <w:marLeft w:val="806"/>
          <w:marRight w:val="0"/>
          <w:marTop w:val="120"/>
          <w:marBottom w:val="0"/>
          <w:divBdr>
            <w:top w:val="none" w:sz="0" w:space="0" w:color="auto"/>
            <w:left w:val="none" w:sz="0" w:space="0" w:color="auto"/>
            <w:bottom w:val="none" w:sz="0" w:space="0" w:color="auto"/>
            <w:right w:val="none" w:sz="0" w:space="0" w:color="auto"/>
          </w:divBdr>
        </w:div>
        <w:div w:id="1863863086">
          <w:marLeft w:val="806"/>
          <w:marRight w:val="0"/>
          <w:marTop w:val="120"/>
          <w:marBottom w:val="0"/>
          <w:divBdr>
            <w:top w:val="none" w:sz="0" w:space="0" w:color="auto"/>
            <w:left w:val="none" w:sz="0" w:space="0" w:color="auto"/>
            <w:bottom w:val="none" w:sz="0" w:space="0" w:color="auto"/>
            <w:right w:val="none" w:sz="0" w:space="0" w:color="auto"/>
          </w:divBdr>
        </w:div>
        <w:div w:id="197668146">
          <w:marLeft w:val="806"/>
          <w:marRight w:val="0"/>
          <w:marTop w:val="120"/>
          <w:marBottom w:val="0"/>
          <w:divBdr>
            <w:top w:val="none" w:sz="0" w:space="0" w:color="auto"/>
            <w:left w:val="none" w:sz="0" w:space="0" w:color="auto"/>
            <w:bottom w:val="none" w:sz="0" w:space="0" w:color="auto"/>
            <w:right w:val="none" w:sz="0" w:space="0" w:color="auto"/>
          </w:divBdr>
        </w:div>
        <w:div w:id="652105597">
          <w:marLeft w:val="806"/>
          <w:marRight w:val="0"/>
          <w:marTop w:val="120"/>
          <w:marBottom w:val="0"/>
          <w:divBdr>
            <w:top w:val="none" w:sz="0" w:space="0" w:color="auto"/>
            <w:left w:val="none" w:sz="0" w:space="0" w:color="auto"/>
            <w:bottom w:val="none" w:sz="0" w:space="0" w:color="auto"/>
            <w:right w:val="none" w:sz="0" w:space="0" w:color="auto"/>
          </w:divBdr>
        </w:div>
        <w:div w:id="1095249861">
          <w:marLeft w:val="806"/>
          <w:marRight w:val="0"/>
          <w:marTop w:val="120"/>
          <w:marBottom w:val="0"/>
          <w:divBdr>
            <w:top w:val="none" w:sz="0" w:space="0" w:color="auto"/>
            <w:left w:val="none" w:sz="0" w:space="0" w:color="auto"/>
            <w:bottom w:val="none" w:sz="0" w:space="0" w:color="auto"/>
            <w:right w:val="none" w:sz="0" w:space="0" w:color="auto"/>
          </w:divBdr>
        </w:div>
        <w:div w:id="51656055">
          <w:marLeft w:val="806"/>
          <w:marRight w:val="0"/>
          <w:marTop w:val="120"/>
          <w:marBottom w:val="0"/>
          <w:divBdr>
            <w:top w:val="none" w:sz="0" w:space="0" w:color="auto"/>
            <w:left w:val="none" w:sz="0" w:space="0" w:color="auto"/>
            <w:bottom w:val="none" w:sz="0" w:space="0" w:color="auto"/>
            <w:right w:val="none" w:sz="0" w:space="0" w:color="auto"/>
          </w:divBdr>
        </w:div>
        <w:div w:id="507254400">
          <w:marLeft w:val="547"/>
          <w:marRight w:val="0"/>
          <w:marTop w:val="240"/>
          <w:marBottom w:val="0"/>
          <w:divBdr>
            <w:top w:val="none" w:sz="0" w:space="0" w:color="auto"/>
            <w:left w:val="none" w:sz="0" w:space="0" w:color="auto"/>
            <w:bottom w:val="none" w:sz="0" w:space="0" w:color="auto"/>
            <w:right w:val="none" w:sz="0" w:space="0" w:color="auto"/>
          </w:divBdr>
        </w:div>
        <w:div w:id="1931431318">
          <w:marLeft w:val="806"/>
          <w:marRight w:val="0"/>
          <w:marTop w:val="120"/>
          <w:marBottom w:val="0"/>
          <w:divBdr>
            <w:top w:val="none" w:sz="0" w:space="0" w:color="auto"/>
            <w:left w:val="none" w:sz="0" w:space="0" w:color="auto"/>
            <w:bottom w:val="none" w:sz="0" w:space="0" w:color="auto"/>
            <w:right w:val="none" w:sz="0" w:space="0" w:color="auto"/>
          </w:divBdr>
        </w:div>
        <w:div w:id="2079278145">
          <w:marLeft w:val="547"/>
          <w:marRight w:val="0"/>
          <w:marTop w:val="240"/>
          <w:marBottom w:val="0"/>
          <w:divBdr>
            <w:top w:val="none" w:sz="0" w:space="0" w:color="auto"/>
            <w:left w:val="none" w:sz="0" w:space="0" w:color="auto"/>
            <w:bottom w:val="none" w:sz="0" w:space="0" w:color="auto"/>
            <w:right w:val="none" w:sz="0" w:space="0" w:color="auto"/>
          </w:divBdr>
        </w:div>
        <w:div w:id="1775636013">
          <w:marLeft w:val="806"/>
          <w:marRight w:val="0"/>
          <w:marTop w:val="120"/>
          <w:marBottom w:val="0"/>
          <w:divBdr>
            <w:top w:val="none" w:sz="0" w:space="0" w:color="auto"/>
            <w:left w:val="none" w:sz="0" w:space="0" w:color="auto"/>
            <w:bottom w:val="none" w:sz="0" w:space="0" w:color="auto"/>
            <w:right w:val="none" w:sz="0" w:space="0" w:color="auto"/>
          </w:divBdr>
        </w:div>
      </w:divsChild>
    </w:div>
    <w:div w:id="197783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32093CC4B95E4BADA8BFF53F1B118F" ma:contentTypeVersion="11" ma:contentTypeDescription="Create a new document." ma:contentTypeScope="" ma:versionID="81f8049e816870ae1acff17375a9da90">
  <xsd:schema xmlns:xsd="http://www.w3.org/2001/XMLSchema" xmlns:xs="http://www.w3.org/2001/XMLSchema" xmlns:p="http://schemas.microsoft.com/office/2006/metadata/properties" xmlns:ns2="5ea07f49-0cfa-4998-9974-1aa86a1d16c9" xmlns:ns3="bb0084bd-5563-4a57-b9bb-9bcf59ed3de5" targetNamespace="http://schemas.microsoft.com/office/2006/metadata/properties" ma:root="true" ma:fieldsID="5298766ddaa54a7ab24dd09b5c384cd6" ns2:_="" ns3:_="">
    <xsd:import namespace="5ea07f49-0cfa-4998-9974-1aa86a1d16c9"/>
    <xsd:import namespace="bb0084bd-5563-4a57-b9bb-9bcf59ed3d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07f49-0cfa-4998-9974-1aa86a1d1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0084bd-5563-4a57-b9bb-9bcf59ed3de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488AB-7DF4-4CD4-9148-FC4EFFFA1730}"/>
</file>

<file path=customXml/itemProps2.xml><?xml version="1.0" encoding="utf-8"?>
<ds:datastoreItem xmlns:ds="http://schemas.openxmlformats.org/officeDocument/2006/customXml" ds:itemID="{1B3A11C2-2126-45D7-B332-6C6CDEDB407E}">
  <ds:schemaRefs>
    <ds:schemaRef ds:uri="http://schemas.microsoft.com/sharepoint/v3/contenttype/forms"/>
  </ds:schemaRefs>
</ds:datastoreItem>
</file>

<file path=customXml/itemProps3.xml><?xml version="1.0" encoding="utf-8"?>
<ds:datastoreItem xmlns:ds="http://schemas.openxmlformats.org/officeDocument/2006/customXml" ds:itemID="{78EE31EA-8E5A-4CA1-82B0-D46A951384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119E8C-A1DA-4E78-9DB4-89563BB47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1157</Words>
  <Characters>6595</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Harvey</dc:creator>
  <cp:lastModifiedBy>Baba, Eric E</cp:lastModifiedBy>
  <cp:revision>2</cp:revision>
  <dcterms:created xsi:type="dcterms:W3CDTF">2022-02-24T11:40:00Z</dcterms:created>
  <dcterms:modified xsi:type="dcterms:W3CDTF">2022-02-24T11:40:00Z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0x010100EF32093CC4B95E4BADA8BFF53F1B118F</vt:lpwstr>
  </property>
  <property fmtid="{D5CDD505-2E9C-101B-9397-08002B2CF9AE}" pid="3" name="MSIP_Label_67599526-06ca-49cc-9fa9-5307800a949a_Enabled">
    <vt:lpwstr>true</vt:lpwstr>
  </property>
  <property fmtid="{D5CDD505-2E9C-101B-9397-08002B2CF9AE}" pid="4" name="MSIP_Label_67599526-06ca-49cc-9fa9-5307800a949a_SetDate">
    <vt:lpwstr>2022-02-24T11:39:33Z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0c3e1305-9259-40e7-9b5c-3759a9096149</vt:lpwstr>
  </property>
  <property fmtid="{D5CDD505-2E9C-101B-9397-08002B2CF9AE}" pid="9" name="MSIP_Label_67599526-06ca-49cc-9fa9-5307800a949a_ContentBits">
    <vt:lpwstr>0</vt:lpwstr>
  </property>
</Properties>
</file>