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3BB54" w14:textId="77777777" w:rsidR="00390DAE" w:rsidRDefault="00366783">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Governance Walkthrough</w:t>
      </w:r>
    </w:p>
    <w:p w14:paraId="4E1244F6" w14:textId="54098A39" w:rsidR="00164025" w:rsidRDefault="00366783">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24, 2021</w:t>
      </w:r>
    </w:p>
    <w:p w14:paraId="0D08843A" w14:textId="77777777" w:rsidR="00053ADB" w:rsidRDefault="00053ADB">
      <w:pPr>
        <w:pStyle w:val="NormalWeb"/>
        <w:spacing w:before="0" w:beforeAutospacing="0" w:after="0" w:afterAutospacing="0"/>
        <w:rPr>
          <w:rFonts w:ascii="Calibri" w:hAnsi="Calibri" w:cs="Calibri"/>
          <w:color w:val="767676"/>
          <w:sz w:val="20"/>
          <w:szCs w:val="20"/>
        </w:rPr>
      </w:pPr>
    </w:p>
    <w:p w14:paraId="493D5244" w14:textId="77777777" w:rsidR="00164025" w:rsidRDefault="00366783">
      <w:pPr>
        <w:pStyle w:val="NormalWeb"/>
        <w:spacing w:before="0" w:beforeAutospacing="0" w:after="0" w:afterAutospacing="0"/>
        <w:rPr>
          <w:rFonts w:ascii="Calibri" w:hAnsi="Calibri" w:cs="Calibri"/>
          <w:sz w:val="22"/>
          <w:szCs w:val="22"/>
        </w:rPr>
      </w:pPr>
      <w:r w:rsidRPr="00164025">
        <w:rPr>
          <w:rFonts w:ascii="Calibri" w:hAnsi="Calibri" w:cs="Calibri"/>
          <w:b/>
          <w:bCs/>
          <w:sz w:val="22"/>
          <w:szCs w:val="22"/>
        </w:rPr>
        <w:t>Attendees:</w:t>
      </w:r>
      <w:r>
        <w:rPr>
          <w:rFonts w:ascii="Calibri" w:hAnsi="Calibri" w:cs="Calibri"/>
          <w:sz w:val="22"/>
          <w:szCs w:val="22"/>
        </w:rPr>
        <w:t xml:space="preserve"> Seun Mafi, Jason Nazare, Moriah Striegel, Saicharan Sirangi, Sol Vazquez, Saurabh </w:t>
      </w:r>
      <w:proofErr w:type="spellStart"/>
      <w:r>
        <w:rPr>
          <w:rFonts w:ascii="Calibri" w:hAnsi="Calibri" w:cs="Calibri"/>
          <w:sz w:val="22"/>
          <w:szCs w:val="22"/>
        </w:rPr>
        <w:t>Dilip</w:t>
      </w:r>
      <w:proofErr w:type="spellEnd"/>
      <w:r>
        <w:rPr>
          <w:rFonts w:ascii="Calibri" w:hAnsi="Calibri" w:cs="Calibri"/>
          <w:sz w:val="22"/>
          <w:szCs w:val="22"/>
        </w:rPr>
        <w:t xml:space="preserve"> Saxena, Raymond Cloutier, Oliva Lawson, Matthew Colville, Tyrell Jarett, Sonal Jain, Yogesh, Shinde, Aerozona Obiadazie.</w:t>
      </w:r>
    </w:p>
    <w:p w14:paraId="51417A76" w14:textId="77777777" w:rsidR="00164025" w:rsidRDefault="00164025">
      <w:pPr>
        <w:pStyle w:val="NormalWeb"/>
        <w:spacing w:before="0" w:beforeAutospacing="0" w:after="0" w:afterAutospacing="0"/>
        <w:rPr>
          <w:rFonts w:ascii="Calibri" w:hAnsi="Calibri" w:cs="Calibri"/>
          <w:sz w:val="22"/>
          <w:szCs w:val="22"/>
        </w:rPr>
      </w:pPr>
    </w:p>
    <w:p w14:paraId="2B59F2B5" w14:textId="5AC28F73" w:rsidR="00390DAE" w:rsidRDefault="00164025">
      <w:pPr>
        <w:pStyle w:val="NormalWeb"/>
        <w:spacing w:before="0" w:beforeAutospacing="0" w:after="0" w:afterAutospacing="0"/>
        <w:rPr>
          <w:rFonts w:ascii="Calibri" w:hAnsi="Calibri" w:cs="Calibri"/>
          <w:sz w:val="22"/>
          <w:szCs w:val="22"/>
        </w:rPr>
      </w:pPr>
      <w:r w:rsidRPr="00164025">
        <w:rPr>
          <w:rFonts w:ascii="Calibri" w:hAnsi="Calibri" w:cs="Calibri"/>
          <w:b/>
          <w:bCs/>
          <w:sz w:val="22"/>
          <w:szCs w:val="22"/>
        </w:rPr>
        <w:t>Location:</w:t>
      </w:r>
      <w:r>
        <w:rPr>
          <w:rFonts w:ascii="Calibri" w:hAnsi="Calibri" w:cs="Calibri"/>
          <w:sz w:val="22"/>
          <w:szCs w:val="22"/>
        </w:rPr>
        <w:t xml:space="preserve"> WebEx</w:t>
      </w:r>
      <w:r w:rsidR="00366783">
        <w:rPr>
          <w:rFonts w:ascii="Calibri" w:hAnsi="Calibri" w:cs="Calibri"/>
          <w:sz w:val="22"/>
          <w:szCs w:val="22"/>
        </w:rPr>
        <w:t xml:space="preserve"> </w:t>
      </w:r>
    </w:p>
    <w:p w14:paraId="34C0DC2D"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CB7CB1"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AGENDA:</w:t>
      </w:r>
    </w:p>
    <w:p w14:paraId="4A7B840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85697E"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Jason: Go over Data governance piece, and how CDR is involved, who the key stakeholders are, and how request </w:t>
      </w:r>
      <w:proofErr w:type="gramStart"/>
      <w:r>
        <w:rPr>
          <w:rFonts w:ascii="Calibri" w:hAnsi="Calibri" w:cs="Calibri"/>
          <w:b/>
          <w:bCs/>
          <w:sz w:val="22"/>
          <w:szCs w:val="22"/>
        </w:rPr>
        <w:t>are</w:t>
      </w:r>
      <w:proofErr w:type="gramEnd"/>
      <w:r>
        <w:rPr>
          <w:rFonts w:ascii="Calibri" w:hAnsi="Calibri" w:cs="Calibri"/>
          <w:b/>
          <w:bCs/>
          <w:sz w:val="22"/>
          <w:szCs w:val="22"/>
        </w:rPr>
        <w:t xml:space="preserve"> tracked. </w:t>
      </w:r>
    </w:p>
    <w:p w14:paraId="3C2CFC43"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D668FD"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Raymond:</w:t>
      </w:r>
      <w:r>
        <w:rPr>
          <w:rFonts w:ascii="Calibri" w:hAnsi="Calibri" w:cs="Calibri"/>
          <w:sz w:val="22"/>
          <w:szCs w:val="22"/>
        </w:rPr>
        <w:t xml:space="preserve"> For every release, we create a governance model. We capture the consumer data sources, data use polices, consent, and the gaps that exist in our framework. </w:t>
      </w:r>
    </w:p>
    <w:p w14:paraId="508672CC"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EE17D"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What are they using the data for?</w:t>
      </w:r>
    </w:p>
    <w:p w14:paraId="774D4908"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41EF627" wp14:editId="22B5F5F3">
            <wp:extent cx="5086350" cy="4438650"/>
            <wp:effectExtent l="19050" t="19050" r="19050" b="19050"/>
            <wp:docPr id="1" name="Picture 1" descr="Machine generated alternative text:&#10;klinical Domain Centric Governance Model &#10;Release 2. I &#10;Overview &#10;Thus document describes the data governance framework in place today which Will be used to &#10;data use policies for release 2.1 for: &#10;HAL Health Dashboard &#10;1. Capture Consumers use Case and Data Requirements &#10;HAL Health Dashboard — to enable viewing of immunization records. Details &#10;regarding this &#10;se and &#10;o Hal Case O uerview &#10;As we mature our consumer onboarding process, we will develop a form which enables &#10;cu&quot;entlw spread documents in the above link. The form &#10;capturing and storing Of details &#10;will include (but not limited to) the following items: &#10;Consumer Data Needs &#10;Historic Data requirements and sources &#10;PHIR &#10;Patient Consent Enforcement &#10;Access Method (API/ analytics) &#10;Access Frequency &#10;SLA &#10;2. New Data Source Ingest &#10;Data ingestion is handled by the EDP — CDR team. &#10;There is a standard form for on premise data ingestion request which should be used for new data &#10;Sour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klinical Domain Centric Governance Model &#10;Release 2. I &#10;Overview &#10;Thus document describes the data governance framework in place today which Will be used to &#10;data use policies for release 2.1 for: &#10;HAL Health Dashboard &#10;1. Capture Consumers use Case and Data Requirements &#10;HAL Health Dashboard — to enable viewing of immunization records. Details &#10;regarding this &#10;se and &#10;o Hal Case O uerview &#10;As we mature our consumer onboarding process, we will develop a form which enables &#10;cu&quot;entlw spread documents in the above link. The form &#10;capturing and storing Of details &#10;will include (but not limited to) the following items: &#10;Consumer Data Needs &#10;Historic Data requirements and sources &#10;PHIR &#10;Patient Consent Enforcement &#10;Access Method (API/ analytics) &#10;Access Frequency &#10;SLA &#10;2. New Data Source Ingest &#10;Data ingestion is handled by the EDP — CDR team. &#10;There is a standard form for on premise data ingestion request which should be used for new data &#10;Source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6350" cy="4438650"/>
                    </a:xfrm>
                    <a:prstGeom prst="rect">
                      <a:avLst/>
                    </a:prstGeom>
                    <a:noFill/>
                    <a:ln w="12700">
                      <a:solidFill>
                        <a:srgbClr val="FF0000"/>
                      </a:solidFill>
                    </a:ln>
                  </pic:spPr>
                </pic:pic>
              </a:graphicData>
            </a:graphic>
          </wp:inline>
        </w:drawing>
      </w:r>
    </w:p>
    <w:p w14:paraId="6AF7A2D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88BBB2" w14:textId="77777777" w:rsidR="00164025" w:rsidRDefault="00164025">
      <w:pPr>
        <w:pStyle w:val="NormalWeb"/>
        <w:spacing w:before="0" w:beforeAutospacing="0" w:after="0" w:afterAutospacing="0"/>
        <w:rPr>
          <w:rFonts w:ascii="Calibri" w:hAnsi="Calibri" w:cs="Calibri"/>
          <w:sz w:val="22"/>
          <w:szCs w:val="22"/>
        </w:rPr>
      </w:pPr>
    </w:p>
    <w:p w14:paraId="392E80A6" w14:textId="39A935FB"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Data we are looking for include: Immunization, COVID Lab etc.</w:t>
      </w:r>
    </w:p>
    <w:p w14:paraId="480A2DD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98E0453"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Do we fill out the information or the consumer does?</w:t>
      </w:r>
    </w:p>
    <w:p w14:paraId="6848AED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Raymond: We do. </w:t>
      </w:r>
    </w:p>
    <w:p w14:paraId="4768E512"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28B16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snapshot of what the patient will see when they register. </w:t>
      </w:r>
    </w:p>
    <w:p w14:paraId="1A2A189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BA39248" wp14:editId="162ADDA8">
            <wp:extent cx="4010025" cy="4476750"/>
            <wp:effectExtent l="19050" t="19050" r="28575" b="19050"/>
            <wp:docPr id="2" name="Picture 2" descr="Machine generated alternative text:&#10;Can &#10;pa S' West. RI &#10;City. SWe &#10;City, &#10;OIV • 19 &#10;06-20 t 9 &#10;PASTEUR &#10;B.072020 &#10;City. Sw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an &#10;pa S' West. RI &#10;City. SWe &#10;City, &#10;OIV • 19 &#10;06-20 t 9 &#10;PASTEUR &#10;B.072020 &#10;City. SwO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4476750"/>
                    </a:xfrm>
                    <a:prstGeom prst="rect">
                      <a:avLst/>
                    </a:prstGeom>
                    <a:noFill/>
                    <a:ln w="19050">
                      <a:solidFill>
                        <a:srgbClr val="C00000"/>
                      </a:solidFill>
                    </a:ln>
                  </pic:spPr>
                </pic:pic>
              </a:graphicData>
            </a:graphic>
          </wp:inline>
        </w:drawing>
      </w:r>
    </w:p>
    <w:p w14:paraId="5BFEAC87"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7E417A" w14:textId="77777777" w:rsidR="00164025" w:rsidRDefault="00164025">
      <w:pPr>
        <w:pStyle w:val="NormalWeb"/>
        <w:spacing w:before="0" w:beforeAutospacing="0" w:after="0" w:afterAutospacing="0"/>
        <w:rPr>
          <w:rFonts w:ascii="Calibri" w:hAnsi="Calibri" w:cs="Calibri"/>
          <w:sz w:val="22"/>
          <w:szCs w:val="22"/>
        </w:rPr>
      </w:pPr>
    </w:p>
    <w:p w14:paraId="5B67D4CC" w14:textId="77777777" w:rsidR="00164025" w:rsidRDefault="00164025">
      <w:pPr>
        <w:pStyle w:val="NormalWeb"/>
        <w:spacing w:before="0" w:beforeAutospacing="0" w:after="0" w:afterAutospacing="0"/>
        <w:rPr>
          <w:rFonts w:ascii="Calibri" w:hAnsi="Calibri" w:cs="Calibri"/>
          <w:sz w:val="22"/>
          <w:szCs w:val="22"/>
        </w:rPr>
      </w:pPr>
    </w:p>
    <w:p w14:paraId="04F6828A" w14:textId="77777777" w:rsidR="00164025" w:rsidRDefault="00164025">
      <w:pPr>
        <w:pStyle w:val="NormalWeb"/>
        <w:spacing w:before="0" w:beforeAutospacing="0" w:after="0" w:afterAutospacing="0"/>
        <w:rPr>
          <w:rFonts w:ascii="Calibri" w:hAnsi="Calibri" w:cs="Calibri"/>
          <w:sz w:val="22"/>
          <w:szCs w:val="22"/>
        </w:rPr>
      </w:pPr>
    </w:p>
    <w:p w14:paraId="4A5356D0" w14:textId="77777777" w:rsidR="00164025" w:rsidRDefault="00164025">
      <w:pPr>
        <w:pStyle w:val="NormalWeb"/>
        <w:spacing w:before="0" w:beforeAutospacing="0" w:after="0" w:afterAutospacing="0"/>
        <w:rPr>
          <w:rFonts w:ascii="Calibri" w:hAnsi="Calibri" w:cs="Calibri"/>
          <w:sz w:val="22"/>
          <w:szCs w:val="22"/>
        </w:rPr>
      </w:pPr>
    </w:p>
    <w:p w14:paraId="0DBC23FE" w14:textId="77777777" w:rsidR="00164025" w:rsidRDefault="00164025">
      <w:pPr>
        <w:pStyle w:val="NormalWeb"/>
        <w:spacing w:before="0" w:beforeAutospacing="0" w:after="0" w:afterAutospacing="0"/>
        <w:rPr>
          <w:rFonts w:ascii="Calibri" w:hAnsi="Calibri" w:cs="Calibri"/>
          <w:sz w:val="22"/>
          <w:szCs w:val="22"/>
        </w:rPr>
      </w:pPr>
    </w:p>
    <w:p w14:paraId="5062F1B3" w14:textId="77777777" w:rsidR="00164025" w:rsidRDefault="00164025">
      <w:pPr>
        <w:pStyle w:val="NormalWeb"/>
        <w:spacing w:before="0" w:beforeAutospacing="0" w:after="0" w:afterAutospacing="0"/>
        <w:rPr>
          <w:rFonts w:ascii="Calibri" w:hAnsi="Calibri" w:cs="Calibri"/>
          <w:sz w:val="22"/>
          <w:szCs w:val="22"/>
        </w:rPr>
      </w:pPr>
    </w:p>
    <w:p w14:paraId="53F2945F" w14:textId="77777777" w:rsidR="00164025" w:rsidRDefault="00164025">
      <w:pPr>
        <w:pStyle w:val="NormalWeb"/>
        <w:spacing w:before="0" w:beforeAutospacing="0" w:after="0" w:afterAutospacing="0"/>
        <w:rPr>
          <w:rFonts w:ascii="Calibri" w:hAnsi="Calibri" w:cs="Calibri"/>
          <w:sz w:val="22"/>
          <w:szCs w:val="22"/>
        </w:rPr>
      </w:pPr>
    </w:p>
    <w:p w14:paraId="68DADEBE" w14:textId="77777777" w:rsidR="00164025" w:rsidRDefault="00164025">
      <w:pPr>
        <w:pStyle w:val="NormalWeb"/>
        <w:spacing w:before="0" w:beforeAutospacing="0" w:after="0" w:afterAutospacing="0"/>
        <w:rPr>
          <w:rFonts w:ascii="Calibri" w:hAnsi="Calibri" w:cs="Calibri"/>
          <w:sz w:val="22"/>
          <w:szCs w:val="22"/>
        </w:rPr>
      </w:pPr>
    </w:p>
    <w:p w14:paraId="27714414" w14:textId="77777777" w:rsidR="00164025" w:rsidRDefault="00164025">
      <w:pPr>
        <w:pStyle w:val="NormalWeb"/>
        <w:spacing w:before="0" w:beforeAutospacing="0" w:after="0" w:afterAutospacing="0"/>
        <w:rPr>
          <w:rFonts w:ascii="Calibri" w:hAnsi="Calibri" w:cs="Calibri"/>
          <w:sz w:val="22"/>
          <w:szCs w:val="22"/>
        </w:rPr>
      </w:pPr>
    </w:p>
    <w:p w14:paraId="1BD22601" w14:textId="77777777" w:rsidR="00164025" w:rsidRDefault="00164025">
      <w:pPr>
        <w:pStyle w:val="NormalWeb"/>
        <w:spacing w:before="0" w:beforeAutospacing="0" w:after="0" w:afterAutospacing="0"/>
        <w:rPr>
          <w:rFonts w:ascii="Calibri" w:hAnsi="Calibri" w:cs="Calibri"/>
          <w:sz w:val="22"/>
          <w:szCs w:val="22"/>
        </w:rPr>
      </w:pPr>
    </w:p>
    <w:p w14:paraId="2E697CCC" w14:textId="77777777" w:rsidR="00164025" w:rsidRDefault="00164025">
      <w:pPr>
        <w:pStyle w:val="NormalWeb"/>
        <w:spacing w:before="0" w:beforeAutospacing="0" w:after="0" w:afterAutospacing="0"/>
        <w:rPr>
          <w:rFonts w:ascii="Calibri" w:hAnsi="Calibri" w:cs="Calibri"/>
          <w:sz w:val="22"/>
          <w:szCs w:val="22"/>
        </w:rPr>
      </w:pPr>
    </w:p>
    <w:p w14:paraId="3F320E3A" w14:textId="77777777" w:rsidR="00164025" w:rsidRDefault="00164025">
      <w:pPr>
        <w:pStyle w:val="NormalWeb"/>
        <w:spacing w:before="0" w:beforeAutospacing="0" w:after="0" w:afterAutospacing="0"/>
        <w:rPr>
          <w:rFonts w:ascii="Calibri" w:hAnsi="Calibri" w:cs="Calibri"/>
          <w:sz w:val="22"/>
          <w:szCs w:val="22"/>
        </w:rPr>
      </w:pPr>
    </w:p>
    <w:p w14:paraId="2AFF06DA" w14:textId="77777777" w:rsidR="00164025" w:rsidRDefault="00164025">
      <w:pPr>
        <w:pStyle w:val="NormalWeb"/>
        <w:spacing w:before="0" w:beforeAutospacing="0" w:after="0" w:afterAutospacing="0"/>
        <w:rPr>
          <w:rFonts w:ascii="Calibri" w:hAnsi="Calibri" w:cs="Calibri"/>
          <w:sz w:val="22"/>
          <w:szCs w:val="22"/>
        </w:rPr>
      </w:pPr>
    </w:p>
    <w:p w14:paraId="028768C2" w14:textId="77777777" w:rsidR="00164025" w:rsidRDefault="00164025">
      <w:pPr>
        <w:pStyle w:val="NormalWeb"/>
        <w:spacing w:before="0" w:beforeAutospacing="0" w:after="0" w:afterAutospacing="0"/>
        <w:rPr>
          <w:rFonts w:ascii="Calibri" w:hAnsi="Calibri" w:cs="Calibri"/>
          <w:sz w:val="22"/>
          <w:szCs w:val="22"/>
        </w:rPr>
      </w:pPr>
    </w:p>
    <w:p w14:paraId="542D960D" w14:textId="19B9A8A4"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Use case: </w:t>
      </w:r>
    </w:p>
    <w:p w14:paraId="73E256D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7C5D1BD" wp14:editId="4083E5D8">
            <wp:extent cx="5972856" cy="3398808"/>
            <wp:effectExtent l="19050" t="19050" r="27940" b="11430"/>
            <wp:docPr id="3" name="Picture 3" descr="Machine generated alternative text:&#10;HEALTH FOR &#10;Vision: Ongoing Care and Support &#10;Evolving into a 360 view of the consumer, creating a lifetime relationship with consumers through compelling, &#10;Illustrative &#10;personalized digital health experiences &#10;snaring a 360 view or tne consumers realm record &#10;Managing tor tne tamity &#10;Bring them along &#10;28 &#10;Making the health record actionable &#10;SVOS to &#10;*CVSHea1th. &#10;Note: Illustrative concepts pendi•g legal'brand input In all scenarios, the customer would have the option &#10;to control their account, any sharin$caregiver geferences, and all clinical and Othel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HEALTH FOR &#10;Vision: Ongoing Care and Support &#10;Evolving into a 360 view of the consumer, creating a lifetime relationship with consumers through compelling, &#10;Illustrative &#10;personalized digital health experiences &#10;snaring a 360 view or tne consumers realm record &#10;Managing tor tne tamity &#10;Bring them along &#10;28 &#10;Making the health record actionable &#10;SVOS to &#10;*CVSHea1th. &#10;Note: Illustrative concepts pendi•g legal'brand input In all scenarios, the customer would have the option &#10;to control their account, any sharin$caregiver geferences, and all clinical and Othel inform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0442" cy="3425886"/>
                    </a:xfrm>
                    <a:prstGeom prst="rect">
                      <a:avLst/>
                    </a:prstGeom>
                    <a:noFill/>
                    <a:ln w="12700">
                      <a:solidFill>
                        <a:srgbClr val="C00000"/>
                      </a:solidFill>
                    </a:ln>
                  </pic:spPr>
                </pic:pic>
              </a:graphicData>
            </a:graphic>
          </wp:inline>
        </w:drawing>
      </w:r>
    </w:p>
    <w:p w14:paraId="4D2AB2C6"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193E27"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We also capture information they (patient) need for data that meets their need. We map our data from the data sources to where the data is stored. We talk about the file attributes and where the data came from. We track from source to target. </w:t>
      </w:r>
    </w:p>
    <w:p w14:paraId="3572516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A9EAB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25C0FD5" wp14:editId="234B52E8">
            <wp:extent cx="6020404" cy="2155371"/>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9388" cy="2187228"/>
                    </a:xfrm>
                    <a:prstGeom prst="rect">
                      <a:avLst/>
                    </a:prstGeom>
                    <a:noFill/>
                    <a:ln>
                      <a:solidFill>
                        <a:srgbClr val="FF0000"/>
                      </a:solidFill>
                    </a:ln>
                  </pic:spPr>
                </pic:pic>
              </a:graphicData>
            </a:graphic>
          </wp:inline>
        </w:drawing>
      </w:r>
    </w:p>
    <w:p w14:paraId="7A9DF91E"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6AEC50"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Currently they (Patients) </w:t>
      </w:r>
      <w:proofErr w:type="gramStart"/>
      <w:r>
        <w:rPr>
          <w:rFonts w:ascii="Calibri" w:hAnsi="Calibri" w:cs="Calibri"/>
          <w:sz w:val="22"/>
          <w:szCs w:val="22"/>
        </w:rPr>
        <w:t>are able to</w:t>
      </w:r>
      <w:proofErr w:type="gramEnd"/>
      <w:r>
        <w:rPr>
          <w:rFonts w:ascii="Calibri" w:hAnsi="Calibri" w:cs="Calibri"/>
          <w:sz w:val="22"/>
          <w:szCs w:val="22"/>
        </w:rPr>
        <w:t xml:space="preserve"> access immunization data from </w:t>
      </w:r>
      <w:proofErr w:type="spellStart"/>
      <w:r>
        <w:rPr>
          <w:rFonts w:ascii="Calibri" w:hAnsi="Calibri" w:cs="Calibri"/>
          <w:sz w:val="22"/>
          <w:szCs w:val="22"/>
        </w:rPr>
        <w:t>RXConnect</w:t>
      </w:r>
      <w:proofErr w:type="spellEnd"/>
      <w:r>
        <w:rPr>
          <w:rFonts w:ascii="Calibri" w:hAnsi="Calibri" w:cs="Calibri"/>
          <w:sz w:val="22"/>
          <w:szCs w:val="22"/>
        </w:rPr>
        <w:t xml:space="preserve">. </w:t>
      </w:r>
    </w:p>
    <w:p w14:paraId="35F868A5"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D34288"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We are currently mapping immunization data. The CIAR will call out the other data. In the future, they (Patients) will get medication data as well. </w:t>
      </w:r>
    </w:p>
    <w:p w14:paraId="64AC24E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10DFC1"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Is there a defined time?</w:t>
      </w:r>
    </w:p>
    <w:p w14:paraId="1164B22D"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Any consumer who wants to use data from CDR must complete a CIAR which is approved by Legal and compliance. Once approved, the lifespan of the CIAR is one year. </w:t>
      </w:r>
    </w:p>
    <w:p w14:paraId="5F1431A0"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Additional time?</w:t>
      </w:r>
    </w:p>
    <w:p w14:paraId="24C0B9B1"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lastRenderedPageBreak/>
        <w:t>Ray:</w:t>
      </w:r>
      <w:r>
        <w:rPr>
          <w:rFonts w:ascii="Calibri" w:hAnsi="Calibri" w:cs="Calibri"/>
          <w:sz w:val="22"/>
          <w:szCs w:val="22"/>
        </w:rPr>
        <w:t xml:space="preserve"> They can extend for one year I believe. </w:t>
      </w:r>
    </w:p>
    <w:p w14:paraId="10A08ABA"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Here is what CIAR looks like. (See document) Will be provided in Auditboard. </w:t>
      </w:r>
    </w:p>
    <w:p w14:paraId="79F6C9B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A5BB57"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Is there a specific person that approves the data?</w:t>
      </w:r>
    </w:p>
    <w:p w14:paraId="7010B94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Yogesh:</w:t>
      </w:r>
      <w:r>
        <w:rPr>
          <w:rFonts w:ascii="Calibri" w:hAnsi="Calibri" w:cs="Calibri"/>
          <w:sz w:val="22"/>
          <w:szCs w:val="22"/>
        </w:rPr>
        <w:t xml:space="preserve"> That is handled by the data governance team. They will review and approve. </w:t>
      </w:r>
    </w:p>
    <w:p w14:paraId="4CA05C8A"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0AF745"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Since the scope here is clinical data, it is coming through a single metric?</w:t>
      </w:r>
    </w:p>
    <w:p w14:paraId="22BCE371"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After the CIAR is approved, comes back, then we write the data policy, make sure it is what we are asking for. </w:t>
      </w:r>
    </w:p>
    <w:p w14:paraId="436E2391"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75062"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Read somewhere there is plans of migrating to Archer?</w:t>
      </w:r>
    </w:p>
    <w:p w14:paraId="77B3B037"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Yes. We don't have a timeframe. We can get back to you if its required information. </w:t>
      </w:r>
    </w:p>
    <w:p w14:paraId="437C2E7C"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10124F"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Here is the data use policy we approved. </w:t>
      </w:r>
    </w:p>
    <w:p w14:paraId="199B0A36"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DDE1CF6" wp14:editId="10C825C8">
            <wp:extent cx="5883935" cy="2318335"/>
            <wp:effectExtent l="19050" t="19050" r="21590" b="25400"/>
            <wp:docPr id="5" name="Picture 5" descr="Machine generated alternative text:&#10;Digital - Hælth for Life &#10;Policy (e.g. Restricted Data Source, Restricted Data Fields. Restricted Data &#10;Timeframe) &#10;Data &#10;Policy ID &#10;Source &#10;1429042 Archer &#10;1429042 Archer &#10;1429042 Archer &#10;14290Z2 Archer &#10;1.1290Z2 Archer &#10;1429042 Archer &#10;1429042 Archer &#10;14290.2 Archer &#10;1429042 Archer &#10;Status &#10;Active &#10;Active &#10;Active &#10;Active &#10;Active &#10;Active &#10;Active &#10;Active &#10;Active &#10;Digital - Health for Life &#10;Digital - Health for Life &#10;Digital - Health for Life &#10;- Health for Life &#10;Digital - Health for Life &#10;Digital - Health for Life &#10;Digital &#10;- Health for Life &#10;Digital - Health for Life &#10;Digital &#10;- Health for Life &#10;Restricted Access &#10;sed on CIAR Expiration Date &#10;Restricted Access Based on Purpose of Use &#10;Restricted Access Based on Data Source (Provenance Resource) &#10;Restricted Access on Data Source (Provenance Resource) &#10;Restricted Access on Data Type (FHIR Resource) &#10;Restricted Access on Data Type (FHIR Resource) &#10;Restricted Access Based on Data Type (FHIR Resource) &#10;Restricted Access Based Data Fields - TED - pending input &#10;Restricted Access Based on Data Timeframe &#10;is permited ACCESS to CDR for RxConnect EPIC MinuteClinic Immunization and Mediaticms &#10;based on the expiration date of the CIAR (Expiration Oate of CIAR Approval 12/22/2022) &#10;HAL is restricted access to data where the purpose of use Treatment &#10;HdL is restricted to receiving data from RxCOnnect (CVS/Phgrmaey Data) thriNgh CDR. (Note: HIL &#10;collects patent consent to grant access to RxConnect data) &#10;H4L is restricted to receiving data from EPIC (MinuteCIinic Data) through CDR. (Note: H4L collects &#10;_oetient consent to 8rant accss to EPIC &#10;is restricted to the Patent resource &#10;is restricted to the Immunization &#10;HAL is restricted to the Lab resource &#10;is restricted to the lib data detailed in the &quot;HAL permitted Lab Data Fields' tab &#10;HAL is restricted to a rolling S years of RxConnect immunization data (e.g. 7/15/2016 - 7/15/2021) &#10;Cuer Page Data use Policy H4L Consent rules &#10;H4L Permitted Imz Data Fields &#10;H4L Permitted Lab Data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Digital - Hælth for Life &#10;Policy (e.g. Restricted Data Source, Restricted Data Fields. Restricted Data &#10;Timeframe) &#10;Data &#10;Policy ID &#10;Source &#10;1429042 Archer &#10;1429042 Archer &#10;1429042 Archer &#10;14290Z2 Archer &#10;1.1290Z2 Archer &#10;1429042 Archer &#10;1429042 Archer &#10;14290.2 Archer &#10;1429042 Archer &#10;Status &#10;Active &#10;Active &#10;Active &#10;Active &#10;Active &#10;Active &#10;Active &#10;Active &#10;Active &#10;Digital - Health for Life &#10;Digital - Health for Life &#10;Digital - Health for Life &#10;- Health for Life &#10;Digital - Health for Life &#10;Digital - Health for Life &#10;Digital &#10;- Health for Life &#10;Digital - Health for Life &#10;Digital &#10;- Health for Life &#10;Restricted Access &#10;sed on CIAR Expiration Date &#10;Restricted Access Based on Purpose of Use &#10;Restricted Access Based on Data Source (Provenance Resource) &#10;Restricted Access on Data Source (Provenance Resource) &#10;Restricted Access on Data Type (FHIR Resource) &#10;Restricted Access on Data Type (FHIR Resource) &#10;Restricted Access Based on Data Type (FHIR Resource) &#10;Restricted Access Based Data Fields - TED - pending input &#10;Restricted Access Based on Data Timeframe &#10;is permited ACCESS to CDR for RxConnect EPIC MinuteClinic Immunization and Mediaticms &#10;based on the expiration date of the CIAR (Expiration Oate of CIAR Approval 12/22/2022) &#10;HAL is restricted access to data where the purpose of use Treatment &#10;HdL is restricted to receiving data from RxCOnnect (CVS/Phgrmaey Data) thriNgh CDR. (Note: HIL &#10;collects patent consent to grant access to RxConnect data) &#10;H4L is restricted to receiving data from EPIC (MinuteCIinic Data) through CDR. (Note: H4L collects &#10;_oetient consent to 8rant accss to EPIC &#10;is restricted to the Patent resource &#10;is restricted to the Immunization &#10;HAL is restricted to the Lab resource &#10;is restricted to the lib data detailed in the &quot;HAL permitted Lab Data Fields' tab &#10;HAL is restricted to a rolling S years of RxConnect immunization data (e.g. 7/15/2016 - 7/15/2021) &#10;Cuer Page Data use Policy H4L Consent rules &#10;H4L Permitted Imz Data Fields &#10;H4L Permitted Lab Data Field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8353" cy="2375237"/>
                    </a:xfrm>
                    <a:prstGeom prst="rect">
                      <a:avLst/>
                    </a:prstGeom>
                    <a:noFill/>
                    <a:ln>
                      <a:solidFill>
                        <a:srgbClr val="FF0000"/>
                      </a:solidFill>
                    </a:ln>
                  </pic:spPr>
                </pic:pic>
              </a:graphicData>
            </a:graphic>
          </wp:inline>
        </w:drawing>
      </w:r>
    </w:p>
    <w:p w14:paraId="6BE38538"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7A99C0"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They can only utilize data that has a treatment source. If a patient does not give consent, they cannot provide information. We have other consumers coming onboard that do not require consent. We are only entitled to share consented data.  </w:t>
      </w:r>
    </w:p>
    <w:p w14:paraId="04691D8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9DFE5C"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get two types of consent. PHI, and we get opt out (Don't share my data for any purpose). We blend in the health 4 life. </w:t>
      </w:r>
    </w:p>
    <w:p w14:paraId="7B33EC1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F5BC1A"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only time we don't share data is when help4life has not gotten consent. </w:t>
      </w:r>
    </w:p>
    <w:p w14:paraId="1B3DE154"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F445B17" wp14:editId="59FAF9BF">
            <wp:extent cx="6162675" cy="2705100"/>
            <wp:effectExtent l="19050" t="19050" r="28575" b="19050"/>
            <wp:docPr id="6" name="Picture 6" descr="Machine generated alternative text:&#10;HAL PHI disclosure &#10;CE opt in/out &#10;Out &#10;S out &#10;6 out &#10;(EPIC) PHI disclosure &#10;(EPIC) &#10;H4L PHI disclosure &#10;COR must share data &#10;CDR must not share date &#10;CDR must share data &#10;CDR must &#10;E_ COR must share data &#10;CDR must NOT shire data &#10;The PHI disclosure supercedes the EPIC CE opt th EPIC PHI disclosure and hart correction fVg_ &#10;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HAL PHI disclosure &#10;CE opt in/out &#10;Out &#10;S out &#10;6 out &#10;(EPIC) PHI disclosure &#10;(EPIC) &#10;H4L PHI disclosure &#10;COR must share data &#10;CDR must not share date &#10;CDR must share data &#10;CDR must &#10;E_ COR must share data &#10;CDR must NOT shire data &#10;The PHI disclosure supercedes the EPIC CE opt th EPIC PHI disclosure and hart correction fVg_ &#10;14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2675" cy="2705100"/>
                    </a:xfrm>
                    <a:prstGeom prst="rect">
                      <a:avLst/>
                    </a:prstGeom>
                    <a:noFill/>
                    <a:ln>
                      <a:solidFill>
                        <a:srgbClr val="FF0000"/>
                      </a:solidFill>
                    </a:ln>
                  </pic:spPr>
                </pic:pic>
              </a:graphicData>
            </a:graphic>
          </wp:inline>
        </w:drawing>
      </w:r>
    </w:p>
    <w:p w14:paraId="2FFA099D"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FAB6C"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are partnering with CCE for future use case. </w:t>
      </w:r>
    </w:p>
    <w:p w14:paraId="59700A7A"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Bryan: </w:t>
      </w:r>
    </w:p>
    <w:p w14:paraId="3A4EC5A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01A7FA"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3E041CF" wp14:editId="36E0A7B5">
            <wp:extent cx="6187973" cy="2319598"/>
            <wp:effectExtent l="19050" t="19050" r="22860" b="24130"/>
            <wp:docPr id="7" name="Picture 7" descr="Machine generated alternative text:&#10;'h &#10;COR-os-Oöo &#10;COR-os-003 EPIC &#10;onent &#10;d stA &#10;Patna or ovidgrs &#10;data) &#10;Legal and Contractual &#10;WA (m BÅtCh &#10;trans tom ec &#10;I tm GCS. &#10;intecrated &#10;F stveJ &#10;Epic Sensitive Codes &#10;eMaae'e•ne Menappan@CVSHeannc &#10;- MA-tin. ra &#10;Read Me &#10;Data Sources &#10;EPIC care &#10;Consumers &#10;Meta Data &#10;Caremark Sensitive Drug List &#10;P' MA Legislation Sensitive ICDIO Proced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h &#10;COR-os-Oöo &#10;COR-os-003 EPIC &#10;onent &#10;d stA &#10;Patna or ovidgrs &#10;data) &#10;Legal and Contractual &#10;WA (m BÅtCh &#10;trans tom ec &#10;I tm GCS. &#10;intecrated &#10;F stveJ &#10;Epic Sensitive Codes &#10;eMaae'e•ne Menappan@CVSHeannc &#10;- MA-tin. ra &#10;Read Me &#10;Data Sources &#10;EPIC care &#10;Consumers &#10;Meta Data &#10;Caremark Sensitive Drug List &#10;P' MA Legislation Sensitive ICDIO Procedur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6745" cy="2345377"/>
                    </a:xfrm>
                    <a:prstGeom prst="rect">
                      <a:avLst/>
                    </a:prstGeom>
                    <a:noFill/>
                    <a:ln>
                      <a:solidFill>
                        <a:srgbClr val="FF0000"/>
                      </a:solidFill>
                    </a:ln>
                  </pic:spPr>
                </pic:pic>
              </a:graphicData>
            </a:graphic>
          </wp:inline>
        </w:drawing>
      </w:r>
    </w:p>
    <w:p w14:paraId="09961BE2"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B85C88"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are building a data store and this info will be removed from Excel. </w:t>
      </w:r>
    </w:p>
    <w:p w14:paraId="61C2A66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774EFC"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capture statistics around the timeframe and the various loads. </w:t>
      </w:r>
    </w:p>
    <w:p w14:paraId="131DD38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494599"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Jason: Are you doing this manual process or someone else is doing it?</w:t>
      </w:r>
    </w:p>
    <w:p w14:paraId="67FFF112"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Ray</w:t>
      </w:r>
      <w:r>
        <w:rPr>
          <w:rFonts w:ascii="Calibri" w:hAnsi="Calibri" w:cs="Calibri"/>
          <w:sz w:val="22"/>
          <w:szCs w:val="22"/>
        </w:rPr>
        <w:t xml:space="preserve">: I'm not doing it, but team members are doing it. </w:t>
      </w:r>
    </w:p>
    <w:p w14:paraId="60D02E5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8F4BB3"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Jason: The profiling is doing initially to set up the quality rules. </w:t>
      </w:r>
    </w:p>
    <w:p w14:paraId="6D57E86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Yogesh: When it goes into production live, it is monitored. Possible test cases are done before. Files get placed in the landing zone then it is moved. </w:t>
      </w:r>
    </w:p>
    <w:p w14:paraId="18FA9D36" w14:textId="72614BFC"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EDP team and their framework lands data in our GCP landing bracket. </w:t>
      </w:r>
    </w:p>
    <w:p w14:paraId="616DDD9B"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C53D5" w14:textId="18EB63FE" w:rsidR="00390DAE" w:rsidRDefault="00366783">
      <w:pPr>
        <w:pStyle w:val="NormalWeb"/>
        <w:spacing w:before="0" w:beforeAutospacing="0" w:after="0" w:afterAutospacing="0"/>
        <w:rPr>
          <w:rFonts w:ascii="Calibri" w:hAnsi="Calibri" w:cs="Calibri"/>
          <w:sz w:val="22"/>
          <w:szCs w:val="22"/>
        </w:rPr>
      </w:pPr>
      <w:r>
        <w:rPr>
          <w:rFonts w:ascii="Calibri" w:hAnsi="Calibri" w:cs="Calibri"/>
          <w:b/>
          <w:bCs/>
          <w:sz w:val="22"/>
          <w:szCs w:val="22"/>
        </w:rPr>
        <w:t>Gaps in the framework</w:t>
      </w:r>
      <w:r>
        <w:rPr>
          <w:rFonts w:ascii="Calibri" w:hAnsi="Calibri" w:cs="Calibri"/>
          <w:sz w:val="22"/>
          <w:szCs w:val="22"/>
        </w:rPr>
        <w:t xml:space="preserve"> - We can schedule a different time to go over this information. </w:t>
      </w:r>
    </w:p>
    <w:p w14:paraId="1DA8E9D3" w14:textId="77777777" w:rsidR="00390DAE" w:rsidRDefault="0036678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sectPr w:rsidR="00390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783"/>
    <w:rsid w:val="00053ADB"/>
    <w:rsid w:val="00164025"/>
    <w:rsid w:val="00366783"/>
    <w:rsid w:val="00390DAE"/>
    <w:rsid w:val="00764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946D8"/>
  <w15:chartTrackingRefBased/>
  <w15:docId w15:val="{D3FA353C-4460-4AB0-ADA2-320C8A813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D7939-9D12-4303-A7F7-B24610C9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578</Words>
  <Characters>2737</Characters>
  <Application>Microsoft Office Word</Application>
  <DocSecurity>0</DocSecurity>
  <Lines>106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Mafi, oluwaseyi E</dc:creator>
  <cp:keywords/>
  <dc:description/>
  <cp:lastModifiedBy>Mafi, oluwaseyi E</cp:lastModifiedBy>
  <cp:revision>4</cp:revision>
  <dcterms:created xsi:type="dcterms:W3CDTF">2021-06-24T21:54:00Z</dcterms:created>
  <dcterms:modified xsi:type="dcterms:W3CDTF">2021-06-24T22:07:00Z</dcterms:modified>
</cp:coreProperties>
</file>