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맑은 고딕" w:hAnsi="맑은 고딕" w:eastAsia="맑은 고딕"/>
          <w:b/>
          <w:color w:val="182B38"/>
          <w:sz w:val="34"/>
        </w:rPr>
        <w:t>성남 10분 생활필수 접근권 격차 지도</w:t>
      </w:r>
    </w:p>
    <w:p>
      <w:pPr>
        <w:spacing w:line="348" w:lineRule="auto" w:after="100"/>
        <w:jc w:val="center"/>
      </w:pPr>
      <w:r>
        <w:rPr>
          <w:rFonts w:ascii="맑은 고딕" w:hAnsi="맑은 고딕" w:eastAsia="맑은 고딕"/>
          <w:b w:val="0"/>
          <w:color w:val="5B6B6A"/>
          <w:sz w:val="21"/>
        </w:rPr>
        <w:t>공식 공개 데이터 기반 정책 시각화 결과서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767"/>
      </w:tblGrid>
      <w:tr>
        <w:tc>
          <w:tcPr>
            <w:tcW w:type="dxa" w:w="1843"/>
            <w:shd w:fill="F2F0EA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53544"/>
                <w:sz w:val="18"/>
              </w:rPr>
              <w:t>작품 제목</w:t>
            </w:r>
          </w:p>
        </w:tc>
        <w:tc>
          <w:tcPr>
            <w:tcW w:type="dxa" w:w="7767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 w:val="0"/>
                <w:color w:val="182B38"/>
                <w:sz w:val="19"/>
              </w:rPr>
              <w:t>성남 10분 생활필수 접근권 격차 지도</w:t>
            </w:r>
          </w:p>
        </w:tc>
      </w:tr>
      <w:tr>
        <w:tc>
          <w:tcPr>
            <w:tcW w:type="dxa" w:w="1843"/>
            <w:shd w:fill="F2F0EA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53544"/>
                <w:sz w:val="18"/>
              </w:rPr>
              <w:t>주제 선택 배경</w:t>
            </w:r>
          </w:p>
        </w:tc>
        <w:tc>
          <w:tcPr>
            <w:tcW w:type="dxa" w:w="7767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 w:val="0"/>
                <w:color w:val="182B38"/>
                <w:sz w:val="19"/>
              </w:rPr>
              <w:t>생활서비스가 행정구역 안에 있어도 고령층·1인가구가 실제로 쉽게 닿지 못하면 체감 접근권은 낮아진다. 성남의 의료, 약국, 돌봄, 교통 기반시설을 함께 보아 정책 우선순위를 설명하고자 했다.</w:t>
            </w:r>
          </w:p>
        </w:tc>
      </w:tr>
      <w:tr>
        <w:tc>
          <w:tcPr>
            <w:tcW w:type="dxa" w:w="1843"/>
            <w:shd w:fill="F2F0EA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53544"/>
                <w:sz w:val="18"/>
              </w:rPr>
              <w:t>사용 데이터</w:t>
            </w:r>
          </w:p>
        </w:tc>
        <w:tc>
          <w:tcPr>
            <w:tcW w:type="dxa" w:w="7767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성남시 의료기관 현황(data.go.kr): 대표 동별 의료 접근성 점수 산정</w:t>
            </w:r>
          </w:p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성남시 약국 현황(data.go.kr): 대표 동별 약국 접근성 점수 산정</w:t>
            </w:r>
          </w:p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성남시 노인종합복지관 현황(data.go.kr) + 복지시설 좌표 PDF(seongnam.go.kr): 돌봄 거점 거리 산정</w:t>
            </w:r>
          </w:p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성남시 버스공영차고지 현황(data.go.kr): 교통 기반시설 대리 지표 산정</w:t>
            </w:r>
          </w:p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행정동별 인구·세대 및 1인세대 현황(data.go.kr): 고령층, 1인가구, 지원수요 지표 산정</w:t>
            </w:r>
          </w:p>
        </w:tc>
      </w:tr>
      <w:tr>
        <w:tc>
          <w:tcPr>
            <w:tcW w:type="dxa" w:w="1843"/>
            <w:shd w:fill="F2F0EA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53544"/>
                <w:sz w:val="18"/>
              </w:rPr>
              <w:t>데이터 활용 내용</w:t>
            </w:r>
          </w:p>
        </w:tc>
        <w:tc>
          <w:tcPr>
            <w:tcW w:type="dxa" w:w="7767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공식 CSV를 내려받아 대표 생활권 10개 동으로 매핑하고, 의료기관·약국 수를 접근성 점수로 표준화했다.</w:t>
            </w:r>
          </w:p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인구, 고령층, 1인세대, 고령 1인세대 비율을 결합해 지원수요 지표를 만들었다.</w:t>
            </w:r>
          </w:p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노인복지관은 공식 시설 목록과 성남시 좌표 PDF를 결합했으며, 교통은 공영차고지 거리 기반 대리 지표로 표시했다.</w:t>
            </w:r>
          </w:p>
        </w:tc>
      </w:tr>
      <w:tr>
        <w:tc>
          <w:tcPr>
            <w:tcW w:type="dxa" w:w="1843"/>
            <w:shd w:fill="F2F0EA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53544"/>
                <w:sz w:val="18"/>
              </w:rPr>
              <w:t>시각화 방법</w:t>
            </w:r>
          </w:p>
        </w:tc>
        <w:tc>
          <w:tcPr>
            <w:tcW w:type="dxa" w:w="7767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MapLibre 지도 위에 대표 생활권과 서비스 거점을 배치하고, 점수 구간을 색상과 크기로 구분했다.</w:t>
            </w:r>
          </w:p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서비스별 small multiple 지도, 우선순위 산점도, 정책 브리프 카드를 연결해 10초 안에 핵심을 읽도록 구성했다.</w:t>
            </w:r>
          </w:p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v2에서는 줄간격, 여백, 카드 내부 간격을 확대해 발표자료 캡처로 바로 사용할 수 있게 다듬었다.</w:t>
            </w:r>
          </w:p>
        </w:tc>
      </w:tr>
      <w:tr>
        <w:tc>
          <w:tcPr>
            <w:tcW w:type="dxa" w:w="1843"/>
            <w:shd w:fill="F2F0EA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53544"/>
                <w:sz w:val="18"/>
              </w:rPr>
              <w:t>시각화 결과물 설명</w:t>
            </w:r>
          </w:p>
        </w:tc>
        <w:tc>
          <w:tcPr>
            <w:tcW w:type="dxa" w:w="7767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첫 화면은 생활서비스가 있는 것과 10분 안에 닿는 것은 다르다는 메시지와 대표 지도를 함께 보여준다.</w:t>
            </w:r>
          </w:p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두 번째 화면은 의료, 약국, 교통, 돌봄별로 부족 지역이 다르게 나타난다는 점을 비교한다.</w:t>
            </w:r>
          </w:p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세 번째 화면은 접근이 어렵고 지원수요가 높은 생활권을 우선 점검 대상으로 드러낸다.</w:t>
            </w:r>
          </w:p>
          <w:p>
            <w:pPr>
              <w:spacing w:line="324" w:lineRule="auto" w:after="80"/>
              <w:ind w:left="85" w:hanging="85"/>
            </w:pPr>
            <w:r>
              <w:rPr>
                <w:rFonts w:ascii="맑은 고딕" w:hAnsi="맑은 고딕" w:eastAsia="맑은 고딕"/>
                <w:color w:val="182B38"/>
                <w:sz w:val="19"/>
              </w:rPr>
              <w:t>· 네 번째 화면은 의료 보완, 이동 접근, 돌봄, 복합 보완 유형별 실행 과제를 정책 카드로 정리한다.</w:t>
            </w:r>
          </w:p>
        </w:tc>
      </w:tr>
      <w:tr>
        <w:tc>
          <w:tcPr>
            <w:tcW w:type="dxa" w:w="1843"/>
            <w:shd w:fill="F2F0EA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53544"/>
                <w:sz w:val="18"/>
              </w:rPr>
              <w:t>활용방안 및 기대효과</w:t>
            </w:r>
          </w:p>
        </w:tc>
        <w:tc>
          <w:tcPr>
            <w:tcW w:type="dxa" w:w="7767"/>
            <w:vAlign w:val="center"/>
            <w:tcBorders>
              <w:top w:val="single" w:sz="6" w:space="0" w:color="D7D1C5"/>
              <w:left w:val="single" w:sz="6" w:space="0" w:color="D7D1C5"/>
              <w:bottom w:val="single" w:sz="6" w:space="0" w:color="D7D1C5"/>
              <w:right w:val="single" w:sz="6" w:space="0" w:color="D7D1C5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 w:val="0"/>
                <w:color w:val="182B38"/>
                <w:sz w:val="19"/>
              </w:rPr>
              <w:t>보건소, 교통, 복지 부서가 같은 화면에서 우선 점검 생활권을 공유할 수 있다. 향후 버스정류장 전수 좌표, 보행 네트워크, 통신·카드 집계 데이터가 추가되면 실제 10분 도달성과 이용 수요를 결합한 정책 의사결정 도구로 확장할 수 있다.</w:t>
            </w:r>
          </w:p>
        </w:tc>
      </w:tr>
    </w:tbl>
    <w:p>
      <w:pPr>
        <w:spacing w:before="200" w:after="100"/>
      </w:pPr>
      <w:r>
        <w:rPr>
          <w:rFonts w:ascii="맑은 고딕" w:hAnsi="맑은 고딕" w:eastAsia="맑은 고딕"/>
          <w:b/>
          <w:color w:val="2F6F68"/>
          <w:sz w:val="24"/>
        </w:rPr>
        <w:t>출처 URL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F6F68"/>
                <w:sz w:val="15"/>
              </w:rPr>
              <w:t>공모전 공고</w:t>
            </w:r>
          </w:p>
        </w:tc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 w:val="0"/>
                <w:color w:val="3E4D56"/>
                <w:sz w:val="15"/>
              </w:rPr>
              <w:t>https://seongnam.go.kr/city/1000052/30001/bbsView.do?idx=381551</w:t>
            </w:r>
          </w:p>
        </w:tc>
      </w:tr>
      <w:tr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F6F68"/>
                <w:sz w:val="15"/>
              </w:rPr>
              <w:t>의료기관</w:t>
            </w:r>
          </w:p>
        </w:tc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 w:val="0"/>
                <w:color w:val="3E4D56"/>
                <w:sz w:val="15"/>
              </w:rPr>
              <w:t>https://www.data.go.kr/data/15000890/fileData.do</w:t>
            </w:r>
          </w:p>
        </w:tc>
      </w:tr>
      <w:tr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F6F68"/>
                <w:sz w:val="15"/>
              </w:rPr>
              <w:t>약국</w:t>
            </w:r>
          </w:p>
        </w:tc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 w:val="0"/>
                <w:color w:val="3E4D56"/>
                <w:sz w:val="15"/>
              </w:rPr>
              <w:t>https://www.data.go.kr/data/15000848/fileData.do</w:t>
            </w:r>
          </w:p>
        </w:tc>
      </w:tr>
      <w:tr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F6F68"/>
                <w:sz w:val="15"/>
              </w:rPr>
              <w:t>노인복지관</w:t>
            </w:r>
          </w:p>
        </w:tc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 w:val="0"/>
                <w:color w:val="3E4D56"/>
                <w:sz w:val="15"/>
              </w:rPr>
              <w:t>https://www.data.go.kr/data/15000901/fileData.do</w:t>
            </w:r>
          </w:p>
        </w:tc>
      </w:tr>
      <w:tr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F6F68"/>
                <w:sz w:val="15"/>
              </w:rPr>
              <w:t>버스공영차고지</w:t>
            </w:r>
          </w:p>
        </w:tc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 w:val="0"/>
                <w:color w:val="3E4D56"/>
                <w:sz w:val="15"/>
              </w:rPr>
              <w:t>https://www.data.go.kr/data/15061124/fileData.do</w:t>
            </w:r>
          </w:p>
        </w:tc>
      </w:tr>
      <w:tr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F6F68"/>
                <w:sz w:val="15"/>
              </w:rPr>
              <w:t>인구·세대</w:t>
            </w:r>
          </w:p>
        </w:tc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 w:val="0"/>
                <w:color w:val="3E4D56"/>
                <w:sz w:val="15"/>
              </w:rPr>
              <w:t>https://www.data.go.kr/data/15007386/fileData.do</w:t>
            </w:r>
          </w:p>
        </w:tc>
      </w:tr>
      <w:tr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F6F68"/>
                <w:sz w:val="15"/>
              </w:rPr>
              <w:t>1인세대</w:t>
            </w:r>
          </w:p>
        </w:tc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 w:val="0"/>
                <w:color w:val="3E4D56"/>
                <w:sz w:val="15"/>
              </w:rPr>
              <w:t>https://www.data.go.kr/data/15061108/fileData.do</w:t>
            </w:r>
          </w:p>
        </w:tc>
      </w:tr>
      <w:tr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/>
                <w:color w:val="2F6F68"/>
                <w:sz w:val="15"/>
              </w:rPr>
              <w:t>복지시설 좌표</w:t>
            </w:r>
          </w:p>
        </w:tc>
        <w:tc>
          <w:tcPr>
            <w:tcW w:type="dxa" w:w="5241"/>
            <w:tcBorders>
              <w:top w:val="single" w:sz="6" w:space="0" w:color="E5E0D6"/>
              <w:left w:val="single" w:sz="6" w:space="0" w:color="E5E0D6"/>
              <w:bottom w:val="single" w:sz="6" w:space="0" w:color="E5E0D6"/>
              <w:right w:val="single" w:sz="6" w:space="0" w:color="E5E0D6"/>
            </w:tcBorders>
          </w:tcPr>
          <w:p>
            <w:pPr>
              <w:spacing w:line="324" w:lineRule="auto" w:after="0"/>
            </w:pPr>
            <w:r/>
            <w:r>
              <w:rPr>
                <w:rFonts w:ascii="맑은 고딕" w:hAnsi="맑은 고딕" w:eastAsia="맑은 고딕"/>
                <w:b w:val="0"/>
                <w:color w:val="3E4D56"/>
                <w:sz w:val="15"/>
              </w:rPr>
              <w:t>https://www.seongnam.go.kr/contents/down/10458_6.pdf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F6F68"/>
          <w:sz w:val="24"/>
        </w:rPr>
        <w:t>데이터 해석상 주의 및 확장 계획</w:t>
      </w:r>
    </w:p>
    <w:p>
      <w:pPr>
        <w:spacing w:line="348" w:lineRule="auto" w:after="100"/>
      </w:pPr>
      <w:r>
        <w:rPr>
          <w:rFonts w:ascii="맑은 고딕" w:hAnsi="맑은 고딕" w:eastAsia="맑은 고딕"/>
          <w:b w:val="0"/>
          <w:color w:val="3E4D56"/>
          <w:sz w:val="20"/>
        </w:rPr>
        <w:t>· 현재 결과서는 공식 공개 데이터를 앱 구조에 반영한 최신본이다. 의료, 약국, 인구, 1인세대, 노인복지관은 실제 공개 파일을 내려받아 재산출했다.</w:t>
      </w:r>
    </w:p>
    <w:p>
      <w:pPr>
        <w:spacing w:line="348" w:lineRule="auto" w:after="100"/>
      </w:pPr>
      <w:r>
        <w:rPr>
          <w:rFonts w:ascii="맑은 고딕" w:hAnsi="맑은 고딕" w:eastAsia="맑은 고딕"/>
          <w:b w:val="0"/>
          <w:color w:val="3E4D56"/>
          <w:sz w:val="20"/>
        </w:rPr>
        <w:t>· 교통 지표는 버스정류장 전수 접근성이 아니라 공영차고지 거리 기반 대리 지표다. 발표 시 이 부분을 한계로 명시하고, 정류장 좌표 확보 후 재산출한다고 설명한다.</w:t>
      </w:r>
    </w:p>
    <w:p>
      <w:pPr>
        <w:spacing w:line="348" w:lineRule="auto" w:after="100"/>
      </w:pPr>
      <w:r>
        <w:rPr>
          <w:rFonts w:ascii="맑은 고딕" w:hAnsi="맑은 고딕" w:eastAsia="맑은 고딕"/>
          <w:b w:val="0"/>
          <w:color w:val="3E4D56"/>
          <w:sz w:val="20"/>
        </w:rPr>
        <w:t>· 공모전 제공 민간 통신·카드 데이터는 제공 경로와 활용 가능성을 확인했지만, 현재 앱 CSV에는 직접 반영하지 않았다. 원자료를 확보하면 체류·소비·방문 강도 보정 지표로 추가한다.</w:t>
      </w:r>
    </w:p>
    <w:p>
      <w:pPr>
        <w:spacing w:line="348" w:lineRule="auto" w:after="100"/>
      </w:pPr>
      <w:r>
        <w:rPr>
          <w:rFonts w:ascii="맑은 고딕" w:hAnsi="맑은 고딕" w:eastAsia="맑은 고딕"/>
          <w:b w:val="0"/>
          <w:color w:val="3E4D56"/>
          <w:sz w:val="20"/>
        </w:rPr>
        <w:t>· 정책 적용 단계에서는 보행 네트워크, 경사, 횡단 대기, 야간·휴일 운영 여부를 추가해 실제 10분 도달성 지표로 확장한다.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2F6F68"/>
          <w:sz w:val="24"/>
        </w:rPr>
        <w:t>재현 방법</w:t>
      </w:r>
    </w:p>
    <w:p>
      <w:pPr>
        <w:spacing w:line="348" w:lineRule="auto" w:after="100"/>
      </w:pPr>
      <w:r>
        <w:rPr>
          <w:rFonts w:ascii="맑은 고딕" w:hAnsi="맑은 고딕" w:eastAsia="맑은 고딕"/>
          <w:b w:val="0"/>
          <w:color w:val="3E4D56"/>
          <w:sz w:val="20"/>
        </w:rPr>
        <w:t>· 원천 파일은 `data/raw_official/`에 보관했다.</w:t>
      </w:r>
    </w:p>
    <w:p>
      <w:pPr>
        <w:spacing w:line="348" w:lineRule="auto" w:after="100"/>
      </w:pPr>
      <w:r>
        <w:rPr>
          <w:rFonts w:ascii="맑은 고딕" w:hAnsi="맑은 고딕" w:eastAsia="맑은 고딕"/>
          <w:b w:val="0"/>
          <w:color w:val="3E4D56"/>
          <w:sz w:val="20"/>
        </w:rPr>
        <w:t>· `python scripts/prepare-official-data.py`를 실행하면 앱용 `data/accessibility_metrics.csv`와 `data/service_points.csv`가 다시 생성된다.</w:t>
      </w:r>
    </w:p>
    <w:p>
      <w:pPr>
        <w:spacing w:line="348" w:lineRule="auto" w:after="100"/>
      </w:pPr>
      <w:r>
        <w:rPr>
          <w:rFonts w:ascii="맑은 고딕" w:hAnsi="맑은 고딕" w:eastAsia="맑은 고딕"/>
          <w:b w:val="0"/>
          <w:color w:val="3E4D56"/>
          <w:sz w:val="20"/>
        </w:rPr>
        <w:t>· 같은 컬럼 구조를 유지하면 지도, 서비스별 카드, 산점도, 정책 브리프 카드가 자동으로 갱신된다.</w:t>
      </w:r>
    </w:p>
    <w:sectPr w:rsidR="00FC693F" w:rsidRPr="0006063C" w:rsidSect="00034616">
      <w:pgSz w:w="12240" w:h="15840"/>
      <w:pgMar w:top="709" w:right="879" w:bottom="59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