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10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학습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여러 지도, 비지도 학습 논문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등 여러 딥러닝 구조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학습한 모델 구조 PyTorch나 CUDA로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Fin2Vec 모델 고도화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Fin2Vec의 학습 결과 활용, 분석하는 모델 개발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추가 확보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학습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 논문 학습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Fin2Vec 모델 완성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10/12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10/13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3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 2.0 논문 학습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 논문 학습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pyTorch 상에서 Transformer 구조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Fin2Vec 모델 개발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이전에 개발한 AutoEncoder 기반 PCRN 고도화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transformer의 encoder만 활용한 Fin2Vec 구조 설계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 2.0 도식을 활용한 fin2vec 학습 진행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Fin2Vec 학습 결과 바탕, 클러스터링 진행</w:t>
            </w:r>
          </w:p>
          <w:p w:rsidR="00000000" w:rsidDel="00000000" w:rsidP="00000000" w:rsidRDefault="00000000" w:rsidRPr="00000000" w14:paraId="0000002E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주식 데이터 전처리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Fin2Vec에 학습시킬 데이터 전처리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10/08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10/08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10/09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10/09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10/09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</w:t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학습 최적화 코드 작성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PyTorch 및 Numpy 추가 학습을 통한 최적화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데이터로더 부분 개선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CUDA로 최적화 코드 작성</w:t>
            </w:r>
          </w:p>
          <w:p w:rsidR="00000000" w:rsidDel="00000000" w:rsidP="00000000" w:rsidRDefault="00000000" w:rsidRPr="00000000" w14:paraId="00000041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정리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Transformer을 활용한 최신 모델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시계열 데이터 전처리 방법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Fin2Vec 학습 결과 활용한 모델 및 서비스 제작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Fin2Vec 의 학습 결과를 활용하여 예측 등을 수행하는 추가 모델 개발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Fin2Vec 모델을 활용한 사용자 서비스 개발 및 배포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8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b w:val="1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6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</w:t>
    </w:r>
    <w:r w:rsidDel="00000000" w:rsidR="00000000" w:rsidRPr="00000000">
      <w:rPr>
        <w:b w:val="1"/>
        <w:rtl w:val="0"/>
      </w:rPr>
      <w:t xml:space="preserve">12686 / 이해성</w:t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xt4tm4bd2GjKlIgIW3NCA43p6w==">CgMxLjAaJAoBMBIfCh0IB0IZCgVBcmltbxIQQXJpYWwgVW5pY29kZSBNUzgAciExcU1HaklScENRVmVSbHRIa3I5c2ZVRXdOalJNTUNBbTc=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