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8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여름 하계 집중 근무 마무리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Magface 학습 작업 마무리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Magface 학습 및 평가 작업 인수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여름 하계 집중 근무 마무리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MagFace 학습 작업 마무리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MagFace 작업 인수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8/4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8/18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8/19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9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Magface 모델 학습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새로운 데이터 받아 학습 진행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(한국인 안면데이터)</w:t>
            </w:r>
          </w:p>
          <w:p w:rsidR="00000000" w:rsidDel="00000000" w:rsidP="00000000" w:rsidRDefault="00000000" w:rsidRPr="00000000" w14:paraId="0000001E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MLOps 공부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공개 SW 특강 수강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DevOps 공부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공개 SW 특강 수강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MagFace인수인계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 파일 및 python 파일 인수인계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압축 해제 프로그램 소스 파일과 데이터 추출 경로 공유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환경 설정 cofig 공유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8/3</w:t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8/11</w:t>
            </w:r>
          </w:p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8/10</w:t>
            </w:r>
          </w:p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8/4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MLOps 복습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머신러닝 기업에서 근무한 만큼 관련 기술 함양에 힘 쓸 예정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DevOps 복습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action과 dev-container, docker, linting 등 개발 환경의 의존성 문제 해결을 위한 툴 및 CI/CD 툴 학습 예정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8/31</w:t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8/31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하계집중근무 종료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6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</w:t>
    </w:r>
    <w:r w:rsidDel="00000000" w:rsidR="00000000" w:rsidRPr="00000000">
      <w:rPr>
        <w:b w:val="1"/>
        <w:rtl w:val="0"/>
      </w:rPr>
      <w:t xml:space="preserve">3904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김호재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f08ELG4r8uslR+wdCbZJzsdYQ==">CgMxLjAaJAoBMBIfCh0IB0IZCgVBcmltbxIQQXJpYWwgVW5pY29kZSBNUzgAciExNGV6OFU1ckhoeDJSbk1oTEo1T1J0X0hsNVZzcmFIbDI=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