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9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심화 학습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0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심화 모델 설계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clustering 모델 학습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0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구성 및 학습</w:t>
            </w:r>
          </w:p>
          <w:p w:rsidR="00000000" w:rsidDel="00000000" w:rsidP="00000000" w:rsidRDefault="00000000" w:rsidRPr="00000000" w14:paraId="0000000F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10/5</w:t>
            </w:r>
          </w:p>
          <w:p w:rsidR="00000000" w:rsidDel="00000000" w:rsidP="00000000" w:rsidRDefault="00000000" w:rsidRPr="00000000" w14:paraId="0000001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기초 학습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기초적인 모델 완성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개인 발표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Attention is All You Need 논문 리뷰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해커톤 참가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7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SKKU.THON 은상 수상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09/21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09/23</w:t>
            </w:r>
          </w:p>
          <w:p w:rsidR="00000000" w:rsidDel="00000000" w:rsidP="00000000" w:rsidRDefault="00000000" w:rsidRPr="00000000" w14:paraId="0000001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09/24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2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9/15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3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4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25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기초 학습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데이터 전처리 학습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시계열 데이터 분석 모델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9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transformer 이용 모델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9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주식 데이터를 입력하고 동일한 출력 지향하는 모델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9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Encoder의 결과물인 embedding에 주식 차트의 정보가 압축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72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개인 발표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fisheye augmentation segment 세미나 발표 예정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calibration 학습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undistortion 학습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clustering 학습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SpectralCluster 모델 학습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09/21</w:t>
            </w:r>
          </w:p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09/21</w:t>
            </w:r>
          </w:p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09/19</w:t>
            </w:r>
          </w:p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09/22</w:t>
            </w:r>
          </w:p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09/22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pytorch 심화 학습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금주 제작한 모델의 test code 다변화 시도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optimizer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2"/>
              </w:numPr>
              <w:ind w:left="144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loss_func 변경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MLFlow 도입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흐름도 작성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학습 최적화를 위한 APEX 학습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nvidia에서 제공하는 pytorch tools</w:t>
            </w:r>
          </w:p>
          <w:p w:rsidR="00000000" w:rsidDel="00000000" w:rsidP="00000000" w:rsidRDefault="00000000" w:rsidRPr="00000000" w14:paraId="0000004A">
            <w:pPr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clustering 모델 학습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clustering 모델 학습 완료</w:t>
            </w:r>
          </w:p>
          <w:p w:rsidR="00000000" w:rsidDel="00000000" w:rsidP="00000000" w:rsidRDefault="00000000" w:rsidRPr="00000000" w14:paraId="0000004D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10/10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F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5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6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7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E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4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5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6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</w:t>
    </w:r>
    <w:r w:rsidDel="00000000" w:rsidR="00000000" w:rsidRPr="00000000">
      <w:rPr>
        <w:b w:val="1"/>
        <w:rtl w:val="0"/>
      </w:rPr>
      <w:t xml:space="preserve">313904</w:t>
    </w:r>
    <w:r w:rsidDel="00000000" w:rsidR="00000000" w:rsidRPr="00000000">
      <w:rPr>
        <w:b w:val="1"/>
        <w:color w:val="000000"/>
        <w:rtl w:val="0"/>
      </w:rPr>
      <w:t xml:space="preserve"> /</w:t>
    </w:r>
    <w:r w:rsidDel="00000000" w:rsidR="00000000" w:rsidRPr="00000000">
      <w:rPr>
        <w:b w:val="1"/>
        <w:rtl w:val="0"/>
      </w:rPr>
      <w:t xml:space="preserve"> 김호재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haFHJ5VggPsdoJ9gROGaIWRmzA==">CgMxLjAaJAoBMBIfCh0IB0IZCgVBcmltbxIQQXJpYWwgVW5pY29kZSBNUzgAciExeFE0VTdraFBSMW9PeEtWUlNJZlRhekZWMXV3aWdUc0w=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