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FEB" w:rsidRPr="000D308A" w:rsidRDefault="000A38BB" w:rsidP="005639A7">
      <w:pPr>
        <w:spacing w:after="0" w:line="240" w:lineRule="auto"/>
        <w:jc w:val="center"/>
        <w:rPr>
          <w:rFonts w:ascii="Garamond" w:hAnsi="Garamond"/>
          <w:b/>
          <w:sz w:val="26"/>
          <w:szCs w:val="26"/>
        </w:rPr>
      </w:pPr>
      <w:r>
        <w:rPr>
          <w:rFonts w:ascii="Garamond" w:hAnsi="Garamond"/>
          <w:b/>
          <w:sz w:val="26"/>
          <w:szCs w:val="26"/>
        </w:rPr>
        <w:t xml:space="preserve">W2 </w:t>
      </w:r>
      <w:r>
        <w:rPr>
          <w:rFonts w:ascii="Garamond" w:hAnsi="Garamond" w:hint="eastAsia"/>
          <w:b/>
          <w:sz w:val="26"/>
          <w:szCs w:val="26"/>
        </w:rPr>
        <w:t>Specific Steps</w:t>
      </w:r>
    </w:p>
    <w:p w:rsidR="002D6446" w:rsidRDefault="002D6446" w:rsidP="002D6446">
      <w:pPr>
        <w:spacing w:after="0" w:line="240" w:lineRule="auto"/>
        <w:rPr>
          <w:rFonts w:ascii="Garamond" w:hAnsi="Garamond"/>
        </w:rPr>
      </w:pPr>
    </w:p>
    <w:p w:rsidR="00096198" w:rsidRPr="00096198" w:rsidRDefault="005548F2" w:rsidP="002D6446">
      <w:pPr>
        <w:spacing w:after="0"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t>Overview</w:t>
      </w:r>
    </w:p>
    <w:p w:rsidR="004F048B" w:rsidRDefault="004F048B" w:rsidP="001A2DE7">
      <w:pPr>
        <w:spacing w:after="0" w:line="240" w:lineRule="auto"/>
        <w:rPr>
          <w:rFonts w:ascii="Garamond" w:hAnsi="Garamond"/>
        </w:rPr>
      </w:pPr>
    </w:p>
    <w:p w:rsidR="004F048B" w:rsidRPr="004F048B" w:rsidRDefault="004F048B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>Probability Samples: Four Steps in weighting</w:t>
      </w:r>
    </w:p>
    <w:p w:rsidR="00977EDA" w:rsidRDefault="00977EDA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r w:rsidR="004F048B">
        <w:rPr>
          <w:rFonts w:ascii="Garamond" w:hAnsi="Garamond"/>
        </w:rPr>
        <w:t>compute base weights</w:t>
      </w:r>
      <w:r w:rsidR="00351A3E">
        <w:rPr>
          <w:rFonts w:ascii="Garamond" w:hAnsi="Garamond"/>
        </w:rPr>
        <w:t xml:space="preserve"> </w:t>
      </w:r>
      <w:r w:rsidR="00351A3E" w:rsidRPr="00351A3E">
        <w:rPr>
          <w:rFonts w:ascii="Garamond" w:hAnsi="Garamond"/>
        </w:rPr>
        <w:sym w:font="Wingdings" w:char="F0E8"/>
      </w:r>
      <w:r w:rsidR="00351A3E">
        <w:rPr>
          <w:rFonts w:ascii="Garamond" w:hAnsi="Garamond"/>
        </w:rPr>
        <w:t xml:space="preserve"> I</w:t>
      </w:r>
      <w:r w:rsidR="00351A3E">
        <w:rPr>
          <w:rFonts w:ascii="Garamond" w:hAnsi="Garamond" w:hint="eastAsia"/>
        </w:rPr>
        <w:t xml:space="preserve">nverse </w:t>
      </w:r>
      <w:r w:rsidR="00351A3E">
        <w:rPr>
          <w:rFonts w:ascii="Garamond" w:hAnsi="Garamond"/>
        </w:rPr>
        <w:t>of selection probabilities; we keep track of those</w:t>
      </w:r>
    </w:p>
    <w:p w:rsidR="004F048B" w:rsidRDefault="004F048B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adjust base weights to account for units with unknown eligibility (if any)</w:t>
      </w:r>
    </w:p>
    <w:p w:rsidR="004F048B" w:rsidRDefault="004F048B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adjust for nonresponse</w:t>
      </w:r>
    </w:p>
    <w:p w:rsidR="004F048B" w:rsidRDefault="004F048B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calibrate to pop control </w:t>
      </w:r>
      <w:r w:rsidR="000F672F">
        <w:rPr>
          <w:rFonts w:ascii="Garamond" w:hAnsi="Garamond"/>
        </w:rPr>
        <w:t>totals</w:t>
      </w: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4B319C" w:rsidRPr="004B319C" w:rsidRDefault="004C1E84" w:rsidP="001A2DE7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59FDB6EA" wp14:editId="2541C5C8">
            <wp:extent cx="3920609" cy="463296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3742" cy="46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E7" w:rsidRPr="004B319C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9F4C10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>Non-probability samples</w:t>
      </w:r>
    </w:p>
    <w:p w:rsidR="009F4C10" w:rsidRDefault="009F4C10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No base weights in probability sampling sense</w:t>
      </w:r>
    </w:p>
    <w:p w:rsidR="009F4C10" w:rsidRDefault="009F4C10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Identify ineligible units</w:t>
      </w:r>
    </w:p>
    <w:p w:rsidR="009F4C10" w:rsidRDefault="009F4C10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No nonresponse in probability sampling sense</w:t>
      </w:r>
    </w:p>
    <w:p w:rsidR="009F4C10" w:rsidRDefault="009F4C10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Maybe compute a “pseudo-inclusion” probability and use inverse as a “base weight”</w:t>
      </w:r>
    </w:p>
    <w:p w:rsidR="009F4C10" w:rsidRDefault="009F4C10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Calibrate to population control totals</w:t>
      </w:r>
    </w:p>
    <w:p w:rsidR="00337238" w:rsidRDefault="00337238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</w:p>
    <w:p w:rsidR="00337238" w:rsidRPr="00630FEB" w:rsidRDefault="00630FEB" w:rsidP="001A2DE7">
      <w:pPr>
        <w:spacing w:after="0" w:line="240" w:lineRule="auto"/>
        <w:rPr>
          <w:rFonts w:ascii="Garamond" w:hAnsi="Garamond"/>
          <w:b/>
        </w:rPr>
      </w:pPr>
      <w:r w:rsidRPr="00630FEB">
        <w:rPr>
          <w:rFonts w:ascii="Garamond" w:hAnsi="Garamond"/>
          <w:b/>
        </w:rPr>
        <w:lastRenderedPageBreak/>
        <w:t>Base Weights</w:t>
      </w: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630FEB" w:rsidRDefault="00630FEB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 xml:space="preserve">Example: </w:t>
      </w:r>
      <w:r>
        <w:rPr>
          <w:rFonts w:ascii="Garamond" w:hAnsi="Garamond"/>
        </w:rPr>
        <w:t>Stratified simple random sample</w:t>
      </w:r>
    </w:p>
    <w:p w:rsidR="00630FEB" w:rsidRDefault="00630FEB" w:rsidP="001A2DE7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4A43D23A" wp14:editId="1D3B90AB">
            <wp:extent cx="3372968" cy="20269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5618" cy="202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63" w:rsidRDefault="00290A63" w:rsidP="001A2DE7">
      <w:pPr>
        <w:spacing w:after="0" w:line="240" w:lineRule="auto"/>
        <w:rPr>
          <w:rFonts w:ascii="Garamond" w:hAnsi="Garamond"/>
        </w:rPr>
      </w:pPr>
    </w:p>
    <w:p w:rsidR="00290A63" w:rsidRDefault="00290A63" w:rsidP="00290A63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 xml:space="preserve">Example: </w:t>
      </w:r>
      <w:r>
        <w:rPr>
          <w:rFonts w:ascii="Garamond" w:hAnsi="Garamond"/>
        </w:rPr>
        <w:t>Probability Proportional to size sample</w:t>
      </w:r>
    </w:p>
    <w:p w:rsidR="00290A63" w:rsidRDefault="00290A63" w:rsidP="001A2DE7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28E2D5FF" wp14:editId="27E7414A">
            <wp:extent cx="3850640" cy="2241869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712" cy="22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2C" w:rsidRDefault="0035012C" w:rsidP="001A2DE7">
      <w:pPr>
        <w:spacing w:after="0" w:line="240" w:lineRule="auto"/>
        <w:rPr>
          <w:rFonts w:ascii="Garamond" w:hAnsi="Garamond"/>
        </w:rPr>
      </w:pPr>
    </w:p>
    <w:p w:rsidR="0035012C" w:rsidRDefault="0035012C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Example: </w:t>
      </w:r>
      <w:r>
        <w:rPr>
          <w:rFonts w:ascii="Garamond" w:hAnsi="Garamond" w:hint="eastAsia"/>
        </w:rPr>
        <w:t>Two stage sample</w:t>
      </w:r>
    </w:p>
    <w:p w:rsidR="0035012C" w:rsidRDefault="0035012C" w:rsidP="001A2DE7">
      <w:pPr>
        <w:spacing w:after="0" w:line="240" w:lineRule="auto"/>
        <w:rPr>
          <w:rFonts w:ascii="Garamond" w:hAnsi="Garamond"/>
        </w:rPr>
      </w:pPr>
      <w:r>
        <w:rPr>
          <w:noProof/>
        </w:rPr>
        <w:drawing>
          <wp:inline distT="0" distB="0" distL="0" distR="0" wp14:anchorId="1315A9C7" wp14:editId="40BB8CEF">
            <wp:extent cx="4193145" cy="24231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932" cy="24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2C" w:rsidRDefault="0035012C" w:rsidP="001A2DE7">
      <w:pPr>
        <w:spacing w:after="0" w:line="240" w:lineRule="auto"/>
        <w:rPr>
          <w:rFonts w:ascii="Garamond" w:hAnsi="Garamond"/>
        </w:rPr>
      </w:pPr>
      <w:r w:rsidRPr="0035012C">
        <w:rPr>
          <w:rFonts w:ascii="Garamond" w:hAnsi="Garamond"/>
        </w:rPr>
        <w:sym w:font="Wingdings" w:char="F0E8"/>
      </w:r>
      <w:r>
        <w:rPr>
          <w:rFonts w:ascii="Garamond" w:hAnsi="Garamond"/>
        </w:rPr>
        <w:t xml:space="preserve"> Self weighting sample</w:t>
      </w:r>
    </w:p>
    <w:p w:rsidR="0035012C" w:rsidRDefault="0035012C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>If you think there is no reason to think certain student is worth more</w:t>
      </w:r>
    </w:p>
    <w:p w:rsidR="0035012C" w:rsidRPr="00A57928" w:rsidRDefault="0035012C" w:rsidP="001A2DE7">
      <w:pPr>
        <w:spacing w:after="0" w:line="240" w:lineRule="auto"/>
        <w:rPr>
          <w:rFonts w:ascii="Garamond" w:hAnsi="Garamond"/>
        </w:rPr>
      </w:pPr>
    </w:p>
    <w:p w:rsidR="001A2DE7" w:rsidRDefault="00630FEB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r w:rsidR="002938BB" w:rsidRPr="002938BB">
        <w:rPr>
          <w:rFonts w:ascii="Garamond" w:hAnsi="Garamond"/>
        </w:rPr>
        <w:t xml:space="preserve">In a stratified simple random sample, every sample unit in a given stratum </w:t>
      </w:r>
      <w:r w:rsidR="002938BB" w:rsidRPr="002938BB">
        <w:rPr>
          <w:rFonts w:ascii="Garamond" w:hAnsi="Garamond"/>
          <w:b/>
        </w:rPr>
        <w:t>cannot</w:t>
      </w:r>
      <w:r w:rsidR="002938BB" w:rsidRPr="002938BB">
        <w:rPr>
          <w:rFonts w:ascii="Garamond" w:hAnsi="Garamond"/>
        </w:rPr>
        <w:t xml:space="preserve"> have a different base weight.</w:t>
      </w: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Pr="006D49A9" w:rsidRDefault="006D49A9" w:rsidP="001A2DE7">
      <w:pPr>
        <w:spacing w:after="0" w:line="240" w:lineRule="auto"/>
        <w:rPr>
          <w:rFonts w:ascii="Garamond" w:hAnsi="Garamond"/>
          <w:b/>
        </w:rPr>
      </w:pPr>
      <w:r w:rsidRPr="006D49A9">
        <w:rPr>
          <w:rFonts w:ascii="Garamond" w:hAnsi="Garamond" w:hint="eastAsia"/>
          <w:b/>
        </w:rPr>
        <w:lastRenderedPageBreak/>
        <w:t xml:space="preserve">Nonresponse </w:t>
      </w:r>
      <w:r w:rsidRPr="006D49A9">
        <w:rPr>
          <w:rFonts w:ascii="Garamond" w:hAnsi="Garamond"/>
          <w:b/>
        </w:rPr>
        <w:t>Adjustments</w:t>
      </w:r>
    </w:p>
    <w:p w:rsidR="001A2DE7" w:rsidRDefault="006D49A9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Missing completely at random (MCAR)</w:t>
      </w:r>
    </w:p>
    <w:p w:rsidR="006D49A9" w:rsidRDefault="006D49A9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Missing at random (MAR)</w:t>
      </w:r>
    </w:p>
    <w:p w:rsidR="006D49A9" w:rsidRDefault="006D49A9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Nonignorable NR (NINR)</w:t>
      </w:r>
    </w:p>
    <w:p w:rsidR="006D49A9" w:rsidRDefault="006D49A9" w:rsidP="001A2DE7">
      <w:pPr>
        <w:spacing w:after="0" w:line="240" w:lineRule="auto"/>
        <w:rPr>
          <w:rFonts w:ascii="Garamond" w:hAnsi="Garamond"/>
        </w:rPr>
      </w:pPr>
    </w:p>
    <w:p w:rsidR="006D49A9" w:rsidRDefault="006D49A9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>Whether a unit responds or not is treated a random event when response is categorized as one of these</w:t>
      </w:r>
    </w:p>
    <w:p w:rsidR="006D49A9" w:rsidRDefault="006D49A9" w:rsidP="001A2DE7">
      <w:pPr>
        <w:spacing w:after="0" w:line="240" w:lineRule="auto"/>
        <w:rPr>
          <w:rFonts w:ascii="Garamond" w:hAnsi="Garamond" w:hint="eastAsia"/>
        </w:rPr>
      </w:pPr>
      <w:r>
        <w:rPr>
          <w:rFonts w:ascii="Garamond" w:hAnsi="Garamond"/>
        </w:rPr>
        <w:t>Responding could be considered deterministic, i.e. a unit is guaranteed to respond or not</w:t>
      </w:r>
      <w:r>
        <w:rPr>
          <w:rFonts w:ascii="Garamond" w:hAnsi="Garamond" w:hint="eastAsia"/>
        </w:rPr>
        <w:t xml:space="preserve">. </w:t>
      </w:r>
      <w:r>
        <w:rPr>
          <w:rFonts w:ascii="Garamond" w:hAnsi="Garamond"/>
        </w:rPr>
        <w:t>But, random or “stochastic” response is the formulation behind the NR adjustments used.</w:t>
      </w: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F47D73" w:rsidP="001A2DE7">
      <w:pPr>
        <w:spacing w:after="0" w:line="240" w:lineRule="auto"/>
        <w:rPr>
          <w:rFonts w:ascii="Garamond" w:hAnsi="Garamond" w:hint="eastAsia"/>
        </w:rPr>
      </w:pPr>
      <w:r>
        <w:rPr>
          <w:rFonts w:ascii="Garamond" w:hAnsi="Garamond" w:hint="eastAsia"/>
        </w:rPr>
        <w:t>Missing Data Mechanisms-defined</w:t>
      </w:r>
    </w:p>
    <w:p w:rsidR="00F47D73" w:rsidRDefault="00F47D73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MCAR</w:t>
      </w:r>
    </w:p>
    <w:p w:rsidR="00F47D73" w:rsidRDefault="00F47D73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every unit has same probability of responding </w:t>
      </w:r>
      <w:r w:rsidRPr="00F47D73">
        <w:rPr>
          <w:rFonts w:ascii="Garamond" w:hAnsi="Garamond"/>
        </w:rPr>
        <w:sym w:font="Wingdings" w:char="F0E8"/>
      </w:r>
      <w:r>
        <w:rPr>
          <w:rFonts w:ascii="Garamond" w:hAnsi="Garamond"/>
        </w:rPr>
        <w:t xml:space="preserve"> responding is just an extra stage of Bernoulli sampling</w:t>
      </w:r>
    </w:p>
    <w:p w:rsidR="00F47D73" w:rsidRDefault="00F47D73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no weight adjustment needed for means; one overall adjustment needed for totals</w:t>
      </w:r>
    </w:p>
    <w:p w:rsidR="00F47D73" w:rsidRDefault="00F47D73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MAR</w:t>
      </w:r>
    </w:p>
    <w:p w:rsidR="00F47D73" w:rsidRDefault="00F47D73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probability of responding depends on covariates</w:t>
      </w:r>
    </w:p>
    <w:p w:rsidR="00F47D73" w:rsidRDefault="00F47D73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adjustment possible if covariates known for both Rs and NRs</w:t>
      </w:r>
    </w:p>
    <w:p w:rsidR="00376C1F" w:rsidRDefault="00376C1F" w:rsidP="00376C1F">
      <w:pPr>
        <w:spacing w:after="0" w:line="240" w:lineRule="auto"/>
        <w:rPr>
          <w:rFonts w:ascii="Garamond" w:hAnsi="Garamond" w:hint="eastAsia"/>
        </w:rPr>
      </w:pPr>
      <w:r>
        <w:rPr>
          <w:rFonts w:ascii="Garamond" w:hAnsi="Garamond"/>
        </w:rPr>
        <w:t xml:space="preserve"> - e.g. </w:t>
      </w:r>
      <w:r w:rsidRPr="003B0548">
        <w:rPr>
          <w:rFonts w:ascii="Garamond" w:hAnsi="Garamond"/>
        </w:rPr>
        <w:t>Suppose that it is known that response rate in a survey of schools depends on a measure of the socioeconomic level of the neighborhood where the school is located and that this level is known for every school in the frame. This is an example of</w:t>
      </w:r>
      <w:r>
        <w:rPr>
          <w:rFonts w:ascii="Garamond" w:hAnsi="Garamond"/>
        </w:rPr>
        <w:t xml:space="preserve"> MAR</w:t>
      </w:r>
    </w:p>
    <w:p w:rsidR="00376C1F" w:rsidRDefault="00376C1F" w:rsidP="001A2DE7">
      <w:pPr>
        <w:spacing w:after="0" w:line="240" w:lineRule="auto"/>
        <w:rPr>
          <w:rFonts w:ascii="Garamond" w:hAnsi="Garamond"/>
        </w:rPr>
      </w:pPr>
    </w:p>
    <w:p w:rsidR="00F47D73" w:rsidRDefault="00F47D73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NINR</w:t>
      </w:r>
    </w:p>
    <w:p w:rsidR="00F47D73" w:rsidRDefault="00F47D73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probability of responding depends on analytic variables (y’s) and possibly covariates</w:t>
      </w:r>
    </w:p>
    <w:p w:rsidR="00376C1F" w:rsidRDefault="00F47D73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adj</w:t>
      </w:r>
      <w:r w:rsidR="00376C1F">
        <w:rPr>
          <w:rFonts w:ascii="Garamond" w:hAnsi="Garamond"/>
        </w:rPr>
        <w:t>ustment difficult or impossible</w:t>
      </w:r>
    </w:p>
    <w:p w:rsidR="003B0548" w:rsidRDefault="00376C1F" w:rsidP="00376C1F">
      <w:pPr>
        <w:spacing w:after="0" w:line="240" w:lineRule="auto"/>
        <w:ind w:firstLineChars="50" w:firstLine="100"/>
        <w:rPr>
          <w:rFonts w:ascii="Garamond" w:hAnsi="Garamond"/>
        </w:rPr>
      </w:pPr>
      <w:r>
        <w:rPr>
          <w:rFonts w:ascii="Garamond" w:hAnsi="Garamond"/>
        </w:rPr>
        <w:t xml:space="preserve">- </w:t>
      </w:r>
      <w:r w:rsidR="003B0548" w:rsidRPr="003B0548">
        <w:rPr>
          <w:rFonts w:ascii="Garamond" w:hAnsi="Garamond"/>
        </w:rPr>
        <w:t>A survey of schools will be done to assess the extent to which computers are used in teaching mathematics. Suppose that the response rate in the survey depends on both a measure of the socioeconomic level of the neighborhood where the school is located and on whether a school has computers available for students. This is an example of</w:t>
      </w:r>
      <w:r>
        <w:rPr>
          <w:rFonts w:ascii="Garamond" w:hAnsi="Garamond"/>
        </w:rPr>
        <w:t xml:space="preserve"> NINR.</w:t>
      </w:r>
    </w:p>
    <w:p w:rsidR="003B0548" w:rsidRDefault="003B0548" w:rsidP="001A2DE7">
      <w:pPr>
        <w:spacing w:after="0" w:line="240" w:lineRule="auto"/>
        <w:rPr>
          <w:rFonts w:ascii="Garamond" w:hAnsi="Garamond" w:hint="eastAsia"/>
        </w:rPr>
      </w:pPr>
    </w:p>
    <w:p w:rsidR="00E850E6" w:rsidRDefault="00E850E6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>Missing data mechanisms-defined</w:t>
      </w:r>
    </w:p>
    <w:p w:rsidR="00E850E6" w:rsidRPr="00F47D73" w:rsidRDefault="00E850E6" w:rsidP="001A2DE7">
      <w:pPr>
        <w:spacing w:after="0" w:line="240" w:lineRule="auto"/>
        <w:rPr>
          <w:rFonts w:ascii="Garamond" w:hAnsi="Garamond" w:hint="eastAsia"/>
        </w:rPr>
      </w:pPr>
      <w:r>
        <w:rPr>
          <w:noProof/>
        </w:rPr>
        <w:drawing>
          <wp:inline distT="0" distB="0" distL="0" distR="0" wp14:anchorId="25C4911C" wp14:editId="42D99528">
            <wp:extent cx="3371850" cy="147224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584" cy="14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Pr="009D55F3" w:rsidRDefault="009D55F3" w:rsidP="001A2DE7">
      <w:pPr>
        <w:spacing w:after="0" w:line="240" w:lineRule="auto"/>
        <w:rPr>
          <w:rFonts w:ascii="Garamond" w:hAnsi="Garamond"/>
          <w:b/>
        </w:rPr>
      </w:pPr>
      <w:r w:rsidRPr="009D55F3">
        <w:rPr>
          <w:rFonts w:ascii="Garamond" w:hAnsi="Garamond" w:hint="eastAsia"/>
          <w:b/>
        </w:rPr>
        <w:t>Response Propensities</w:t>
      </w:r>
    </w:p>
    <w:p w:rsidR="0048758E" w:rsidRDefault="0048758E" w:rsidP="001A2DE7">
      <w:pPr>
        <w:spacing w:after="0" w:line="240" w:lineRule="auto"/>
        <w:rPr>
          <w:rFonts w:ascii="Garamond" w:hAnsi="Garamond"/>
        </w:rPr>
      </w:pPr>
    </w:p>
    <w:p w:rsidR="0048758E" w:rsidRDefault="0048758E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 w:hint="eastAsia"/>
        </w:rPr>
        <w:t>General Procedure</w:t>
      </w:r>
    </w:p>
    <w:p w:rsidR="001A2DE7" w:rsidRDefault="009D55F3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</w:t>
      </w:r>
      <w:r w:rsidR="0048758E">
        <w:rPr>
          <w:rFonts w:ascii="Garamond" w:hAnsi="Garamond"/>
        </w:rPr>
        <w:t>Estimate response probabilities (propensities) for each R and NR</w:t>
      </w:r>
    </w:p>
    <w:p w:rsidR="0048758E" w:rsidRDefault="0048758E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regress binary response variable on covariates</w:t>
      </w:r>
    </w:p>
    <w:p w:rsidR="0048758E" w:rsidRDefault="0048758E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logistic regression typically used</w:t>
      </w:r>
    </w:p>
    <w:p w:rsidR="0048758E" w:rsidRDefault="0048758E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Form groups (cells) for NR adjustment</w:t>
      </w:r>
    </w:p>
    <w:p w:rsidR="0048758E" w:rsidRDefault="0048758E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Sort Rs and NRs from low to high by estimated propensity</w:t>
      </w:r>
    </w:p>
    <w:p w:rsidR="0048758E" w:rsidRDefault="0048758E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Divide file into groups</w:t>
      </w:r>
    </w:p>
    <w:p w:rsidR="0048758E" w:rsidRDefault="0048758E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- 5 groups is popular but more can be used, especially if sample is large</w:t>
      </w:r>
    </w:p>
    <w:p w:rsidR="001A2DE7" w:rsidRDefault="008B743B" w:rsidP="001A2DE7">
      <w:pPr>
        <w:spacing w:after="0" w:line="240" w:lineRule="auto"/>
        <w:rPr>
          <w:rFonts w:ascii="Garamond" w:hAnsi="Garamond"/>
        </w:rPr>
      </w:pPr>
      <w:r w:rsidRPr="000D308A">
        <w:rPr>
          <w:rFonts w:ascii="Garamond" w:hAnsi="Garamond"/>
        </w:rPr>
        <w:t>•</w:t>
      </w:r>
      <w:r>
        <w:rPr>
          <w:rFonts w:ascii="Garamond" w:hAnsi="Garamond"/>
        </w:rPr>
        <w:t xml:space="preserve"> Use of NR adjustment within each group</w:t>
      </w:r>
    </w:p>
    <w:p w:rsidR="008B743B" w:rsidRDefault="008B743B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A single adjustment smooths out effects of any extreme propensities produced by the binary regression</w:t>
      </w:r>
    </w:p>
    <w:p w:rsidR="008B743B" w:rsidRDefault="008B743B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options within a cell are unweighted RR, weighted RR, average propensity, median propensity</w:t>
      </w:r>
    </w:p>
    <w:p w:rsidR="008B743B" w:rsidRDefault="008B743B" w:rsidP="001A2DE7">
      <w:pPr>
        <w:spacing w:after="0" w:line="240" w:lineRule="auto"/>
        <w:rPr>
          <w:rFonts w:ascii="Garamond" w:hAnsi="Garamond"/>
        </w:rPr>
      </w:pPr>
      <w:r>
        <w:rPr>
          <w:rFonts w:ascii="Garamond" w:hAnsi="Garamond"/>
        </w:rPr>
        <w:t xml:space="preserve"> - options will be similar if range of propensities in a cell is not large</w:t>
      </w:r>
      <w:bookmarkStart w:id="0" w:name="_GoBack"/>
      <w:bookmarkEnd w:id="0"/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1A2DE7" w:rsidRDefault="001A2DE7" w:rsidP="001A2DE7">
      <w:pPr>
        <w:spacing w:after="0" w:line="240" w:lineRule="auto"/>
        <w:rPr>
          <w:rFonts w:ascii="Garamond" w:hAnsi="Garamond"/>
        </w:rPr>
      </w:pPr>
    </w:p>
    <w:p w:rsidR="00AF4981" w:rsidRDefault="00AF4981" w:rsidP="002D6446">
      <w:pPr>
        <w:spacing w:after="0" w:line="240" w:lineRule="auto"/>
        <w:rPr>
          <w:rFonts w:ascii="Garamond" w:hAnsi="Garamond"/>
        </w:rPr>
      </w:pPr>
    </w:p>
    <w:p w:rsidR="00AF4981" w:rsidRPr="000D308A" w:rsidRDefault="00AF4981" w:rsidP="002D6446">
      <w:pPr>
        <w:spacing w:after="0" w:line="240" w:lineRule="auto"/>
        <w:rPr>
          <w:rFonts w:ascii="Garamond" w:hAnsi="Garamond"/>
        </w:rPr>
      </w:pPr>
    </w:p>
    <w:p w:rsidR="002D6446" w:rsidRPr="000D308A" w:rsidRDefault="002D6446" w:rsidP="002D6446">
      <w:pPr>
        <w:spacing w:after="0" w:line="240" w:lineRule="auto"/>
        <w:rPr>
          <w:rFonts w:ascii="Garamond" w:hAnsi="Garamond"/>
        </w:rPr>
      </w:pPr>
    </w:p>
    <w:p w:rsidR="002D6446" w:rsidRPr="000D308A" w:rsidRDefault="002D6446" w:rsidP="002D6446">
      <w:pPr>
        <w:spacing w:after="0" w:line="240" w:lineRule="auto"/>
        <w:rPr>
          <w:rFonts w:ascii="Garamond" w:hAnsi="Garamond"/>
        </w:rPr>
      </w:pPr>
    </w:p>
    <w:p w:rsidR="002D6446" w:rsidRPr="000D308A" w:rsidRDefault="002D6446" w:rsidP="002D6446">
      <w:pPr>
        <w:spacing w:after="0" w:line="240" w:lineRule="auto"/>
        <w:rPr>
          <w:rFonts w:ascii="Garamond" w:hAnsi="Garamond"/>
        </w:rPr>
      </w:pPr>
    </w:p>
    <w:p w:rsidR="002D6446" w:rsidRPr="000D308A" w:rsidRDefault="002D6446" w:rsidP="002D6446">
      <w:pPr>
        <w:spacing w:after="0" w:line="240" w:lineRule="auto"/>
        <w:rPr>
          <w:rFonts w:ascii="Garamond" w:hAnsi="Garamond"/>
        </w:rPr>
      </w:pPr>
    </w:p>
    <w:sectPr w:rsidR="002D6446" w:rsidRPr="000D30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446"/>
    <w:rsid w:val="00046D4F"/>
    <w:rsid w:val="00096198"/>
    <w:rsid w:val="000A38BB"/>
    <w:rsid w:val="000D308A"/>
    <w:rsid w:val="000F672F"/>
    <w:rsid w:val="00176230"/>
    <w:rsid w:val="001A2DE7"/>
    <w:rsid w:val="001B45AD"/>
    <w:rsid w:val="001C1A0A"/>
    <w:rsid w:val="001D40E0"/>
    <w:rsid w:val="00260847"/>
    <w:rsid w:val="00290A63"/>
    <w:rsid w:val="002938BB"/>
    <w:rsid w:val="002D6446"/>
    <w:rsid w:val="00326119"/>
    <w:rsid w:val="00337238"/>
    <w:rsid w:val="003440BC"/>
    <w:rsid w:val="0035012C"/>
    <w:rsid w:val="00351A3E"/>
    <w:rsid w:val="00376C1F"/>
    <w:rsid w:val="003A299A"/>
    <w:rsid w:val="003B0548"/>
    <w:rsid w:val="003C00B8"/>
    <w:rsid w:val="003D10C3"/>
    <w:rsid w:val="0048758E"/>
    <w:rsid w:val="00487D87"/>
    <w:rsid w:val="00494849"/>
    <w:rsid w:val="004B319C"/>
    <w:rsid w:val="004C1E84"/>
    <w:rsid w:val="004F048B"/>
    <w:rsid w:val="004F791E"/>
    <w:rsid w:val="005548F2"/>
    <w:rsid w:val="005639A7"/>
    <w:rsid w:val="00567740"/>
    <w:rsid w:val="005801A5"/>
    <w:rsid w:val="00630FEB"/>
    <w:rsid w:val="006D49A9"/>
    <w:rsid w:val="006F0E5B"/>
    <w:rsid w:val="00704EB2"/>
    <w:rsid w:val="00711102"/>
    <w:rsid w:val="007B0602"/>
    <w:rsid w:val="007F669D"/>
    <w:rsid w:val="00864C9B"/>
    <w:rsid w:val="008B743B"/>
    <w:rsid w:val="00937FCE"/>
    <w:rsid w:val="00977EDA"/>
    <w:rsid w:val="009D55F3"/>
    <w:rsid w:val="009F4C10"/>
    <w:rsid w:val="00A45D3B"/>
    <w:rsid w:val="00A46503"/>
    <w:rsid w:val="00A46D0F"/>
    <w:rsid w:val="00A57928"/>
    <w:rsid w:val="00A745C4"/>
    <w:rsid w:val="00AC3435"/>
    <w:rsid w:val="00AF4981"/>
    <w:rsid w:val="00B52A59"/>
    <w:rsid w:val="00B63546"/>
    <w:rsid w:val="00BC16C6"/>
    <w:rsid w:val="00BF0B71"/>
    <w:rsid w:val="00C955C2"/>
    <w:rsid w:val="00CA02F4"/>
    <w:rsid w:val="00DB44BB"/>
    <w:rsid w:val="00E55BB8"/>
    <w:rsid w:val="00E653D2"/>
    <w:rsid w:val="00E850E6"/>
    <w:rsid w:val="00ED32AC"/>
    <w:rsid w:val="00ED49AB"/>
    <w:rsid w:val="00F11DF3"/>
    <w:rsid w:val="00F47D73"/>
    <w:rsid w:val="00F61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E903F7-A794-4925-8A49-196B1E2C2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83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9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4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16기 김승준</dc:creator>
  <cp:keywords/>
  <dc:description/>
  <cp:lastModifiedBy>16기 김승준</cp:lastModifiedBy>
  <cp:revision>69</cp:revision>
  <dcterms:created xsi:type="dcterms:W3CDTF">2021-03-27T13:40:00Z</dcterms:created>
  <dcterms:modified xsi:type="dcterms:W3CDTF">2021-04-09T19:47:00Z</dcterms:modified>
</cp:coreProperties>
</file>