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hyperlink w:anchor="b.2">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w:t>
      </w:r>
    </w:p>
    <w:p w:rsidP="00000000" w:rsidRPr="00000000" w:rsidR="00000000" w:rsidDel="00000000" w:rsidRDefault="00000000">
      <w:pPr>
        <w:contextualSpacing w:val="0"/>
      </w:pPr>
      <w:r w:rsidRPr="00000000" w:rsidR="00000000" w:rsidDel="00000000">
        <w:rPr>
          <w:color w:val="0000ee"/>
          <w:u w:val="single"/>
          <w:rtl w:val="0"/>
        </w:rPr>
        <w:t xml:space="preserve">Link to other content</w:t>
      </w:r>
    </w:p>
    <w:p w:rsidP="00000000" w:rsidRPr="00000000" w:rsidR="00000000" w:rsidDel="00000000" w:rsidRDefault="00000000">
      <w:pPr>
        <w:contextualSpacing w:val="0"/>
      </w:pPr>
      <w:hyperlink w:anchor="b.3">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Setting autoHeight: false allows to accordion panels to keep their native height.</w:t>
      </w:r>
    </w:p>
    <w:p w:rsidP="00000000" w:rsidRPr="00000000" w:rsidR="00000000" w:rsidDel="00000000" w:rsidRDefault="00000000">
      <w:pPr>
        <w:contextualSpacing w:val="0"/>
      </w:pPr>
      <w:r w:rsidRPr="00000000" w:rsidR="00000000" w:rsidDel="00000000">
        <w:rPr>
          <w:rtl w:val="0"/>
        </w:rPr>
        <w:t xml:space="preserve">In addition, the navigation option is enabled, opening the panel based on the current location, eg. no-auto-height.html#panel2 would open the second panel on page load. It also finds anchors within the content, so #othercontent will open the third section, as it contains a link with that href.</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no-auto-height.docx</dc:title>
</cp:coreProperties>
</file>