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Proin dolor</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Aenean lacinia</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P="00000000" w:rsidRPr="00000000" w:rsidR="00000000" w:rsidDel="00000000" w:rsidRDefault="00000000">
      <w:pPr>
        <w:contextualSpacing w:val="0"/>
      </w:pPr>
      <w:r w:rsidRPr="00000000" w:rsidR="00000000" w:rsidDel="00000000">
        <w:rPr>
          <w:rtl w:val="0"/>
        </w:rPr>
        <w:t xml:space="preserve">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p>
    <w:p w:rsidP="00000000" w:rsidRPr="00000000" w:rsidR="00000000" w:rsidDel="00000000" w:rsidRDefault="00000000">
      <w:pPr>
        <w:contextualSpacing w:val="0"/>
      </w:pPr>
      <w:r w:rsidRPr="00000000" w:rsidR="00000000" w:rsidDel="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 some additional CSS (for positioning) and JS (to put the right classes on elements) the tabs can be placed below their content.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bottom.docx</dc:title>
</cp:coreProperties>
</file>