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Copyright (c) 2012, CodePlex Foundation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rights reserved.</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Redistribution and use in source and binary forms, with or without modification, are permitted provided that the following conditions are met: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Redistributions of source code must retain the above copyright notice, this list of conditions and the following disclaimer.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Redistributions in binary form must reproduce the above copyright notice, this list of conditions and the following disclaimer in the documentation and/or other materials provided with the distribution.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Neither the name of CodePlex Foundation nor the names of its contributors may be used to endorse or promote products derived from this software without specific prior written permission.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DAMAGE.&lt;/textarea&gt;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LICENSE.docx</dc:title>
</cp:coreProperties>
</file>