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EXPENSE REPORT POLICY COMPLIANCE CHECKER</w:t>
      </w:r>
    </w:p>
    <w:p>
      <w:pPr>
        <w:jc w:val="center"/>
      </w:pPr>
      <w:r>
        <w:rPr>
          <w:b/>
          <w:sz w:val="26"/>
        </w:rPr>
        <w:t>Project Documentation</w:t>
      </w:r>
    </w:p>
    <w:p>
      <w:pPr>
        <w:jc w:val="center"/>
      </w:pPr>
      <w:r>
        <w:rPr>
          <w:i/>
        </w:rPr>
        <w:t>An automated approach for validating employee expenses before managerial approval</w:t>
      </w:r>
    </w:p>
    <w:p/>
    <w:p>
      <w:pPr>
        <w:pStyle w:val="Heading1"/>
      </w:pPr>
      <w:r>
        <w:t>1. Project Overview</w:t>
      </w:r>
    </w:p>
    <w:p>
      <w:r>
        <w:t>The Expense Report Policy Compliance Checker is a software-based system designed to review employee expense reports against predefined company reimbursement policies. The purpose is to identify potentially invalid, incomplete, duplicated, or policy-violating expense items before they reach a manager for final approval. The system acts as a first-level compliance check and does not replace human approval.</w:t>
      </w:r>
    </w:p>
    <w:p>
      <w:pPr>
        <w:pStyle w:val="Heading1"/>
      </w:pPr>
      <w:r>
        <w:t>2. Problem Statement</w:t>
      </w:r>
    </w:p>
    <w:p>
      <w:r>
        <w:t>In many organizations, employees submit expenses for travel, accommodation, meals, local transportation, office purchases, and other business activities. Manual verification can take significant time, especially when reports contain many line items. Different reimbursement limits, missing receipts, duplicate claims, incorrect categories, and expenses outside permitted dates can also create delays and inconsistent reviews.</w:t>
      </w:r>
    </w:p>
    <w:p>
      <w:r>
        <w:t>The proposed system addresses this problem by automatically extracting expense information and checking it against configurable reimbursement rules. Exceptions are clearly flagged so that employees or managers can review them before payment processing.</w:t>
      </w:r>
    </w:p>
    <w:p>
      <w:pPr>
        <w:pStyle w:val="Heading1"/>
      </w:pPr>
      <w:r>
        <w:t>3. Aim</w:t>
      </w:r>
    </w:p>
    <w:p>
      <w:r>
        <w:t>To develop a realistic and automated expense compliance system that checks employee expense reports against company reimbursement policies, highlights exceptions with understandable reasons, and routes the reviewed report for appropriate approval.</w:t>
      </w:r>
    </w:p>
    <w:p>
      <w:pPr>
        <w:pStyle w:val="Heading1"/>
      </w:pPr>
      <w:r>
        <w:t>4. Goals and Objectives</w:t>
      </w:r>
    </w:p>
    <w:p>
      <w:pPr>
        <w:pStyle w:val="ListBullet"/>
      </w:pPr>
      <w:r>
        <w:t>Automatically capture important fields such as employee name, expense date, category, amount, currency, and receipt reference.</w:t>
      </w:r>
    </w:p>
    <w:p>
      <w:pPr>
        <w:pStyle w:val="ListBullet"/>
      </w:pPr>
      <w:r>
        <w:t>Compare every expense line item with applicable company reimbursement rules.</w:t>
      </w:r>
    </w:p>
    <w:p>
      <w:pPr>
        <w:pStyle w:val="ListBullet"/>
      </w:pPr>
      <w:r>
        <w:t>Identify expenses that exceed permitted limits or violate category-specific policies.</w:t>
      </w:r>
    </w:p>
    <w:p>
      <w:pPr>
        <w:pStyle w:val="ListBullet"/>
      </w:pPr>
      <w:r>
        <w:t>Detect missing receipts and incomplete mandatory information.</w:t>
      </w:r>
    </w:p>
    <w:p>
      <w:pPr>
        <w:pStyle w:val="ListBullet"/>
      </w:pPr>
      <w:r>
        <w:t>Identify possible duplicate expense submissions using transaction details.</w:t>
      </w:r>
    </w:p>
    <w:p>
      <w:pPr>
        <w:pStyle w:val="ListBullet"/>
      </w:pPr>
      <w:r>
        <w:t>Provide a clear compliance status and explanation for each flagged item.</w:t>
      </w:r>
    </w:p>
    <w:p>
      <w:pPr>
        <w:pStyle w:val="ListBullet"/>
      </w:pPr>
      <w:r>
        <w:t>Reduce repetitive manual checking while keeping a human approval step for exceptions.</w:t>
      </w:r>
    </w:p>
    <w:p>
      <w:pPr>
        <w:pStyle w:val="ListBullet"/>
      </w:pPr>
      <w:r>
        <w:t>Maintain an auditable record of the checks and decisions made during the process.</w:t>
      </w:r>
    </w:p>
    <w:p>
      <w:pPr>
        <w:pStyle w:val="Heading1"/>
      </w:pPr>
      <w:r>
        <w:t>5. Project Scope</w:t>
      </w:r>
    </w:p>
    <w:p>
      <w:r>
        <w:t>Included in the initial scope:</w:t>
      </w:r>
    </w:p>
    <w:p>
      <w:pPr>
        <w:pStyle w:val="ListBullet"/>
      </w:pPr>
      <w:r>
        <w:t>Expense report submission and basic data extraction.</w:t>
      </w:r>
    </w:p>
    <w:p>
      <w:pPr>
        <w:pStyle w:val="ListBullet"/>
      </w:pPr>
      <w:r>
        <w:t>Rule-based validation of expense categories and reimbursement limits.</w:t>
      </w:r>
    </w:p>
    <w:p>
      <w:pPr>
        <w:pStyle w:val="ListBullet"/>
      </w:pPr>
      <w:r>
        <w:t>Receipt presence and basic information checks.</w:t>
      </w:r>
    </w:p>
    <w:p>
      <w:pPr>
        <w:pStyle w:val="ListBullet"/>
      </w:pPr>
      <w:r>
        <w:t>Duplicate and suspicious-entry checks using available report data.</w:t>
      </w:r>
    </w:p>
    <w:p>
      <w:pPr>
        <w:pStyle w:val="ListBullet"/>
      </w:pPr>
      <w:r>
        <w:t>Exception/violation reporting.</w:t>
      </w:r>
    </w:p>
    <w:p>
      <w:pPr>
        <w:pStyle w:val="ListBullet"/>
      </w:pPr>
      <w:r>
        <w:t>Routing of reviewed reports to a manager or designated approver.</w:t>
      </w:r>
    </w:p>
    <w:p>
      <w:r>
        <w:t>Possible future scope:</w:t>
      </w:r>
    </w:p>
    <w:p>
      <w:pPr>
        <w:pStyle w:val="ListBullet"/>
      </w:pPr>
      <w:r>
        <w:t>Integration with enterprise HR, payroll, accounting, and ERP systems.</w:t>
      </w:r>
    </w:p>
    <w:p>
      <w:pPr>
        <w:pStyle w:val="ListBullet"/>
      </w:pPr>
      <w:r>
        <w:t>OCR-based extraction from scanned receipts.</w:t>
      </w:r>
    </w:p>
    <w:p>
      <w:pPr>
        <w:pStyle w:val="ListBullet"/>
      </w:pPr>
      <w:r>
        <w:t>Multi-country tax and currency handling.</w:t>
      </w:r>
    </w:p>
    <w:p>
      <w:pPr>
        <w:pStyle w:val="ListBullet"/>
      </w:pPr>
      <w:r>
        <w:t>Advanced anomaly detection using machine learning.</w:t>
      </w:r>
    </w:p>
    <w:p>
      <w:pPr>
        <w:pStyle w:val="ListBullet"/>
      </w:pPr>
      <w:r>
        <w:t>Mobile application support and real-time notifications.</w:t>
      </w:r>
    </w:p>
    <w:p>
      <w:pPr>
        <w:pStyle w:val="Heading1"/>
      </w:pPr>
      <w:r>
        <w:t>6. System Architecture / Structure</w:t>
      </w:r>
    </w:p>
    <w:p>
      <w:r>
        <w:t>The system can be organized as a modular workflow so that policy rules can be updated without redesigning the complete application.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Module</w:t>
            </w:r>
          </w:p>
        </w:tc>
        <w:tc>
          <w:tcPr>
            <w:tcW w:type="dxa" w:w="3312"/>
          </w:tcPr>
          <w:p>
            <w:r>
              <w:t>Main Function</w:t>
            </w:r>
          </w:p>
        </w:tc>
        <w:tc>
          <w:tcPr>
            <w:tcW w:type="dxa" w:w="3312"/>
          </w:tcPr>
          <w:p>
            <w:r>
              <w:t>Output</w:t>
            </w:r>
          </w:p>
        </w:tc>
      </w:tr>
      <w:tr>
        <w:tc>
          <w:tcPr>
            <w:tcW w:type="dxa" w:w="3312"/>
            <w:vAlign w:val="center"/>
          </w:tcPr>
          <w:p>
            <w:r>
              <w:t>1. Submission</w:t>
            </w:r>
          </w:p>
        </w:tc>
        <w:tc>
          <w:tcPr>
            <w:tcW w:type="dxa" w:w="3312"/>
            <w:vAlign w:val="center"/>
          </w:tcPr>
          <w:p>
            <w:r>
              <w:t>Receives expense report and receipt details</w:t>
            </w:r>
          </w:p>
        </w:tc>
        <w:tc>
          <w:tcPr>
            <w:tcW w:type="dxa" w:w="3312"/>
            <w:vAlign w:val="center"/>
          </w:tcPr>
          <w:p>
            <w:r>
              <w:t>Submitted report</w:t>
            </w:r>
          </w:p>
        </w:tc>
      </w:tr>
      <w:tr>
        <w:tc>
          <w:tcPr>
            <w:tcW w:type="dxa" w:w="3312"/>
            <w:vAlign w:val="center"/>
          </w:tcPr>
          <w:p>
            <w:r>
              <w:t>2. Data Extraction</w:t>
            </w:r>
          </w:p>
        </w:tc>
        <w:tc>
          <w:tcPr>
            <w:tcW w:type="dxa" w:w="3312"/>
            <w:vAlign w:val="center"/>
          </w:tcPr>
          <w:p>
            <w:r>
              <w:t>Reads employee, date, category, amount and receipt information</w:t>
            </w:r>
          </w:p>
        </w:tc>
        <w:tc>
          <w:tcPr>
            <w:tcW w:type="dxa" w:w="3312"/>
            <w:vAlign w:val="center"/>
          </w:tcPr>
          <w:p>
            <w:r>
              <w:t>Structured expense data</w:t>
            </w:r>
          </w:p>
        </w:tc>
      </w:tr>
      <w:tr>
        <w:tc>
          <w:tcPr>
            <w:tcW w:type="dxa" w:w="3312"/>
            <w:vAlign w:val="center"/>
          </w:tcPr>
          <w:p>
            <w:r>
              <w:t>3. Policy Engine</w:t>
            </w:r>
          </w:p>
        </w:tc>
        <w:tc>
          <w:tcPr>
            <w:tcW w:type="dxa" w:w="3312"/>
            <w:vAlign w:val="center"/>
          </w:tcPr>
          <w:p>
            <w:r>
              <w:t>Loads applicable reimbursement rules</w:t>
            </w:r>
          </w:p>
        </w:tc>
        <w:tc>
          <w:tcPr>
            <w:tcW w:type="dxa" w:w="3312"/>
            <w:vAlign w:val="center"/>
          </w:tcPr>
          <w:p>
            <w:r>
              <w:t>Rules for validation</w:t>
            </w:r>
          </w:p>
        </w:tc>
      </w:tr>
      <w:tr>
        <w:tc>
          <w:tcPr>
            <w:tcW w:type="dxa" w:w="3312"/>
            <w:vAlign w:val="center"/>
          </w:tcPr>
          <w:p>
            <w:r>
              <w:t>4. Compliance Checker</w:t>
            </w:r>
          </w:p>
        </w:tc>
        <w:tc>
          <w:tcPr>
            <w:tcW w:type="dxa" w:w="3312"/>
            <w:vAlign w:val="center"/>
          </w:tcPr>
          <w:p>
            <w:r>
              <w:t>Compares each expense with policy rules</w:t>
            </w:r>
          </w:p>
        </w:tc>
        <w:tc>
          <w:tcPr>
            <w:tcW w:type="dxa" w:w="3312"/>
            <w:vAlign w:val="center"/>
          </w:tcPr>
          <w:p>
            <w:r>
              <w:t>Pass / Flag status</w:t>
            </w:r>
          </w:p>
        </w:tc>
      </w:tr>
      <w:tr>
        <w:tc>
          <w:tcPr>
            <w:tcW w:type="dxa" w:w="3312"/>
            <w:vAlign w:val="center"/>
          </w:tcPr>
          <w:p>
            <w:r>
              <w:t>5. Exception Manager</w:t>
            </w:r>
          </w:p>
        </w:tc>
        <w:tc>
          <w:tcPr>
            <w:tcW w:type="dxa" w:w="3312"/>
            <w:vAlign w:val="center"/>
          </w:tcPr>
          <w:p>
            <w:r>
              <w:t>Explains and groups violations</w:t>
            </w:r>
          </w:p>
        </w:tc>
        <w:tc>
          <w:tcPr>
            <w:tcW w:type="dxa" w:w="3312"/>
            <w:vAlign w:val="center"/>
          </w:tcPr>
          <w:p>
            <w:r>
              <w:t>Exception report</w:t>
            </w:r>
          </w:p>
        </w:tc>
      </w:tr>
      <w:tr>
        <w:tc>
          <w:tcPr>
            <w:tcW w:type="dxa" w:w="3312"/>
            <w:vAlign w:val="center"/>
          </w:tcPr>
          <w:p>
            <w:r>
              <w:t>6. Approval Workflow</w:t>
            </w:r>
          </w:p>
        </w:tc>
        <w:tc>
          <w:tcPr>
            <w:tcW w:type="dxa" w:w="3312"/>
            <w:vAlign w:val="center"/>
          </w:tcPr>
          <w:p>
            <w:r>
              <w:t>Routes compliant and flagged reports</w:t>
            </w:r>
          </w:p>
        </w:tc>
        <w:tc>
          <w:tcPr>
            <w:tcW w:type="dxa" w:w="3312"/>
            <w:vAlign w:val="center"/>
          </w:tcPr>
          <w:p>
            <w:r>
              <w:t>Manager review / decision</w:t>
            </w:r>
          </w:p>
        </w:tc>
      </w:tr>
      <w:tr>
        <w:tc>
          <w:tcPr>
            <w:tcW w:type="dxa" w:w="3312"/>
            <w:vAlign w:val="center"/>
          </w:tcPr>
          <w:p>
            <w:r>
              <w:t>7. Audit Log</w:t>
            </w:r>
          </w:p>
        </w:tc>
        <w:tc>
          <w:tcPr>
            <w:tcW w:type="dxa" w:w="3312"/>
            <w:vAlign w:val="center"/>
          </w:tcPr>
          <w:p>
            <w:r>
              <w:t>Stores validation and decision history</w:t>
            </w:r>
          </w:p>
        </w:tc>
        <w:tc>
          <w:tcPr>
            <w:tcW w:type="dxa" w:w="3312"/>
            <w:vAlign w:val="center"/>
          </w:tcPr>
          <w:p>
            <w:r>
              <w:t>Traceable record</w:t>
            </w:r>
          </w:p>
        </w:tc>
      </w:tr>
    </w:tbl>
    <w:p>
      <w:pPr>
        <w:pStyle w:val="Heading1"/>
      </w:pPr>
      <w:r>
        <w:t>7. Implementation Process</w:t>
      </w:r>
    </w:p>
    <w:p>
      <w:r>
        <w:rPr>
          <w:b/>
        </w:rPr>
        <w:t xml:space="preserve">Step 1 – Requirement Analysis: </w:t>
      </w:r>
      <w:r>
        <w:t>Identify expense categories, reimbursement limits, receipt requirements, approval levels, and exception-handling rules.</w:t>
      </w:r>
    </w:p>
    <w:p>
      <w:r>
        <w:rPr>
          <w:b/>
        </w:rPr>
        <w:t xml:space="preserve">Step 2 – Policy Configuration: </w:t>
      </w:r>
      <w:r>
        <w:t>Convert company reimbursement policies into structured rules such as maximum amounts, eligible categories, and required documents.</w:t>
      </w:r>
    </w:p>
    <w:p>
      <w:r>
        <w:rPr>
          <w:b/>
        </w:rPr>
        <w:t xml:space="preserve">Step 3 – Expense Data Capture: </w:t>
      </w:r>
      <w:r>
        <w:t>Collect data from an online form, uploaded spreadsheet, accounting system, or receipt-processing component.</w:t>
      </w:r>
    </w:p>
    <w:p>
      <w:r>
        <w:rPr>
          <w:b/>
        </w:rPr>
        <w:t xml:space="preserve">Step 4 – Data Validation: </w:t>
      </w:r>
      <w:r>
        <w:t>Check whether mandatory fields are present and whether amounts, dates, and categories have valid formats.</w:t>
      </w:r>
    </w:p>
    <w:p>
      <w:r>
        <w:rPr>
          <w:b/>
        </w:rPr>
        <w:t xml:space="preserve">Step 5 – Compliance Checking: </w:t>
      </w:r>
      <w:r>
        <w:t>Run each line item through the relevant policy rules and generate a compliance result.</w:t>
      </w:r>
    </w:p>
    <w:p>
      <w:r>
        <w:rPr>
          <w:b/>
        </w:rPr>
        <w:t xml:space="preserve">Step 6 – Exception Handling: </w:t>
      </w:r>
      <w:r>
        <w:t>Flag violations and provide a specific explanation, such as 'Hotel limit exceeded' or 'Receipt missing'.</w:t>
      </w:r>
    </w:p>
    <w:p>
      <w:r>
        <w:rPr>
          <w:b/>
        </w:rPr>
        <w:t xml:space="preserve">Step 7 – Approval Routing: </w:t>
      </w:r>
      <w:r>
        <w:t>Send the report to the appropriate manager. High-risk or unusual cases can require additional review.</w:t>
      </w:r>
    </w:p>
    <w:p>
      <w:r>
        <w:rPr>
          <w:b/>
        </w:rPr>
        <w:t xml:space="preserve">Step 8 – Audit and Reporting: </w:t>
      </w:r>
      <w:r>
        <w:t>Store results and produce summary reports for finance and compliance teams.</w:t>
      </w:r>
    </w:p>
    <w:p>
      <w:pPr>
        <w:pStyle w:val="Heading1"/>
      </w:pPr>
      <w:r>
        <w:t>8. Example Policy Rules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Expense Type</w:t>
            </w:r>
          </w:p>
        </w:tc>
        <w:tc>
          <w:tcPr>
            <w:tcW w:type="dxa" w:w="2484"/>
          </w:tcPr>
          <w:p>
            <w:r>
              <w:t>Example Policy</w:t>
            </w:r>
          </w:p>
        </w:tc>
        <w:tc>
          <w:tcPr>
            <w:tcW w:type="dxa" w:w="2484"/>
          </w:tcPr>
          <w:p>
            <w:r>
              <w:t>System Check</w:t>
            </w:r>
          </w:p>
        </w:tc>
        <w:tc>
          <w:tcPr>
            <w:tcW w:type="dxa" w:w="2484"/>
          </w:tcPr>
          <w:p>
            <w:r>
              <w:t>Possible Result</w:t>
            </w:r>
          </w:p>
        </w:tc>
      </w:tr>
      <w:tr>
        <w:tc>
          <w:tcPr>
            <w:tcW w:type="dxa" w:w="2484"/>
          </w:tcPr>
          <w:p>
            <w:r>
              <w:t>Hotel</w:t>
            </w:r>
          </w:p>
        </w:tc>
        <w:tc>
          <w:tcPr>
            <w:tcW w:type="dxa" w:w="2484"/>
          </w:tcPr>
          <w:p>
            <w:r>
              <w:t>Maximum ₹2,000 per night unless an exception is approved</w:t>
            </w:r>
          </w:p>
        </w:tc>
        <w:tc>
          <w:tcPr>
            <w:tcW w:type="dxa" w:w="2484"/>
          </w:tcPr>
          <w:p>
            <w:r>
              <w:t>Compare claimed amount with allowed limit</w:t>
            </w:r>
          </w:p>
        </w:tc>
        <w:tc>
          <w:tcPr>
            <w:tcW w:type="dxa" w:w="2484"/>
          </w:tcPr>
          <w:p>
            <w:r>
              <w:t>Compliant / Limit exceeded</w:t>
            </w:r>
          </w:p>
        </w:tc>
      </w:tr>
      <w:tr>
        <w:tc>
          <w:tcPr>
            <w:tcW w:type="dxa" w:w="2484"/>
          </w:tcPr>
          <w:p>
            <w:r>
              <w:t>Meals</w:t>
            </w:r>
          </w:p>
        </w:tc>
        <w:tc>
          <w:tcPr>
            <w:tcW w:type="dxa" w:w="2484"/>
          </w:tcPr>
          <w:p>
            <w:r>
              <w:t>Maximum ₹800 per business meal</w:t>
            </w:r>
          </w:p>
        </w:tc>
        <w:tc>
          <w:tcPr>
            <w:tcW w:type="dxa" w:w="2484"/>
          </w:tcPr>
          <w:p>
            <w:r>
              <w:t>Check meal amount and category</w:t>
            </w:r>
          </w:p>
        </w:tc>
        <w:tc>
          <w:tcPr>
            <w:tcW w:type="dxa" w:w="2484"/>
          </w:tcPr>
          <w:p>
            <w:r>
              <w:t>Compliant / Over limit</w:t>
            </w:r>
          </w:p>
        </w:tc>
      </w:tr>
      <w:tr>
        <w:tc>
          <w:tcPr>
            <w:tcW w:type="dxa" w:w="2484"/>
          </w:tcPr>
          <w:p>
            <w:r>
              <w:t>Local Travel</w:t>
            </w:r>
          </w:p>
        </w:tc>
        <w:tc>
          <w:tcPr>
            <w:tcW w:type="dxa" w:w="2484"/>
          </w:tcPr>
          <w:p>
            <w:r>
              <w:t>Reimbursement only for eligible business travel</w:t>
            </w:r>
          </w:p>
        </w:tc>
        <w:tc>
          <w:tcPr>
            <w:tcW w:type="dxa" w:w="2484"/>
          </w:tcPr>
          <w:p>
            <w:r>
              <w:t>Check date, category and purpose</w:t>
            </w:r>
          </w:p>
        </w:tc>
        <w:tc>
          <w:tcPr>
            <w:tcW w:type="dxa" w:w="2484"/>
          </w:tcPr>
          <w:p>
            <w:r>
              <w:t>Compliant / Review required</w:t>
            </w:r>
          </w:p>
        </w:tc>
      </w:tr>
      <w:tr>
        <w:tc>
          <w:tcPr>
            <w:tcW w:type="dxa" w:w="2484"/>
          </w:tcPr>
          <w:p>
            <w:r>
              <w:t>Receipt</w:t>
            </w:r>
          </w:p>
        </w:tc>
        <w:tc>
          <w:tcPr>
            <w:tcW w:type="dxa" w:w="2484"/>
          </w:tcPr>
          <w:p>
            <w:r>
              <w:t>Receipt required above a specified threshold</w:t>
            </w:r>
          </w:p>
        </w:tc>
        <w:tc>
          <w:tcPr>
            <w:tcW w:type="dxa" w:w="2484"/>
          </w:tcPr>
          <w:p>
            <w:r>
              <w:t>Check receipt reference or attachment</w:t>
            </w:r>
          </w:p>
        </w:tc>
        <w:tc>
          <w:tcPr>
            <w:tcW w:type="dxa" w:w="2484"/>
          </w:tcPr>
          <w:p>
            <w:r>
              <w:t>Valid / Receipt missing</w:t>
            </w:r>
          </w:p>
        </w:tc>
      </w:tr>
      <w:tr>
        <w:tc>
          <w:tcPr>
            <w:tcW w:type="dxa" w:w="2484"/>
          </w:tcPr>
          <w:p>
            <w:r>
              <w:t>Duplicate</w:t>
            </w:r>
          </w:p>
        </w:tc>
        <w:tc>
          <w:tcPr>
            <w:tcW w:type="dxa" w:w="2484"/>
          </w:tcPr>
          <w:p>
            <w:r>
              <w:t>Same transaction should not be claimed twice</w:t>
            </w:r>
          </w:p>
        </w:tc>
        <w:tc>
          <w:tcPr>
            <w:tcW w:type="dxa" w:w="2484"/>
          </w:tcPr>
          <w:p>
            <w:r>
              <w:t>Compare date, amount, merchant and reference</w:t>
            </w:r>
          </w:p>
        </w:tc>
        <w:tc>
          <w:tcPr>
            <w:tcW w:type="dxa" w:w="2484"/>
          </w:tcPr>
          <w:p>
            <w:r>
              <w:t>Unique / Possible duplicate</w:t>
            </w:r>
          </w:p>
        </w:tc>
      </w:tr>
    </w:tbl>
    <w:p>
      <w:pPr>
        <w:pStyle w:val="Heading1"/>
      </w:pPr>
      <w:r>
        <w:t>9. Real-Time Application</w:t>
      </w:r>
    </w:p>
    <w:p>
      <w:r>
        <w:t>In a real-world company environment, the checker can operate immediately after an employee submits an expense report. For example, an employee submits a hotel claim of ₹2,500 when the configured company limit is ₹2,000 per night. The system reads the claim, identifies the hotel category, compares the amount with the policy, and immediately flags the item as an exception. The employee or manager can then review the reason before reimbursement is processed.</w:t>
      </w:r>
    </w:p>
    <w:p>
      <w:r>
        <w:t>Other practical applications include:</w:t>
      </w:r>
    </w:p>
    <w:p>
      <w:pPr>
        <w:pStyle w:val="ListBullet"/>
      </w:pPr>
      <w:r>
        <w:t>Corporate travel and hotel reimbursement.</w:t>
      </w:r>
    </w:p>
    <w:p>
      <w:pPr>
        <w:pStyle w:val="ListBullet"/>
      </w:pPr>
      <w:r>
        <w:t>Business meal and client-meeting expenses.</w:t>
      </w:r>
    </w:p>
    <w:p>
      <w:pPr>
        <w:pStyle w:val="ListBullet"/>
      </w:pPr>
      <w:r>
        <w:t>Employee transportation and mileage claims.</w:t>
      </w:r>
    </w:p>
    <w:p>
      <w:pPr>
        <w:pStyle w:val="ListBullet"/>
      </w:pPr>
      <w:r>
        <w:t>Office purchase and small-equipment reimbursement.</w:t>
      </w:r>
    </w:p>
    <w:p>
      <w:pPr>
        <w:pStyle w:val="ListBullet"/>
      </w:pPr>
      <w:r>
        <w:t>Project-related employee expenses.</w:t>
      </w:r>
    </w:p>
    <w:p>
      <w:pPr>
        <w:pStyle w:val="ListBullet"/>
      </w:pPr>
      <w:r>
        <w:t>Finance-team pre-audit and compliance review.</w:t>
      </w:r>
    </w:p>
    <w:p>
      <w:pPr>
        <w:pStyle w:val="Heading1"/>
      </w:pPr>
      <w:r>
        <w:t>10. Sample Real-Time Workflow</w:t>
      </w:r>
    </w:p>
    <w:p>
      <w:r>
        <w:t>Employee submits report → System extracts expense details → Policy rules are selected → Each line item is validated → Exceptions are flagged → Report summary is generated → Manager reviews exceptions → Approved items proceed to reimbursement.</w:t>
      </w:r>
    </w:p>
    <w:p>
      <w:pPr>
        <w:pStyle w:val="Heading1"/>
      </w:pPr>
      <w:r>
        <w:t>11. Technology Structure</w:t>
      </w:r>
    </w:p>
    <w:tbl>
      <w:tblPr>
        <w:tblStyle w:val="TableGrid"/>
        <w:tblW w:type="auto" w:w="0"/>
        <w:tblLook w:firstColumn="1" w:firstRow="1" w:lastColumn="0" w:lastRow="0" w:noHBand="0" w:noVBand="1" w:val="04A0"/>
      </w:tblPr>
      <w:tblGrid>
        <w:gridCol w:w="4968"/>
        <w:gridCol w:w="4968"/>
      </w:tblGrid>
      <w:tr>
        <w:tc>
          <w:tcPr>
            <w:tcW w:type="dxa" w:w="4968"/>
          </w:tcPr>
          <w:p>
            <w:r>
              <w:t>Layer</w:t>
            </w:r>
          </w:p>
        </w:tc>
        <w:tc>
          <w:tcPr>
            <w:tcW w:type="dxa" w:w="4968"/>
          </w:tcPr>
          <w:p>
            <w:r>
              <w:t>Possible Technology / Approach</w:t>
            </w:r>
          </w:p>
        </w:tc>
      </w:tr>
      <w:tr>
        <w:tc>
          <w:tcPr>
            <w:tcW w:type="dxa" w:w="4968"/>
          </w:tcPr>
          <w:p>
            <w:r>
              <w:t>User Interface</w:t>
            </w:r>
          </w:p>
        </w:tc>
        <w:tc>
          <w:tcPr>
            <w:tcW w:type="dxa" w:w="4968"/>
          </w:tcPr>
          <w:p>
            <w:r>
              <w:t>Web application or internal employee portal</w:t>
            </w:r>
          </w:p>
        </w:tc>
      </w:tr>
      <w:tr>
        <w:tc>
          <w:tcPr>
            <w:tcW w:type="dxa" w:w="4968"/>
          </w:tcPr>
          <w:p>
            <w:r>
              <w:t>Backend</w:t>
            </w:r>
          </w:p>
        </w:tc>
        <w:tc>
          <w:tcPr>
            <w:tcW w:type="dxa" w:w="4968"/>
          </w:tcPr>
          <w:p>
            <w:r>
              <w:t>Python/Java/Node.js based service</w:t>
            </w:r>
          </w:p>
        </w:tc>
      </w:tr>
      <w:tr>
        <w:tc>
          <w:tcPr>
            <w:tcW w:type="dxa" w:w="4968"/>
          </w:tcPr>
          <w:p>
            <w:r>
              <w:t>Database</w:t>
            </w:r>
          </w:p>
        </w:tc>
        <w:tc>
          <w:tcPr>
            <w:tcW w:type="dxa" w:w="4968"/>
          </w:tcPr>
          <w:p>
            <w:r>
              <w:t>MySQL, PostgreSQL, or another enterprise database</w:t>
            </w:r>
          </w:p>
        </w:tc>
      </w:tr>
      <w:tr>
        <w:tc>
          <w:tcPr>
            <w:tcW w:type="dxa" w:w="4968"/>
          </w:tcPr>
          <w:p>
            <w:r>
              <w:t>Document Processing</w:t>
            </w:r>
          </w:p>
        </w:tc>
        <w:tc>
          <w:tcPr>
            <w:tcW w:type="dxa" w:w="4968"/>
          </w:tcPr>
          <w:p>
            <w:r>
              <w:t>OCR/API service for receipt extraction, if required</w:t>
            </w:r>
          </w:p>
        </w:tc>
      </w:tr>
      <w:tr>
        <w:tc>
          <w:tcPr>
            <w:tcW w:type="dxa" w:w="4968"/>
          </w:tcPr>
          <w:p>
            <w:r>
              <w:t>Policy Engine</w:t>
            </w:r>
          </w:p>
        </w:tc>
        <w:tc>
          <w:tcPr>
            <w:tcW w:type="dxa" w:w="4968"/>
          </w:tcPr>
          <w:p>
            <w:r>
              <w:t>Configurable rule-based validation module</w:t>
            </w:r>
          </w:p>
        </w:tc>
      </w:tr>
      <w:tr>
        <w:tc>
          <w:tcPr>
            <w:tcW w:type="dxa" w:w="4968"/>
          </w:tcPr>
          <w:p>
            <w:r>
              <w:t>Authentication</w:t>
            </w:r>
          </w:p>
        </w:tc>
        <w:tc>
          <w:tcPr>
            <w:tcW w:type="dxa" w:w="4968"/>
          </w:tcPr>
          <w:p>
            <w:r>
              <w:t>Company login / role-based access</w:t>
            </w:r>
          </w:p>
        </w:tc>
      </w:tr>
      <w:tr>
        <w:tc>
          <w:tcPr>
            <w:tcW w:type="dxa" w:w="4968"/>
          </w:tcPr>
          <w:p>
            <w:r>
              <w:t>Notifications</w:t>
            </w:r>
          </w:p>
        </w:tc>
        <w:tc>
          <w:tcPr>
            <w:tcW w:type="dxa" w:w="4968"/>
          </w:tcPr>
          <w:p>
            <w:r>
              <w:t>Email or internal workflow notifications</w:t>
            </w:r>
          </w:p>
        </w:tc>
      </w:tr>
      <w:tr>
        <w:tc>
          <w:tcPr>
            <w:tcW w:type="dxa" w:w="4968"/>
          </w:tcPr>
          <w:p>
            <w:r>
              <w:t>Reporting</w:t>
            </w:r>
          </w:p>
        </w:tc>
        <w:tc>
          <w:tcPr>
            <w:tcW w:type="dxa" w:w="4968"/>
          </w:tcPr>
          <w:p>
            <w:r>
              <w:t>Dashboard and downloadable compliance reports</w:t>
            </w:r>
          </w:p>
        </w:tc>
      </w:tr>
    </w:tbl>
    <w:p>
      <w:pPr>
        <w:pStyle w:val="Heading1"/>
      </w:pPr>
      <w:r>
        <w:t>12. Sample Output</w:t>
      </w:r>
    </w:p>
    <w:p>
      <w:r>
        <w:t>A practical compliance report could contain the following fields:</w:t>
      </w:r>
    </w:p>
    <w:p>
      <w:pPr>
        <w:pStyle w:val="ListBullet"/>
      </w:pPr>
      <w:r>
        <w:t>Employee / Report ID</w:t>
      </w:r>
    </w:p>
    <w:p>
      <w:pPr>
        <w:pStyle w:val="ListBullet"/>
      </w:pPr>
      <w:r>
        <w:t>Expense date</w:t>
      </w:r>
    </w:p>
    <w:p>
      <w:pPr>
        <w:pStyle w:val="ListBullet"/>
      </w:pPr>
      <w:r>
        <w:t>Merchant or description</w:t>
      </w:r>
    </w:p>
    <w:p>
      <w:pPr>
        <w:pStyle w:val="ListBullet"/>
      </w:pPr>
      <w:r>
        <w:t>Expense category</w:t>
      </w:r>
    </w:p>
    <w:p>
      <w:pPr>
        <w:pStyle w:val="ListBullet"/>
      </w:pPr>
      <w:r>
        <w:t>Claimed amount</w:t>
      </w:r>
    </w:p>
    <w:p>
      <w:pPr>
        <w:pStyle w:val="ListBullet"/>
      </w:pPr>
      <w:r>
        <w:t>Allowed amount</w:t>
      </w:r>
    </w:p>
    <w:p>
      <w:pPr>
        <w:pStyle w:val="ListBullet"/>
      </w:pPr>
      <w:r>
        <w:t>Compliance status</w:t>
      </w:r>
    </w:p>
    <w:p>
      <w:pPr>
        <w:pStyle w:val="ListBullet"/>
      </w:pPr>
      <w:r>
        <w:t>Reason for exception</w:t>
      </w:r>
    </w:p>
    <w:p>
      <w:pPr>
        <w:pStyle w:val="ListBullet"/>
      </w:pPr>
      <w:r>
        <w:t>Receipt status</w:t>
      </w:r>
    </w:p>
    <w:p>
      <w:pPr>
        <w:pStyle w:val="ListBullet"/>
      </w:pPr>
      <w:r>
        <w:t>Manager action</w:t>
      </w:r>
    </w:p>
    <w:p>
      <w:pPr>
        <w:pStyle w:val="Heading1"/>
      </w:pPr>
      <w:r>
        <w:t>13. Benefits</w:t>
      </w:r>
    </w:p>
    <w:p>
      <w:pPr>
        <w:pStyle w:val="ListBullet"/>
      </w:pPr>
      <w:r>
        <w:t>Reduces repetitive manual verification work.</w:t>
      </w:r>
    </w:p>
    <w:p>
      <w:pPr>
        <w:pStyle w:val="ListBullet"/>
      </w:pPr>
      <w:r>
        <w:t>Provides consistent application of documented reimbursement rules.</w:t>
      </w:r>
    </w:p>
    <w:p>
      <w:pPr>
        <w:pStyle w:val="ListBullet"/>
      </w:pPr>
      <w:r>
        <w:t>Helps identify errors before reimbursement is processed.</w:t>
      </w:r>
    </w:p>
    <w:p>
      <w:pPr>
        <w:pStyle w:val="ListBullet"/>
      </w:pPr>
      <w:r>
        <w:t>Improves transparency by showing the reason for each exception.</w:t>
      </w:r>
    </w:p>
    <w:p>
      <w:pPr>
        <w:pStyle w:val="ListBullet"/>
      </w:pPr>
      <w:r>
        <w:t>Creates an audit trail for finance and compliance teams.</w:t>
      </w:r>
    </w:p>
    <w:p>
      <w:pPr>
        <w:pStyle w:val="ListBullet"/>
      </w:pPr>
      <w:r>
        <w:t>Can scale to large numbers of expense reports.</w:t>
      </w:r>
    </w:p>
    <w:p>
      <w:pPr>
        <w:pStyle w:val="Heading1"/>
      </w:pPr>
      <w:r>
        <w:t>14. Limitations and Practical Considerations</w:t>
      </w:r>
    </w:p>
    <w:p>
      <w:pPr>
        <w:pStyle w:val="ListBullet"/>
      </w:pPr>
      <w:r>
        <w:t>The system is only as accurate as the policy rules and input data provided.</w:t>
      </w:r>
    </w:p>
    <w:p>
      <w:pPr>
        <w:pStyle w:val="ListBullet"/>
      </w:pPr>
      <w:r>
        <w:t>A flagged item is not automatically proof of fraud or misconduct; it should be reviewed by an authorized person.</w:t>
      </w:r>
    </w:p>
    <w:p>
      <w:pPr>
        <w:pStyle w:val="ListBullet"/>
      </w:pPr>
      <w:r>
        <w:t>OCR may make mistakes when receipts are unclear or poorly scanned.</w:t>
      </w:r>
    </w:p>
    <w:p>
      <w:pPr>
        <w:pStyle w:val="ListBullet"/>
      </w:pPr>
      <w:r>
        <w:t>Company policies may differ by employee role, location, project, or travel type.</w:t>
      </w:r>
    </w:p>
    <w:p>
      <w:pPr>
        <w:pStyle w:val="ListBullet"/>
      </w:pPr>
      <w:r>
        <w:t>Sensitive financial and employee information must be protected through appropriate access controls and security measures.</w:t>
      </w:r>
    </w:p>
    <w:p>
      <w:pPr>
        <w:pStyle w:val="Heading1"/>
      </w:pPr>
      <w:r>
        <w:t>15. Future Enhancements</w:t>
      </w:r>
    </w:p>
    <w:p>
      <w:pPr>
        <w:pStyle w:val="ListBullet"/>
      </w:pPr>
      <w:r>
        <w:t>Machine-learning based anomaly detection for unusual spending patterns.</w:t>
      </w:r>
    </w:p>
    <w:p>
      <w:pPr>
        <w:pStyle w:val="ListBullet"/>
      </w:pPr>
      <w:r>
        <w:t>Automatic receipt OCR and merchant recognition.</w:t>
      </w:r>
    </w:p>
    <w:p>
      <w:pPr>
        <w:pStyle w:val="ListBullet"/>
      </w:pPr>
      <w:r>
        <w:t>Integration with accounting and payroll systems.</w:t>
      </w:r>
    </w:p>
    <w:p>
      <w:pPr>
        <w:pStyle w:val="ListBullet"/>
      </w:pPr>
      <w:r>
        <w:t>Mobile receipt capture and instant validation.</w:t>
      </w:r>
    </w:p>
    <w:p>
      <w:pPr>
        <w:pStyle w:val="ListBullet"/>
      </w:pPr>
      <w:r>
        <w:t>Multi-currency conversion using approved exchange-rate sources.</w:t>
      </w:r>
    </w:p>
    <w:p>
      <w:pPr>
        <w:pStyle w:val="ListBullet"/>
      </w:pPr>
      <w:r>
        <w:t>Analytics dashboards showing common policy violations and reimbursement trends.</w:t>
      </w:r>
    </w:p>
    <w:p>
      <w:pPr>
        <w:pStyle w:val="Heading1"/>
      </w:pPr>
      <w:r>
        <w:t>16. Conclusion</w:t>
      </w:r>
    </w:p>
    <w:p>
      <w:r>
        <w:t>The Expense Report Policy Compliance Checker provides a practical way to automate the first level of expense verification. By combining structured expense data, configurable company policies, automated validation, exception reporting, and human approval, the system can make reimbursement workflows more consistent and efficient. Its most important role is to support finance and managers with timely, understandable compliance information rather than making final approval decisions on their behalf.</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Expense Report Policy Compliance Checker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