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19" w:rsidRDefault="00245717" w:rsidP="00B06A84">
      <w:pPr>
        <w:spacing w:line="240" w:lineRule="auto"/>
        <w:rPr>
          <w:b/>
          <w:noProof/>
          <w:lang w:eastAsia="tr-TR"/>
        </w:rPr>
      </w:pPr>
      <w:r w:rsidRPr="00245717">
        <w:rPr>
          <w:b/>
          <w:noProof/>
          <w:lang w:eastAsia="tr-TR"/>
        </w:rPr>
        <w:t>16- Word 2010 Ekle Sekmesi (Grafik Ekle- Tasarım - Düzen - Biçim Sekmeleri) Uygulamaları</w:t>
      </w:r>
    </w:p>
    <w:p w:rsidR="00245717" w:rsidRDefault="00245717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7000875" cy="3848100"/>
            <wp:effectExtent l="19050" t="19050" r="9525" b="1905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02AE0" w:rsidRDefault="00102AE0" w:rsidP="00B06A84">
      <w:pPr>
        <w:spacing w:line="240" w:lineRule="auto"/>
        <w:rPr>
          <w:b/>
          <w:noProof/>
          <w:lang w:eastAsia="tr-TR"/>
        </w:rPr>
      </w:pPr>
    </w:p>
    <w:p w:rsidR="00102AE0" w:rsidRDefault="00102AE0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7019925" cy="5229225"/>
            <wp:effectExtent l="19050" t="19050" r="9525" b="9525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3936" w:rsidRDefault="001A3936">
      <w:pPr>
        <w:rPr>
          <w:b/>
          <w:noProof/>
          <w:lang w:eastAsia="tr-TR"/>
        </w:rPr>
      </w:pPr>
      <w:r>
        <w:rPr>
          <w:b/>
          <w:noProof/>
          <w:lang w:eastAsia="tr-TR"/>
        </w:rPr>
        <w:br w:type="page"/>
      </w:r>
    </w:p>
    <w:p w:rsidR="001A3936" w:rsidRDefault="001A3936" w:rsidP="00B06A84">
      <w:pPr>
        <w:spacing w:line="240" w:lineRule="auto"/>
        <w:rPr>
          <w:b/>
          <w:noProof/>
          <w:lang w:eastAsia="tr-TR"/>
        </w:rPr>
      </w:pPr>
      <w:r w:rsidRPr="00C73E1E">
        <w:rPr>
          <w:b/>
          <w:noProof/>
          <w:sz w:val="32"/>
          <w:lang w:eastAsia="tr-TR"/>
        </w:rPr>
        <w:lastRenderedPageBreak/>
        <w:drawing>
          <wp:inline distT="0" distB="0" distL="0" distR="0" wp14:anchorId="63EF7A02" wp14:editId="7528927D">
            <wp:extent cx="7029450" cy="5172075"/>
            <wp:effectExtent l="57150" t="38100" r="57150" b="66675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73E1E" w:rsidRPr="00B06A84" w:rsidRDefault="00C73E1E" w:rsidP="00B06A84">
      <w:pPr>
        <w:spacing w:line="240" w:lineRule="auto"/>
        <w:rPr>
          <w:b/>
          <w:noProof/>
          <w:lang w:eastAsia="tr-TR"/>
        </w:rPr>
      </w:pPr>
      <w:bookmarkStart w:id="0" w:name="_GoBack"/>
      <w:bookmarkEnd w:id="0"/>
    </w:p>
    <w:sectPr w:rsidR="00C73E1E" w:rsidRPr="00B06A84" w:rsidSect="00FF5F25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01FBF"/>
    <w:multiLevelType w:val="hybridMultilevel"/>
    <w:tmpl w:val="90F46A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1.xlsx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al__ma_Sayfas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al__ma_Sayfas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 b="1" cap="none" spc="0">
                <a:ln w="952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</a:defRPr>
            </a:pPr>
            <a:r>
              <a:rPr lang="tr-TR" b="1" cap="none" spc="0">
                <a:ln w="952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</a:rPr>
              <a:t>Bolu Anadolu Lisesi</a:t>
            </a:r>
            <a:r>
              <a:rPr lang="tr-TR" b="1" cap="none" spc="0" baseline="0">
                <a:ln w="952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</a:rPr>
              <a:t> 12. Sınıf ÖSS Yıllara Göre Başarı Durumları</a:t>
            </a:r>
            <a:endParaRPr lang="tr-TR" b="1" cap="none" spc="0">
              <a:ln w="952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12/A Sınıfı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>
                    <a:solidFill>
                      <a:schemeClr val="tx2">
                        <a:lumMod val="75000"/>
                      </a:schemeClr>
                    </a:solidFill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Sayfa1!$A$2:$A$5</c:f>
              <c:numCache>
                <c:formatCode>General</c:formatCod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</c:numCache>
            </c:numRef>
          </c:cat>
          <c:val>
            <c:numRef>
              <c:f>Sayfa1!$B$2:$B$5</c:f>
              <c:numCache>
                <c:formatCode>General</c:formatCode>
                <c:ptCount val="4"/>
                <c:pt idx="0">
                  <c:v>70</c:v>
                </c:pt>
                <c:pt idx="1">
                  <c:v>60</c:v>
                </c:pt>
                <c:pt idx="2">
                  <c:v>77</c:v>
                </c:pt>
                <c:pt idx="3">
                  <c:v>83</c:v>
                </c:pt>
              </c:numCache>
            </c:numRef>
          </c:val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12/B Sınıfı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>
                    <a:solidFill>
                      <a:srgbClr val="C00000"/>
                    </a:solidFill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Sayfa1!$A$2:$A$5</c:f>
              <c:numCache>
                <c:formatCode>General</c:formatCod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</c:numCache>
            </c:numRef>
          </c:cat>
          <c:val>
            <c:numRef>
              <c:f>Sayfa1!$C$2:$C$5</c:f>
              <c:numCache>
                <c:formatCode>General</c:formatCode>
                <c:ptCount val="4"/>
                <c:pt idx="0">
                  <c:v>85</c:v>
                </c:pt>
                <c:pt idx="1">
                  <c:v>83</c:v>
                </c:pt>
                <c:pt idx="2">
                  <c:v>95</c:v>
                </c:pt>
                <c:pt idx="3">
                  <c:v>90</c:v>
                </c:pt>
              </c:numCache>
            </c:numRef>
          </c:val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12/C Sınıfı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>
                    <a:solidFill>
                      <a:schemeClr val="accent3">
                        <a:lumMod val="50000"/>
                      </a:schemeClr>
                    </a:solidFill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Sayfa1!$A$2:$A$5</c:f>
              <c:numCache>
                <c:formatCode>General</c:formatCod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</c:numCache>
            </c:numRef>
          </c:cat>
          <c:val>
            <c:numRef>
              <c:f>Sayfa1!$D$2:$D$5</c:f>
              <c:numCache>
                <c:formatCode>General</c:formatCode>
                <c:ptCount val="4"/>
                <c:pt idx="0">
                  <c:v>66</c:v>
                </c:pt>
                <c:pt idx="1">
                  <c:v>63</c:v>
                </c:pt>
                <c:pt idx="2">
                  <c:v>69</c:v>
                </c:pt>
                <c:pt idx="3">
                  <c:v>75</c:v>
                </c:pt>
              </c:numCache>
            </c:numRef>
          </c:val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12/D Sınıfı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>
                    <a:solidFill>
                      <a:srgbClr val="7030A0"/>
                    </a:solidFill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Sayfa1!$A$2:$A$5</c:f>
              <c:numCache>
                <c:formatCode>General</c:formatCod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</c:numCache>
            </c:numRef>
          </c:cat>
          <c:val>
            <c:numRef>
              <c:f>Sayfa1!$E$2:$E$5</c:f>
              <c:numCache>
                <c:formatCode>General</c:formatCode>
                <c:ptCount val="4"/>
                <c:pt idx="0">
                  <c:v>50</c:v>
                </c:pt>
                <c:pt idx="1">
                  <c:v>75</c:v>
                </c:pt>
                <c:pt idx="2">
                  <c:v>60</c:v>
                </c:pt>
                <c:pt idx="3">
                  <c:v>55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84791808"/>
        <c:axId val="184793728"/>
      </c:barChart>
      <c:catAx>
        <c:axId val="184791808"/>
        <c:scaling>
          <c:orientation val="minMax"/>
        </c:scaling>
        <c:delete val="0"/>
        <c:axPos val="b"/>
        <c:majorGridlines>
          <c:spPr>
            <a:ln>
              <a:solidFill>
                <a:schemeClr val="accent5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184793728"/>
        <c:crosses val="autoZero"/>
        <c:auto val="1"/>
        <c:lblAlgn val="ctr"/>
        <c:lblOffset val="100"/>
        <c:noMultiLvlLbl val="0"/>
      </c:catAx>
      <c:valAx>
        <c:axId val="184793728"/>
        <c:scaling>
          <c:orientation val="minMax"/>
        </c:scaling>
        <c:delete val="0"/>
        <c:axPos val="l"/>
        <c:majorGridlines>
          <c:spPr>
            <a:ln>
              <a:solidFill>
                <a:schemeClr val="accent6">
                  <a:lumMod val="75000"/>
                </a:schemeClr>
              </a:solidFill>
              <a:prstDash val="dashDot"/>
            </a:ln>
          </c:spPr>
        </c:majorGridlines>
        <c:title>
          <c:tx>
            <c:rich>
              <a:bodyPr/>
              <a:lstStyle/>
              <a:p>
                <a:pPr>
                  <a:defRPr b="1" cap="none" spc="0">
                    <a:ln w="952"/>
                    <a:gradFill>
                      <a:gsLst>
                        <a:gs pos="0">
                          <a:schemeClr val="accent6">
                            <a:shade val="20000"/>
                            <a:satMod val="200000"/>
                          </a:schemeClr>
                        </a:gs>
                        <a:gs pos="78000">
                          <a:schemeClr val="accent6">
                            <a:tint val="90000"/>
                            <a:shade val="89000"/>
                            <a:satMod val="220000"/>
                          </a:schemeClr>
                        </a:gs>
                        <a:gs pos="100000">
                          <a:schemeClr val="accent6">
                            <a:tint val="12000"/>
                            <a:satMod val="255000"/>
                          </a:schemeClr>
                        </a:gs>
                      </a:gsLst>
                      <a:lin ang="5400000"/>
                    </a:gradFill>
                    <a:effectLst>
                      <a:innerShdw blurRad="69850" dist="43180" dir="5400000">
                        <a:srgbClr val="000000">
                          <a:alpha val="65000"/>
                        </a:srgbClr>
                      </a:innerShdw>
                    </a:effectLst>
                  </a:defRPr>
                </a:pPr>
                <a:r>
                  <a:rPr lang="tr-TR" b="1" cap="none" spc="0">
                    <a:ln w="952"/>
                    <a:gradFill>
                      <a:gsLst>
                        <a:gs pos="0">
                          <a:schemeClr val="accent6">
                            <a:shade val="20000"/>
                            <a:satMod val="200000"/>
                          </a:schemeClr>
                        </a:gs>
                        <a:gs pos="78000">
                          <a:schemeClr val="accent6">
                            <a:tint val="90000"/>
                            <a:shade val="89000"/>
                            <a:satMod val="220000"/>
                          </a:schemeClr>
                        </a:gs>
                        <a:gs pos="100000">
                          <a:schemeClr val="accent6">
                            <a:tint val="12000"/>
                            <a:satMod val="255000"/>
                          </a:schemeClr>
                        </a:gs>
                      </a:gsLst>
                      <a:lin ang="5400000"/>
                    </a:gradFill>
                    <a:effectLst>
                      <a:innerShdw blurRad="69850" dist="43180" dir="5400000">
                        <a:srgbClr val="000000">
                          <a:alpha val="65000"/>
                        </a:srgbClr>
                      </a:innerShdw>
                    </a:effectLst>
                  </a:rPr>
                  <a:t>Sınıf Başarı Yüzdesi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479180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>
                <a:solidFill>
                  <a:srgbClr val="002060"/>
                </a:solidFill>
              </a:defRPr>
            </a:pPr>
            <a:endParaRPr lang="tr-TR"/>
          </a:p>
        </c:txPr>
      </c:dTable>
      <c:spPr>
        <a:blipFill>
          <a:blip xmlns:r="http://schemas.openxmlformats.org/officeDocument/2006/relationships" r:embed="rId1"/>
          <a:tile tx="0" ty="0" sx="100000" sy="100000" flip="none" algn="tl"/>
        </a:blipFill>
      </c:spPr>
    </c:plotArea>
    <c:legend>
      <c:legendPos val="t"/>
      <c:overlay val="0"/>
    </c:legend>
    <c:plotVisOnly val="1"/>
    <c:dispBlanksAs val="gap"/>
    <c:showDLblsOverMax val="0"/>
  </c:chart>
  <c:spPr>
    <a:blipFill dpi="0" rotWithShape="1">
      <a:blip xmlns:r="http://schemas.openxmlformats.org/officeDocument/2006/relationships" r:embed="rId2"/>
      <a:srcRect/>
      <a:tile tx="0" ty="0" sx="100000" sy="100000" flip="none" algn="tl"/>
    </a:blipFill>
    <a:ln w="38100">
      <a:solidFill>
        <a:srgbClr val="C00000"/>
      </a:solidFill>
      <a:prstDash val="sysDash"/>
    </a:ln>
  </c:sp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b="1" cap="none" spc="0">
                <a:ln w="6350">
                  <a:solidFill>
                    <a:schemeClr val="tx2">
                      <a:satMod val="155000"/>
                    </a:schemeClr>
                  </a:solidFill>
                  <a:prstDash val="solid"/>
                </a:ln>
                <a:solidFill>
                  <a:schemeClr val="bg2">
                    <a:tint val="85000"/>
                    <a:satMod val="155000"/>
                  </a:schemeClr>
                </a:solidFill>
                <a:effectLst>
                  <a:outerShdw blurRad="41275" dist="20320" dir="1800000" algn="tl" rotWithShape="0">
                    <a:srgbClr val="000000">
                      <a:alpha val="40000"/>
                    </a:srgbClr>
                  </a:outerShdw>
                </a:effectLst>
              </a:defRPr>
            </a:pPr>
            <a:r>
              <a:rPr lang="tr-TR" b="1" cap="none" spc="0">
                <a:ln w="6350">
                  <a:solidFill>
                    <a:schemeClr val="tx2">
                      <a:satMod val="155000"/>
                    </a:schemeClr>
                  </a:solidFill>
                  <a:prstDash val="solid"/>
                </a:ln>
                <a:solidFill>
                  <a:schemeClr val="bg2">
                    <a:tint val="85000"/>
                    <a:satMod val="155000"/>
                  </a:schemeClr>
                </a:solidFill>
                <a:effectLst>
                  <a:outerShdw blurRad="41275" dist="20320" dir="1800000" algn="tl" rotWithShape="0">
                    <a:srgbClr val="000000">
                      <a:alpha val="40000"/>
                    </a:srgbClr>
                  </a:outerShdw>
                </a:effectLst>
              </a:rPr>
              <a:t>Şirketlerin Ay'lara Göre</a:t>
            </a:r>
            <a:r>
              <a:rPr lang="tr-TR" b="1" cap="none" spc="0" baseline="0">
                <a:ln w="6350">
                  <a:solidFill>
                    <a:schemeClr val="tx2">
                      <a:satMod val="155000"/>
                    </a:schemeClr>
                  </a:solidFill>
                  <a:prstDash val="solid"/>
                </a:ln>
                <a:solidFill>
                  <a:schemeClr val="bg2">
                    <a:tint val="85000"/>
                    <a:satMod val="155000"/>
                  </a:schemeClr>
                </a:solidFill>
                <a:effectLst>
                  <a:outerShdw blurRad="41275" dist="20320" dir="1800000" algn="tl" rotWithShape="0">
                    <a:srgbClr val="000000">
                      <a:alpha val="40000"/>
                    </a:srgbClr>
                  </a:outerShdw>
                </a:effectLst>
              </a:rPr>
              <a:t> Hisse Senedi Artış-Azalış Oranları</a:t>
            </a:r>
            <a:endParaRPr lang="tr-TR" b="1" cap="none" spc="0">
              <a:ln w="6350">
                <a:solidFill>
                  <a:schemeClr val="tx2">
                    <a:satMod val="155000"/>
                  </a:schemeClr>
                </a:solidFill>
                <a:prstDash val="solid"/>
              </a:ln>
              <a:solidFill>
                <a:schemeClr val="bg2">
                  <a:tint val="85000"/>
                  <a:satMod val="155000"/>
                </a:schemeClr>
              </a:solidFill>
              <a:effectLst>
                <a:outerShdw blurRad="41275" dist="20320" dir="1800000" algn="tl" rotWithShape="0">
                  <a:srgbClr val="000000">
                    <a:alpha val="40000"/>
                  </a:srgbClr>
                </a:outerShdw>
              </a:effectLst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Kardemir</c:v>
                </c:pt>
              </c:strCache>
            </c:strRef>
          </c:tx>
          <c:cat>
            <c:strRef>
              <c:f>Sayfa1!$A$2:$A$7</c:f>
              <c:strCache>
                <c:ptCount val="6"/>
                <c:pt idx="0">
                  <c:v>Ocak</c:v>
                </c:pt>
                <c:pt idx="1">
                  <c:v>Şubat</c:v>
                </c:pt>
                <c:pt idx="2">
                  <c:v>Mart</c:v>
                </c:pt>
                <c:pt idx="3">
                  <c:v>Nisan</c:v>
                </c:pt>
                <c:pt idx="4">
                  <c:v>Mayıs</c:v>
                </c:pt>
                <c:pt idx="5">
                  <c:v>Haziran</c:v>
                </c:pt>
              </c:strCache>
            </c:strRef>
          </c:cat>
          <c:val>
            <c:numRef>
              <c:f>Sayfa1!$B$2:$B$7</c:f>
              <c:numCache>
                <c:formatCode>General</c:formatCode>
                <c:ptCount val="6"/>
                <c:pt idx="0">
                  <c:v>0.9</c:v>
                </c:pt>
                <c:pt idx="1">
                  <c:v>1.1000000000000001</c:v>
                </c:pt>
                <c:pt idx="2">
                  <c:v>1.9</c:v>
                </c:pt>
                <c:pt idx="3">
                  <c:v>1.7</c:v>
                </c:pt>
                <c:pt idx="4">
                  <c:v>1.7</c:v>
                </c:pt>
                <c:pt idx="5">
                  <c:v>1.8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Borusan</c:v>
                </c:pt>
              </c:strCache>
            </c:strRef>
          </c:tx>
          <c:cat>
            <c:strRef>
              <c:f>Sayfa1!$A$2:$A$7</c:f>
              <c:strCache>
                <c:ptCount val="6"/>
                <c:pt idx="0">
                  <c:v>Ocak</c:v>
                </c:pt>
                <c:pt idx="1">
                  <c:v>Şubat</c:v>
                </c:pt>
                <c:pt idx="2">
                  <c:v>Mart</c:v>
                </c:pt>
                <c:pt idx="3">
                  <c:v>Nisan</c:v>
                </c:pt>
                <c:pt idx="4">
                  <c:v>Mayıs</c:v>
                </c:pt>
                <c:pt idx="5">
                  <c:v>Haziran</c:v>
                </c:pt>
              </c:strCache>
            </c:strRef>
          </c:cat>
          <c:val>
            <c:numRef>
              <c:f>Sayfa1!$C$2:$C$7</c:f>
              <c:numCache>
                <c:formatCode>General</c:formatCode>
                <c:ptCount val="6"/>
                <c:pt idx="0">
                  <c:v>2.4</c:v>
                </c:pt>
                <c:pt idx="1">
                  <c:v>2.8</c:v>
                </c:pt>
                <c:pt idx="2">
                  <c:v>2.9</c:v>
                </c:pt>
                <c:pt idx="3">
                  <c:v>3.4</c:v>
                </c:pt>
                <c:pt idx="4">
                  <c:v>3.8</c:v>
                </c:pt>
                <c:pt idx="5">
                  <c:v>4.2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Karçimsa</c:v>
                </c:pt>
              </c:strCache>
            </c:strRef>
          </c:tx>
          <c:cat>
            <c:strRef>
              <c:f>Sayfa1!$A$2:$A$7</c:f>
              <c:strCache>
                <c:ptCount val="6"/>
                <c:pt idx="0">
                  <c:v>Ocak</c:v>
                </c:pt>
                <c:pt idx="1">
                  <c:v>Şubat</c:v>
                </c:pt>
                <c:pt idx="2">
                  <c:v>Mart</c:v>
                </c:pt>
                <c:pt idx="3">
                  <c:v>Nisan</c:v>
                </c:pt>
                <c:pt idx="4">
                  <c:v>Mayıs</c:v>
                </c:pt>
                <c:pt idx="5">
                  <c:v>Haziran</c:v>
                </c:pt>
              </c:strCache>
            </c:strRef>
          </c:cat>
          <c:val>
            <c:numRef>
              <c:f>Sayfa1!$D$2:$D$7</c:f>
              <c:numCache>
                <c:formatCode>General</c:formatCode>
                <c:ptCount val="6"/>
                <c:pt idx="0">
                  <c:v>1.4</c:v>
                </c:pt>
                <c:pt idx="1">
                  <c:v>1.2</c:v>
                </c:pt>
                <c:pt idx="2">
                  <c:v>0.9</c:v>
                </c:pt>
                <c:pt idx="3">
                  <c:v>0.7</c:v>
                </c:pt>
                <c:pt idx="4">
                  <c:v>1</c:v>
                </c:pt>
                <c:pt idx="5">
                  <c:v>1.1000000000000001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Şişecam</c:v>
                </c:pt>
              </c:strCache>
            </c:strRef>
          </c:tx>
          <c:cat>
            <c:strRef>
              <c:f>Sayfa1!$A$2:$A$7</c:f>
              <c:strCache>
                <c:ptCount val="6"/>
                <c:pt idx="0">
                  <c:v>Ocak</c:v>
                </c:pt>
                <c:pt idx="1">
                  <c:v>Şubat</c:v>
                </c:pt>
                <c:pt idx="2">
                  <c:v>Mart</c:v>
                </c:pt>
                <c:pt idx="3">
                  <c:v>Nisan</c:v>
                </c:pt>
                <c:pt idx="4">
                  <c:v>Mayıs</c:v>
                </c:pt>
                <c:pt idx="5">
                  <c:v>Haziran</c:v>
                </c:pt>
              </c:strCache>
            </c:strRef>
          </c:cat>
          <c:val>
            <c:numRef>
              <c:f>Sayfa1!$E$2:$E$7</c:f>
              <c:numCache>
                <c:formatCode>General</c:formatCode>
                <c:ptCount val="6"/>
                <c:pt idx="0">
                  <c:v>5</c:v>
                </c:pt>
                <c:pt idx="1">
                  <c:v>4.2</c:v>
                </c:pt>
                <c:pt idx="2">
                  <c:v>4.4000000000000004</c:v>
                </c:pt>
                <c:pt idx="3">
                  <c:v>3.7</c:v>
                </c:pt>
                <c:pt idx="4">
                  <c:v>3.3</c:v>
                </c:pt>
                <c:pt idx="5">
                  <c:v>2.8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Galatasaray</c:v>
                </c:pt>
              </c:strCache>
            </c:strRef>
          </c:tx>
          <c:cat>
            <c:strRef>
              <c:f>Sayfa1!$A$2:$A$7</c:f>
              <c:strCache>
                <c:ptCount val="6"/>
                <c:pt idx="0">
                  <c:v>Ocak</c:v>
                </c:pt>
                <c:pt idx="1">
                  <c:v>Şubat</c:v>
                </c:pt>
                <c:pt idx="2">
                  <c:v>Mart</c:v>
                </c:pt>
                <c:pt idx="3">
                  <c:v>Nisan</c:v>
                </c:pt>
                <c:pt idx="4">
                  <c:v>Mayıs</c:v>
                </c:pt>
                <c:pt idx="5">
                  <c:v>Haziran</c:v>
                </c:pt>
              </c:strCache>
            </c:strRef>
          </c:cat>
          <c:val>
            <c:numRef>
              <c:f>Sayfa1!$F$2:$F$7</c:f>
              <c:numCache>
                <c:formatCode>General</c:formatCode>
                <c:ptCount val="6"/>
                <c:pt idx="0">
                  <c:v>6</c:v>
                </c:pt>
                <c:pt idx="1">
                  <c:v>6.2</c:v>
                </c:pt>
                <c:pt idx="2">
                  <c:v>6.4</c:v>
                </c:pt>
                <c:pt idx="3">
                  <c:v>6.6</c:v>
                </c:pt>
                <c:pt idx="4">
                  <c:v>5.4</c:v>
                </c:pt>
                <c:pt idx="5">
                  <c:v>5.7</c:v>
                </c:pt>
              </c:numCache>
            </c:numRef>
          </c:val>
          <c:smooth val="0"/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8825472"/>
        <c:axId val="198827008"/>
      </c:lineChart>
      <c:catAx>
        <c:axId val="198825472"/>
        <c:scaling>
          <c:orientation val="minMax"/>
        </c:scaling>
        <c:delete val="0"/>
        <c:axPos val="b"/>
        <c:majorTickMark val="none"/>
        <c:minorTickMark val="none"/>
        <c:tickLblPos val="nextTo"/>
        <c:crossAx val="198827008"/>
        <c:crosses val="autoZero"/>
        <c:auto val="1"/>
        <c:lblAlgn val="ctr"/>
        <c:lblOffset val="100"/>
        <c:noMultiLvlLbl val="0"/>
      </c:catAx>
      <c:valAx>
        <c:axId val="198827008"/>
        <c:scaling>
          <c:orientation val="minMax"/>
        </c:scaling>
        <c:delete val="0"/>
        <c:axPos val="l"/>
        <c:majorGridlines>
          <c:spPr>
            <a:ln w="12700">
              <a:solidFill>
                <a:srgbClr val="00B050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b="0" cap="none" spc="0">
                    <a:ln w="5080">
                      <a:solidFill>
                        <a:schemeClr val="accent1"/>
                      </a:solidFill>
                      <a:prstDash val="solid"/>
                    </a:ln>
                    <a:solidFill>
                      <a:srgbClr val="FFFFFF"/>
                    </a:solidFill>
                    <a:effectLst>
                      <a:outerShdw blurRad="38100" dist="32000" dir="5400000" algn="tl">
                        <a:srgbClr val="000000">
                          <a:alpha val="30000"/>
                        </a:srgbClr>
                      </a:outerShdw>
                    </a:effectLst>
                  </a:defRPr>
                </a:pPr>
                <a:r>
                  <a:rPr lang="tr-TR" b="0" cap="none" spc="0">
                    <a:ln w="5080">
                      <a:solidFill>
                        <a:schemeClr val="accent1"/>
                      </a:solidFill>
                      <a:prstDash val="solid"/>
                    </a:ln>
                    <a:solidFill>
                      <a:srgbClr val="FFFFFF"/>
                    </a:solidFill>
                    <a:effectLst>
                      <a:outerShdw blurRad="38100" dist="32000" dir="5400000" algn="tl">
                        <a:srgbClr val="000000">
                          <a:alpha val="30000"/>
                        </a:srgbClr>
                      </a:outerShdw>
                    </a:effectLst>
                  </a:rPr>
                  <a:t>Hisse Senedi Değeri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88254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solidFill>
              <a:srgbClr val="C00000"/>
            </a:solidFill>
          </a:ln>
        </c:spPr>
        <c:txPr>
          <a:bodyPr/>
          <a:lstStyle/>
          <a:p>
            <a:pPr rtl="0">
              <a:defRPr>
                <a:solidFill>
                  <a:srgbClr val="002060"/>
                </a:solidFill>
              </a:defRPr>
            </a:pPr>
            <a:endParaRPr lang="tr-TR"/>
          </a:p>
        </c:txPr>
      </c:dTable>
      <c:spPr>
        <a:solidFill>
          <a:schemeClr val="bg1">
            <a:lumMod val="85000"/>
          </a:schemeClr>
        </a:solidFill>
        <a:ln w="28575">
          <a:solidFill>
            <a:srgbClr val="C00000"/>
          </a:solidFill>
        </a:ln>
      </c:spPr>
    </c:plotArea>
    <c:plotVisOnly val="1"/>
    <c:dispBlanksAs val="gap"/>
    <c:showDLblsOverMax val="0"/>
  </c:chart>
  <c:spPr>
    <a:solidFill>
      <a:schemeClr val="accent6">
        <a:lumMod val="60000"/>
        <a:lumOff val="40000"/>
      </a:schemeClr>
    </a:solidFill>
    <a:ln w="38100">
      <a:solidFill>
        <a:schemeClr val="tx1">
          <a:lumMod val="95000"/>
          <a:lumOff val="5000"/>
        </a:schemeClr>
      </a:solidFill>
      <a:prstDash val="lgDashDotDot"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 sz="2400" b="1" cap="none" spc="0">
                <a:ln w="952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</a:defRPr>
            </a:pPr>
            <a:r>
              <a:rPr lang="tr-TR" sz="2400" b="1" cap="none" spc="0">
                <a:ln w="952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</a:rPr>
              <a:t>2011 Türkiye Geneli Seçim Sonuçları</a:t>
            </a:r>
            <a:endParaRPr lang="en-US" sz="2400" b="1" cap="none" spc="0">
              <a:ln w="952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Partiler</c:v>
                </c:pt>
              </c:strCache>
            </c:strRef>
          </c:tx>
          <c:dLbls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Sayfa1!$A$2:$A$11</c:f>
              <c:strCache>
                <c:ptCount val="10"/>
                <c:pt idx="0">
                  <c:v>AKP</c:v>
                </c:pt>
                <c:pt idx="1">
                  <c:v>CHP</c:v>
                </c:pt>
                <c:pt idx="2">
                  <c:v>MHP</c:v>
                </c:pt>
                <c:pt idx="3">
                  <c:v>BAĞIMSIZLAR</c:v>
                </c:pt>
                <c:pt idx="4">
                  <c:v>SP</c:v>
                </c:pt>
                <c:pt idx="5">
                  <c:v>HAS</c:v>
                </c:pt>
                <c:pt idx="6">
                  <c:v>BBP</c:v>
                </c:pt>
                <c:pt idx="7">
                  <c:v>DP</c:v>
                </c:pt>
                <c:pt idx="8">
                  <c:v>DSP</c:v>
                </c:pt>
                <c:pt idx="9">
                  <c:v>DYP</c:v>
                </c:pt>
              </c:strCache>
            </c:strRef>
          </c:cat>
          <c:val>
            <c:numRef>
              <c:f>Sayfa1!$B$2:$B$11</c:f>
              <c:numCache>
                <c:formatCode>General</c:formatCode>
                <c:ptCount val="10"/>
                <c:pt idx="0">
                  <c:v>49</c:v>
                </c:pt>
                <c:pt idx="1">
                  <c:v>26</c:v>
                </c:pt>
                <c:pt idx="2">
                  <c:v>13</c:v>
                </c:pt>
                <c:pt idx="3">
                  <c:v>7</c:v>
                </c:pt>
                <c:pt idx="4">
                  <c:v>5</c:v>
                </c:pt>
                <c:pt idx="5">
                  <c:v>5</c:v>
                </c:pt>
                <c:pt idx="6">
                  <c:v>2</c:v>
                </c:pt>
                <c:pt idx="7">
                  <c:v>1.5</c:v>
                </c:pt>
                <c:pt idx="8">
                  <c:v>1</c:v>
                </c:pt>
                <c:pt idx="9">
                  <c:v>0.5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400"/>
          </a:pPr>
          <a:endParaRPr lang="tr-TR"/>
        </a:p>
      </c:txPr>
    </c:legend>
    <c:plotVisOnly val="1"/>
    <c:dispBlanksAs val="gap"/>
    <c:showDLblsOverMax val="0"/>
  </c:chart>
  <c:spPr>
    <a:gradFill rotWithShape="1">
      <a:gsLst>
        <a:gs pos="0">
          <a:schemeClr val="accent1">
            <a:tint val="50000"/>
            <a:satMod val="300000"/>
          </a:schemeClr>
        </a:gs>
        <a:gs pos="35000">
          <a:schemeClr val="accent1">
            <a:tint val="37000"/>
            <a:satMod val="300000"/>
          </a:schemeClr>
        </a:gs>
        <a:gs pos="100000">
          <a:schemeClr val="accent1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1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tr-T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D91B9-9D17-42C6-85ED-1C2DDB8A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4</cp:revision>
  <dcterms:created xsi:type="dcterms:W3CDTF">2012-03-16T00:55:00Z</dcterms:created>
  <dcterms:modified xsi:type="dcterms:W3CDTF">2012-03-16T01:32:00Z</dcterms:modified>
</cp:coreProperties>
</file>