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Bdr>
          <w:bottom w:val="single" w:sz="6" w:space="3" w:color="808080"/>
        </w:pBdr>
      </w:pPr>
      <w:r>
        <w:rPr>
          <w:rFonts w:ascii="Arial" w:hAnsi="Arial" w:eastAsia="Arial"/>
          <w:b/>
          <w:i w:val="0"/>
          <w:sz w:val="28"/>
        </w:rPr>
        <w:t>Review of Submission [number not provided]</w:t>
      </w:r>
    </w:p>
    <w:p>
      <w:pPr>
        <w:spacing w:after="280"/>
        <w:jc w:val="center"/>
      </w:pPr>
      <w:r>
        <w:rPr>
          <w:rFonts w:ascii="Arial" w:hAnsi="Arial" w:eastAsia="Arial"/>
          <w:b w:val="0"/>
          <w:i/>
          <w:sz w:val="24"/>
        </w:rPr>
        <w:t>Title. Audio-CVR: Automatic Curation and Reference-Aware Evaluation for Directional Audio Composed Video Retrieval</w:t>
      </w:r>
    </w:p>
    <w:p>
      <w:pPr>
        <w:spacing w:before="200" w:after="100"/>
      </w:pPr>
      <w:r>
        <w:rPr>
          <w:rFonts w:ascii="Arial" w:hAnsi="Arial" w:eastAsia="Arial"/>
          <w:b/>
          <w:i w:val="0"/>
          <w:sz w:val="24"/>
        </w:rPr>
        <w:t>1. Summary</w:t>
      </w:r>
    </w:p>
    <w:p>
      <w:pPr>
        <w:keepLines w:val="0"/>
        <w:ind w:firstLine="317"/>
      </w:pPr>
      <w:r>
        <w:rPr>
          <w:rFonts w:ascii="Arial" w:hAnsi="Arial" w:eastAsia="Arial"/>
          <w:b w:val="0"/>
          <w:i w:val="0"/>
          <w:sz w:val="24"/>
        </w:rPr>
        <w:t>This paper introduces Audio-CVR, a non-speech diagnostic benchmark for composed video retrieval under directional sound changes and preserved visual context. The benchmark contains 1,000 automatically curated and model-verified queries and a shared 2,000-item gallery containing every target and every unchanged reference. The central intervention masks only the current query's own reference in an otherwise fixed score matrix, and the evaluation reports recall, target-over-reference accuracy, score margins, and reference-specific error attribution. Experiments cover frozen and adapted E5-Omni, zero-shot ImageBind, an Audio-as-Text VLM2Vec reproduction, and cross-benchmark diagnostics on OmniCVR.</w:t>
      </w:r>
    </w:p>
    <w:p>
      <w:pPr>
        <w:spacing w:before="200" w:after="100"/>
      </w:pPr>
      <w:r>
        <w:rPr>
          <w:rFonts w:ascii="Arial" w:hAnsi="Arial" w:eastAsia="Arial"/>
          <w:b/>
          <w:i w:val="0"/>
          <w:sz w:val="24"/>
        </w:rPr>
        <w:t>2. Strengths</w:t>
      </w:r>
    </w:p>
    <w:p>
      <w:pPr>
        <w:keepLines w:val="0"/>
        <w:ind w:firstLine="317"/>
      </w:pPr>
      <w:r>
        <w:rPr>
          <w:rFonts w:ascii="Arial" w:hAnsi="Arial" w:eastAsia="Arial"/>
          <w:b w:val="0"/>
          <w:i w:val="0"/>
          <w:sz w:val="24"/>
        </w:rPr>
        <w:t>1. The exact own-reference masking experiment is unusually clean and interpretable. With-reference and masked-reference conditions use the same score matrix and differ in one entry per query, so the very large changes cannot be attributed to a resampled gallery. Adapted E5-Omni rises from 12.8 percent to 97.3 percent R@1 under V+A+T, ImageBind rises from 11.7 percent to 99.3 percent under V+T, and 98.99 percent of the E5 adapter's top-1 errors select the query's own reference. This convincingly establishes pre-edit reference dominance for the evaluated systems.</w:t>
      </w:r>
    </w:p>
    <w:p>
      <w:pPr>
        <w:keepLines w:val="0"/>
        <w:ind w:firstLine="317"/>
      </w:pPr>
      <w:r>
        <w:rPr>
          <w:rFonts w:ascii="Arial" w:hAnsi="Arial" w:eastAsia="Arial"/>
          <w:b w:val="0"/>
          <w:i w:val="0"/>
          <w:sz w:val="24"/>
        </w:rPr>
        <w:t>2. The paper reports negative as well as positive audio results and draws a suitably conditional conclusion. Audio improves adapted E5-Omni by 6.84 R@1 points with a paired confidence interval and Holm-adjusted significance test, but reduces ImageBind R@1 by 9.2 points and reduces the Audio-as-Text VLM2Vec reproduction on Audio-CVR by 8.8 points. The opposite VLM2Vec result on OmniCVR further prevents the paper from making the simplistic claim that audio is always useful or always noise.</w:t>
      </w:r>
    </w:p>
    <w:p>
      <w:pPr>
        <w:keepLines w:val="0"/>
        <w:ind w:firstLine="317"/>
      </w:pPr>
      <w:r>
        <w:rPr>
          <w:rFonts w:ascii="Arial" w:hAnsi="Arial" w:eastAsia="Arial"/>
          <w:b w:val="0"/>
          <w:i w:val="0"/>
          <w:sz w:val="24"/>
        </w:rPr>
        <w:t>3. The experimental controls are substantially stronger than a standard recall table. Frozen E5 shows that the failure is not created by the adapter, the seven modality modes separate available evidence, the typed-negative analysis shows a sharp contrast between the own reference and visual, audio, or ASR negatives, and the statistical protocol uses five seeds, query-paired bootstrap intervals, randomization tests, McNemar tests, and Holm correction.</w:t>
      </w:r>
    </w:p>
    <w:p>
      <w:pPr>
        <w:keepLines w:val="0"/>
        <w:ind w:firstLine="317"/>
      </w:pPr>
      <w:r>
        <w:rPr>
          <w:rFonts w:ascii="Arial" w:hAnsi="Arial" w:eastAsia="Arial"/>
          <w:b w:val="0"/>
          <w:i w:val="0"/>
          <w:sz w:val="24"/>
        </w:rPr>
        <w:t>4. The presentation is clear and unusually candid. Figures 1 and 2 communicate the diagnostic and construction pipeline effectively, the adapter is correctly framed as a baseline rather than a model contribution, and the limitations explicitly acknowledge model verification, source imbalance, missing large-scale local negatives, the unofficial AudioVLM2Vec reproduction, and the unresolved exact-identity boundary.</w:t>
      </w:r>
    </w:p>
    <w:p>
      <w:pPr>
        <w:spacing w:before="200" w:after="100"/>
      </w:pPr>
      <w:r>
        <w:rPr>
          <w:rFonts w:ascii="Arial" w:hAnsi="Arial" w:eastAsia="Arial"/>
          <w:b/>
          <w:i w:val="0"/>
          <w:sz w:val="24"/>
        </w:rPr>
        <w:t>3. Weaknesses</w:t>
      </w:r>
    </w:p>
    <w:p>
      <w:pPr>
        <w:keepLines w:val="0"/>
        <w:ind w:firstLine="317"/>
      </w:pPr>
      <w:r>
        <w:rPr>
          <w:rFonts w:ascii="Arial" w:hAnsi="Arial" w:eastAsia="Arial"/>
          <w:b w:val="0"/>
          <w:i w:val="0"/>
          <w:sz w:val="24"/>
        </w:rPr>
        <w:t>1. The validity of Full1000 remains the largest threat to the benchmark contribution. The complete test set is automatically curated and model-verified, while only a random 10-query sample from Core150 is described as having been inspected by both authors. The 78 post-freeze repeat reviews achieve 79.5 percent exact decision agreement, which implies approximately 16 decision disagreements in the audited sample, yet the audit is observational and does not change benchmark membership. The paper does not report how many of these disagreements are pass-to-reject changes, which gates changed, or whether the main results are stable after excluding disputed cases. Because the benchmark claim depends on the direction, visual-shortcut, and ASR screens being correct, this is not a minor annotation detail. A two-rater human audit of a statistically meaningful stratified subset, with gate-level labels and agreement, is needed to establish that Full1000 measures the intended relation rather than the preferences of the curation model.</w:t>
      </w:r>
    </w:p>
    <w:p>
      <w:pPr>
        <w:keepLines w:val="0"/>
        <w:ind w:firstLine="317"/>
      </w:pPr>
      <w:r>
        <w:rPr>
          <w:rFonts w:ascii="Arial" w:hAnsi="Arial" w:eastAsia="Arial"/>
          <w:b w:val="0"/>
          <w:i w:val="0"/>
          <w:sz w:val="24"/>
        </w:rPr>
        <w:t>2. The main intervention does not separate exact identity anchoring from semantic edit-direction reasoning. The gallery reference is the exact video given to the query encoder, so a model can favor it through near-identity similarity even if it has no explicit preference for the pre-edit semantic state. The new controls are helpful but do not close this gap. The Full1000 typed negatives are all beaten by the target in 100 percent of comparisons, while the historical local control contains only 36 comparisons over nine queries and is described as unverified. The current evidence therefore supports the paper's more cautious phrase, pre-edit reference dominance under exact source inclusion, but not a stronger claim that the full effect is caused by failed directional reasoning. A perturbation ladder using independently decoded, temporally shifted, cropped, or sibling pre-edit clips would reveal how much of the drop survives after exact identity is removed.</w:t>
      </w:r>
    </w:p>
    <w:p>
      <w:pPr>
        <w:keepLines w:val="0"/>
        <w:ind w:firstLine="317"/>
      </w:pPr>
      <w:r>
        <w:rPr>
          <w:rFonts w:ascii="Arial" w:hAnsi="Arial" w:eastAsia="Arial"/>
          <w:b w:val="0"/>
          <w:i w:val="0"/>
          <w:sz w:val="24"/>
        </w:rPr>
        <w:t>3. The primary gallery becomes almost saturated once the single own reference is masked. Frozen E5 reaches 99.7 percent R@1, adapted E5 reaches 97.3 to 98.3 percent, and ImageBind reaches 98.5 to 99.3 percent. This is strong evidence for the proposed diagnostic, but it also shows that the remaining 1,999 candidates are usually trivial for these systems. Consequently, Full1000 currently behaves more like a controlled pairwise stress test embedded in a large gallery than a broadly difficult retrieval benchmark. The paper acknowledges this role, but the scientific value would be stronger with verified same-source or near-duplicate negatives at benchmark scale, or with a graded reference perturbation protocol that remains challenging after the exact item is removed.</w:t>
      </w:r>
    </w:p>
    <w:p>
      <w:pPr>
        <w:keepLines w:val="0"/>
        <w:ind w:firstLine="317"/>
      </w:pPr>
      <w:r>
        <w:rPr>
          <w:rFonts w:ascii="Arial" w:hAnsi="Arial" w:eastAsia="Arial"/>
          <w:b w:val="0"/>
          <w:i w:val="0"/>
          <w:sz w:val="24"/>
        </w:rPr>
        <w:t>4. The cross-model evidence does not include a contemporary task-specialized audio-visual CVR model. The official AudioVLM2Vec result reported by OmniCVR reaches 77.2 R@1 on its audio-centric split, whereas the submission's Audio-as-Text reproduction reaches 8.5 percent with source and 16.7 percent after source masking on its selected OmniCVR subset. The authors appropriately state that this is not the official checkpoint, but the numerical gap is too large for the reproduction to stand in for that system. E5-Omni is adapted with only 89 directional instances, and ImageBind uses fixed equal-weight arithmetic. The conclusion that reference dominance transfers across the three evaluated representation pipelines is supported, but the paper does not yet establish that a strong task-trained CoVA-style or AudioVLM2Vec-style system exhibits the same failure. This limits the generality and practical significance of the central diagnosis.</w:t>
      </w:r>
    </w:p>
    <w:p>
      <w:pPr>
        <w:spacing w:before="200" w:after="100"/>
      </w:pPr>
      <w:r>
        <w:rPr>
          <w:rFonts w:ascii="Arial" w:hAnsi="Arial" w:eastAsia="Arial"/>
          <w:b/>
          <w:i w:val="0"/>
          <w:sz w:val="24"/>
        </w:rPr>
        <w:t>4. Questions and Suggestions</w:t>
      </w:r>
    </w:p>
    <w:p>
      <w:pPr>
        <w:keepLines w:val="0"/>
        <w:ind w:firstLine="317"/>
      </w:pPr>
      <w:r>
        <w:rPr>
          <w:rFonts w:ascii="Arial" w:hAnsi="Arial" w:eastAsia="Arial"/>
          <w:b w:val="0"/>
          <w:i w:val="0"/>
          <w:sz w:val="24"/>
        </w:rPr>
        <w:t>Questions. Among the 78 repeated reviews, how many original pass decisions became reject decisions, and how are those disagreements distributed across source datasets and verification gates? Do the main E5, ImageBind, and VLM2Vec conclusions change when disagreement cases are excluded? Are the designated typed hard negatives part of the same 2,000-item gallery or scored in a separate diagnostic cache, and how were their identities selected without using retrieval scores? For Audio-as-Text VLM2Vec, why does adding audio increase target-over-reference accuracy from 16.2 percent to 23.2 percent while making the mean target-reference margin more negative, from -0.023 to -0.044? A distributional explanation would help reconcile these metrics.</w:t>
      </w:r>
    </w:p>
    <w:p>
      <w:pPr>
        <w:keepLines w:val="0"/>
        <w:ind w:firstLine="317"/>
      </w:pPr>
      <w:r>
        <w:rPr>
          <w:rFonts w:ascii="Arial" w:hAnsi="Arial" w:eastAsia="Arial"/>
          <w:b w:val="0"/>
          <w:i w:val="0"/>
          <w:sz w:val="24"/>
        </w:rPr>
        <w:t>Suggestions. The highest-priority revision is an independent human audit with two raters and a sensitivity analysis that excludes disputed examples. The second priority is an exact-identity control using transformed or non-identical pre-edit references; this experiment would determine whether the central effect persists as semantic reference dominance. The third priority is either evaluation of an official task-specialized model or a still narrower statement that the finding applies to frozen omni-modal embeddings, a few-shot E5 adapter, ImageBind arithmetic, and the submitted VLM2Vec reproduction. Finally, the release should include the frozen manifest, review-profile counts, pass-to-reject disagreement statistics, per-source results, and commands that regenerate every table from the fixed query and gallery indices.</w:t>
      </w:r>
    </w:p>
    <w:p>
      <w:pPr>
        <w:spacing w:before="200" w:after="100"/>
      </w:pPr>
      <w:r>
        <w:rPr>
          <w:rFonts w:ascii="Arial" w:hAnsi="Arial" w:eastAsia="Arial"/>
          <w:b/>
          <w:i w:val="0"/>
          <w:sz w:val="24"/>
        </w:rPr>
        <w:t>5. References</w:t>
      </w:r>
    </w:p>
    <w:p>
      <w:pPr>
        <w:keepLines w:val="0"/>
        <w:ind w:firstLine="317"/>
      </w:pPr>
      <w:r>
        <w:rPr>
          <w:rFonts w:ascii="Arial" w:hAnsi="Arial" w:eastAsia="Arial"/>
          <w:b w:val="0"/>
          <w:i w:val="0"/>
          <w:sz w:val="24"/>
        </w:rPr>
        <w:t>No additional references beyond those already cited in the submission.</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AAAI Review - Audio-CVR Round 2</dc:title>
  <dc:subject>Independent pre-submission review</dc:subject>
  <dc:creator>Anonymous reviewer</dc:creator>
  <cp:keywords>AAAI, composed video retrieval, Audio-CVR, peer review</cp:keywords>
  <dc:description>generated by python-docx</dc:description>
  <cp:lastModifiedBy/>
  <cp:revision>1</cp:revision>
  <dcterms:created xsi:type="dcterms:W3CDTF">2013-12-23T23:15:00Z</dcterms:created>
  <dcterms:modified xsi:type="dcterms:W3CDTF">2013-12-23T23:15:00Z</dcterms:modified>
  <cp:category/>
</cp:coreProperties>
</file>