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71077" w14:textId="3AD2D66B" w:rsidR="00086753" w:rsidRPr="00B469C9" w:rsidRDefault="00086753" w:rsidP="00086753">
      <w:pPr>
        <w:rPr>
          <w:b/>
          <w:bCs/>
        </w:rPr>
      </w:pPr>
      <w:r w:rsidRPr="00B469C9">
        <w:rPr>
          <w:b/>
          <w:bCs/>
        </w:rPr>
        <w:t xml:space="preserve">ESERCITAZIONE 3: esercizio </w:t>
      </w:r>
      <w:r>
        <w:rPr>
          <w:b/>
          <w:bCs/>
        </w:rPr>
        <w:t>1</w:t>
      </w:r>
    </w:p>
    <w:p w14:paraId="310F758E" w14:textId="77777777" w:rsidR="00086753" w:rsidRDefault="00086753" w:rsidP="00086753">
      <w:r>
        <w:t xml:space="preserve">Lorenzo Aliotta, </w:t>
      </w:r>
      <w:r w:rsidRPr="0003721E">
        <w:t>5655762</w:t>
      </w:r>
    </w:p>
    <w:p w14:paraId="391D97A3" w14:textId="77777777" w:rsidR="00086753" w:rsidRDefault="00086753" w:rsidP="00086753">
      <w:r>
        <w:t xml:space="preserve">Riccardo Dal Seno, </w:t>
      </w:r>
      <w:r w:rsidRPr="0003721E">
        <w:t>5605031</w:t>
      </w:r>
    </w:p>
    <w:p w14:paraId="3F4F13E5" w14:textId="77777777" w:rsidR="00086753" w:rsidRDefault="00086753" w:rsidP="00086753">
      <w:r>
        <w:t>Teresa de Jesus Fernandes, 4190022</w:t>
      </w:r>
    </w:p>
    <w:p w14:paraId="57BAFD33" w14:textId="77777777" w:rsidR="00086753" w:rsidRDefault="00086753" w:rsidP="00086753">
      <w:pPr>
        <w:rPr>
          <w:b/>
          <w:bCs/>
        </w:rPr>
      </w:pPr>
    </w:p>
    <w:p w14:paraId="3B907288" w14:textId="77777777" w:rsidR="00086753" w:rsidRDefault="00086753" w:rsidP="00086753">
      <w:r>
        <w:rPr>
          <w:b/>
          <w:bCs/>
        </w:rPr>
        <w:t>Testo</w:t>
      </w:r>
    </w:p>
    <w:p w14:paraId="66F9811A" w14:textId="6D9344F3" w:rsidR="00086753" w:rsidRDefault="00086753" w:rsidP="00957792">
      <w:r w:rsidRPr="00957792">
        <w:rPr>
          <w:noProof/>
        </w:rPr>
        <w:drawing>
          <wp:inline distT="0" distB="0" distL="0" distR="0" wp14:anchorId="45C919E9" wp14:editId="0BEEFD17">
            <wp:extent cx="6120130" cy="2085340"/>
            <wp:effectExtent l="0" t="0" r="0" b="0"/>
            <wp:docPr id="726986007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86007" name="Immagine 1" descr="Immagine che contiene testo, schermata, Carattere, documen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7515" w14:textId="77777777" w:rsidR="00086753" w:rsidRDefault="00086753" w:rsidP="00086753"/>
    <w:p w14:paraId="4CD237C2" w14:textId="77777777" w:rsidR="00086753" w:rsidRPr="0063545D" w:rsidRDefault="00086753" w:rsidP="00086753">
      <w:pPr>
        <w:rPr>
          <w:b/>
          <w:bCs/>
        </w:rPr>
      </w:pPr>
      <w:r w:rsidRPr="0063545D">
        <w:rPr>
          <w:b/>
          <w:bCs/>
        </w:rPr>
        <w:t>Obiettivo dell'esperimento</w:t>
      </w:r>
    </w:p>
    <w:p w14:paraId="0FD57F9C" w14:textId="365B1474" w:rsidR="00086753" w:rsidRDefault="00086753" w:rsidP="00086753">
      <w:r>
        <w:t>L'obiettivo dell'esercizio è stato quello di analizzare il comportamento degli autovalori di una matrice di Jordan A di dimensione n*n e una matrice perturbata B = A + E, dove E è una matrice con tutti elementi nulli eccetto E(n, 1) = 2</w:t>
      </w:r>
      <w:r w:rsidRPr="00086753">
        <w:rPr>
          <w:vertAlign w:val="superscript"/>
        </w:rPr>
        <w:t>-n</w:t>
      </w:r>
      <w:r>
        <w:t>. Inoltre, lo studio è stato esteso alle matrici A</w:t>
      </w:r>
      <w:r w:rsidRPr="00086753">
        <w:rPr>
          <w:vertAlign w:val="superscript"/>
        </w:rPr>
        <w:t>T</w:t>
      </w:r>
      <w:r>
        <w:t>A e B</w:t>
      </w:r>
      <w:r w:rsidRPr="00086753">
        <w:rPr>
          <w:vertAlign w:val="superscript"/>
        </w:rPr>
        <w:t>T</w:t>
      </w:r>
      <w:r>
        <w:t>B, calcolando e confrontando gli autovalori di queste matrici.</w:t>
      </w:r>
    </w:p>
    <w:p w14:paraId="6A71255A" w14:textId="77777777" w:rsidR="00086753" w:rsidRDefault="00086753" w:rsidP="00086753"/>
    <w:p w14:paraId="194E48A6" w14:textId="119D09BC" w:rsidR="00086753" w:rsidRDefault="00086753" w:rsidP="00086753">
      <w:r w:rsidRPr="0063545D">
        <w:rPr>
          <w:b/>
          <w:bCs/>
        </w:rPr>
        <w:t xml:space="preserve">Descrizione del </w:t>
      </w:r>
      <w:r>
        <w:rPr>
          <w:b/>
          <w:bCs/>
        </w:rPr>
        <w:t>c</w:t>
      </w:r>
      <w:r w:rsidRPr="0063545D">
        <w:rPr>
          <w:b/>
          <w:bCs/>
        </w:rPr>
        <w:t>odice</w:t>
      </w:r>
      <w:r>
        <w:t xml:space="preserve"> (file: ‘esercitazione3_1.m’)</w:t>
      </w:r>
    </w:p>
    <w:p w14:paraId="0C8D496F" w14:textId="025AD4F7" w:rsidR="00086753" w:rsidRDefault="004749FF" w:rsidP="00086753">
      <w:r>
        <w:t xml:space="preserve">Per risolvere i quesiti </w:t>
      </w:r>
      <w:r w:rsidR="00086753">
        <w:t>sono stati eseguiti i seguenti passaggi:</w:t>
      </w:r>
    </w:p>
    <w:p w14:paraId="33086508" w14:textId="77777777" w:rsidR="00086753" w:rsidRDefault="00086753" w:rsidP="00086753"/>
    <w:p w14:paraId="297B3EC3" w14:textId="3C5E8028" w:rsidR="00086753" w:rsidRDefault="00086753" w:rsidP="00E05829">
      <w:pPr>
        <w:pStyle w:val="Paragrafoelenco"/>
        <w:numPr>
          <w:ilvl w:val="0"/>
          <w:numId w:val="1"/>
        </w:numPr>
      </w:pPr>
      <w:r w:rsidRPr="00086753">
        <w:rPr>
          <w:u w:val="single"/>
        </w:rPr>
        <w:t>Calcolo di n</w:t>
      </w:r>
      <w:r w:rsidRPr="00086753">
        <w:rPr>
          <w:u w:val="single"/>
        </w:rPr>
        <w:br/>
      </w:r>
      <w:r>
        <w:t>Il valore di n è stato determinato a partire dalla matricola della studentessa Teresa de Jesus Fernandes, con d0 e d1 rappresentanti l'ultima e la penultima cifra della matricola:</w:t>
      </w:r>
      <w:r>
        <w:br/>
      </w:r>
      <w:r>
        <w:br/>
        <w:t>Matricola: 4190022</w:t>
      </w:r>
      <w:r>
        <w:br/>
        <w:t>d0 = 2</w:t>
      </w:r>
      <w:r>
        <w:br/>
        <w:t>d1 = 2</w:t>
      </w:r>
      <w:r w:rsidR="00E05829">
        <w:br/>
      </w:r>
      <w:r>
        <w:t xml:space="preserve">n = 10 * (d1 + 1) + d0 = 10 </w:t>
      </w:r>
      <w:r w:rsidR="00E05829">
        <w:t>*</w:t>
      </w:r>
      <w:r>
        <w:t xml:space="preserve"> (2 + 1) + 2 = 32</w:t>
      </w:r>
    </w:p>
    <w:p w14:paraId="782389FD" w14:textId="10675B25" w:rsidR="00086753" w:rsidRDefault="00086753" w:rsidP="00086753"/>
    <w:p w14:paraId="625D65A4" w14:textId="2BA44755" w:rsidR="00E05829" w:rsidRPr="00E05829" w:rsidRDefault="00086753" w:rsidP="00E05829">
      <w:pPr>
        <w:pStyle w:val="Paragrafoelenco"/>
        <w:numPr>
          <w:ilvl w:val="0"/>
          <w:numId w:val="1"/>
        </w:numPr>
      </w:pPr>
      <w:r w:rsidRPr="00E05829">
        <w:rPr>
          <w:u w:val="single"/>
        </w:rPr>
        <w:t xml:space="preserve">Creazione delle </w:t>
      </w:r>
      <w:r w:rsidR="00E05829" w:rsidRPr="00E05829">
        <w:rPr>
          <w:u w:val="single"/>
        </w:rPr>
        <w:t>m</w:t>
      </w:r>
      <w:r w:rsidRPr="00E05829">
        <w:rPr>
          <w:u w:val="single"/>
        </w:rPr>
        <w:t>atrici</w:t>
      </w:r>
      <w:r w:rsidR="00E05829">
        <w:rPr>
          <w:u w:val="single"/>
        </w:rPr>
        <w:t xml:space="preserve"> A, B, A</w:t>
      </w:r>
      <w:r w:rsidR="00E05829" w:rsidRPr="00E05829">
        <w:rPr>
          <w:u w:val="single"/>
          <w:vertAlign w:val="superscript"/>
        </w:rPr>
        <w:t>T</w:t>
      </w:r>
      <w:r w:rsidR="00E05829">
        <w:rPr>
          <w:u w:val="single"/>
          <w:vertAlign w:val="superscript"/>
        </w:rPr>
        <w:t xml:space="preserve"> </w:t>
      </w:r>
      <w:r w:rsidR="00E05829">
        <w:rPr>
          <w:u w:val="single"/>
        </w:rPr>
        <w:t>e B</w:t>
      </w:r>
      <w:r w:rsidR="00E05829" w:rsidRPr="00E05829">
        <w:rPr>
          <w:u w:val="single"/>
          <w:vertAlign w:val="superscript"/>
        </w:rPr>
        <w:t>T</w:t>
      </w:r>
      <w:r w:rsidR="00E05829" w:rsidRPr="00E05829">
        <w:rPr>
          <w:u w:val="single"/>
        </w:rPr>
        <w:br/>
      </w:r>
      <w:r w:rsidR="00E05829">
        <w:t>La m</w:t>
      </w:r>
      <w:r>
        <w:t xml:space="preserve">atrice A </w:t>
      </w:r>
      <w:r w:rsidR="00E05829">
        <w:t>è stata c</w:t>
      </w:r>
      <w:r>
        <w:t xml:space="preserve">ostruita come un blocco di Jordan di dimensione </w:t>
      </w:r>
      <w:r w:rsidR="00E05829">
        <w:t>32*32</w:t>
      </w:r>
      <w:r>
        <w:t xml:space="preserve"> con 1 su</w:t>
      </w:r>
      <w:r w:rsidR="00E05829">
        <w:t>lla</w:t>
      </w:r>
      <w:r>
        <w:t xml:space="preserve"> diagonale principale e sulla diagonale superiore</w:t>
      </w:r>
      <w:r w:rsidR="00E05829">
        <w:t xml:space="preserve"> mentre la matrice B è stata ot</w:t>
      </w:r>
      <w:r>
        <w:t>tenuta aggiungendo la matrice E ad A, con E(n, 1) = 2</w:t>
      </w:r>
      <w:r w:rsidR="00E05829" w:rsidRPr="00E05829">
        <w:rPr>
          <w:vertAlign w:val="superscript"/>
        </w:rPr>
        <w:t>-32</w:t>
      </w:r>
    </w:p>
    <w:p w14:paraId="56E4D36E" w14:textId="2E776B53" w:rsidR="00E05829" w:rsidRDefault="00E05829" w:rsidP="00E05829">
      <w:pPr>
        <w:ind w:left="360"/>
      </w:pPr>
      <w:r>
        <w:lastRenderedPageBreak/>
        <w:t>Grazie alle matrici A e B, è quindi possibile calcolare le matrici trasposte A</w:t>
      </w:r>
      <w:r w:rsidRPr="00796191">
        <w:rPr>
          <w:vertAlign w:val="superscript"/>
        </w:rPr>
        <w:t>T</w:t>
      </w:r>
      <w:r>
        <w:t xml:space="preserve"> e B</w:t>
      </w:r>
      <w:r w:rsidRPr="00796191">
        <w:rPr>
          <w:vertAlign w:val="superscript"/>
        </w:rPr>
        <w:t>T</w:t>
      </w:r>
      <w:r w:rsidR="00796191">
        <w:t xml:space="preserve"> grazie alla relativa formula</w:t>
      </w:r>
    </w:p>
    <w:p w14:paraId="6AFB1B76" w14:textId="77777777" w:rsidR="004749FF" w:rsidRDefault="004749FF" w:rsidP="00E05829">
      <w:pPr>
        <w:ind w:left="360"/>
      </w:pPr>
    </w:p>
    <w:p w14:paraId="6986C0FC" w14:textId="6FC121D5" w:rsidR="00E05829" w:rsidRDefault="00E05829" w:rsidP="00E05829">
      <w:pPr>
        <w:pStyle w:val="Paragrafoelenco"/>
        <w:numPr>
          <w:ilvl w:val="0"/>
          <w:numId w:val="1"/>
        </w:numPr>
      </w:pPr>
      <w:r>
        <w:rPr>
          <w:u w:val="single"/>
        </w:rPr>
        <w:t>Determinazione degli a</w:t>
      </w:r>
      <w:r w:rsidR="00086753" w:rsidRPr="00E05829">
        <w:rPr>
          <w:u w:val="single"/>
        </w:rPr>
        <w:t>utovalori d</w:t>
      </w:r>
      <w:r>
        <w:rPr>
          <w:u w:val="single"/>
        </w:rPr>
        <w:t>elle matrici</w:t>
      </w:r>
      <w:r w:rsidRPr="00E05829">
        <w:br/>
      </w:r>
      <w:r>
        <w:t>Si osserva in questo caso che:</w:t>
      </w:r>
    </w:p>
    <w:p w14:paraId="71A664F3" w14:textId="77777777" w:rsidR="00E05829" w:rsidRDefault="00E05829" w:rsidP="00E05829">
      <w:pPr>
        <w:pStyle w:val="Paragrafoelenco"/>
      </w:pPr>
    </w:p>
    <w:p w14:paraId="68BFAD9A" w14:textId="00E42F93" w:rsidR="00E05829" w:rsidRDefault="00E05829" w:rsidP="00086753">
      <w:pPr>
        <w:pStyle w:val="Paragrafoelenco"/>
        <w:numPr>
          <w:ilvl w:val="1"/>
          <w:numId w:val="1"/>
        </w:numPr>
      </w:pPr>
      <w:r>
        <w:t xml:space="preserve">Tutti </w:t>
      </w:r>
      <w:r w:rsidR="00086753">
        <w:t>gli autovalori della matrice A sono pari a 1</w:t>
      </w:r>
      <w:r w:rsidR="0038318B">
        <w:t xml:space="preserve"> come da consegna e, poiché la diagonale superiore è composta di soli 1 e tutte le restanti componenti della matrice sono nulle, si conferma </w:t>
      </w:r>
      <w:r w:rsidR="00086753">
        <w:t>la struttura del blocco di Jordan</w:t>
      </w:r>
    </w:p>
    <w:p w14:paraId="7298D5D2" w14:textId="5B4C4B01" w:rsidR="00086753" w:rsidRDefault="00086753" w:rsidP="00086753">
      <w:pPr>
        <w:pStyle w:val="Paragrafoelenco"/>
        <w:numPr>
          <w:ilvl w:val="1"/>
          <w:numId w:val="1"/>
        </w:numPr>
      </w:pPr>
      <w:r>
        <w:t xml:space="preserve">Gli autovalori di </w:t>
      </w:r>
      <w:r w:rsidR="00E05829">
        <w:t>B risultano</w:t>
      </w:r>
      <w:r>
        <w:t xml:space="preserve"> complessi e distribuiti attorno al valore 1, indicando che la perturbazione introdotta dalla matrice </w:t>
      </w:r>
      <w:r w:rsidR="00E05829">
        <w:t>E</w:t>
      </w:r>
      <w:r>
        <w:t xml:space="preserve"> ha causato una variazione significativa ne</w:t>
      </w:r>
      <w:r w:rsidR="0038318B">
        <w:t>gli autovalori</w:t>
      </w:r>
    </w:p>
    <w:p w14:paraId="6C4FBD51" w14:textId="77777777" w:rsidR="00086753" w:rsidRDefault="00086753" w:rsidP="00086753"/>
    <w:p w14:paraId="0D728185" w14:textId="62B9A072" w:rsidR="00E05829" w:rsidRPr="00676E5A" w:rsidRDefault="00086753" w:rsidP="00E05829">
      <w:pPr>
        <w:rPr>
          <w:u w:val="single"/>
        </w:rPr>
      </w:pPr>
      <w:r w:rsidRPr="0063545D">
        <w:rPr>
          <w:b/>
          <w:bCs/>
        </w:rPr>
        <w:t>Risultati dell'</w:t>
      </w:r>
      <w:r w:rsidR="004749FF">
        <w:rPr>
          <w:b/>
          <w:bCs/>
        </w:rPr>
        <w:t>e</w:t>
      </w:r>
      <w:r w:rsidRPr="0063545D">
        <w:rPr>
          <w:b/>
          <w:bCs/>
        </w:rPr>
        <w:t>sperimento</w:t>
      </w:r>
    </w:p>
    <w:p w14:paraId="0FFDCFD1" w14:textId="0D16D481" w:rsidR="00E05829" w:rsidRDefault="00E05829" w:rsidP="00E05829">
      <w:r>
        <w:t xml:space="preserve">Il confronto degli autovalori </w:t>
      </w:r>
      <w:r w:rsidR="004749FF">
        <w:t>delle matrici A e B evidenzia che, sebbene la perturbazione in termini di norma sia piccola, l'effetto sugli autovalori è piuttosto significativo; in particolare:</w:t>
      </w:r>
    </w:p>
    <w:p w14:paraId="46577398" w14:textId="10E45A17" w:rsidR="00E05829" w:rsidRDefault="00517D30" w:rsidP="00E05829">
      <w:r w:rsidRPr="00517D30">
        <w:drawing>
          <wp:inline distT="0" distB="0" distL="0" distR="0" wp14:anchorId="2360CD58" wp14:editId="5DF5166C">
            <wp:extent cx="6120130" cy="1483360"/>
            <wp:effectExtent l="0" t="0" r="0" b="2540"/>
            <wp:docPr id="1582964104" name="Immagine 1" descr="Immagine che contiene testo, Carattere, schermata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64104" name="Immagine 1" descr="Immagine che contiene testo, Carattere, schermata, algebr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FF92" w14:textId="5625AD56" w:rsidR="004749FF" w:rsidRDefault="004749FF" w:rsidP="004749FF">
      <w:r>
        <w:t>Gli autovalori delle matrici A</w:t>
      </w:r>
      <w:r w:rsidRPr="004749FF">
        <w:rPr>
          <w:vertAlign w:val="superscript"/>
        </w:rPr>
        <w:t>T</w:t>
      </w:r>
      <w:r>
        <w:t>A e B</w:t>
      </w:r>
      <w:r w:rsidRPr="004749FF">
        <w:rPr>
          <w:vertAlign w:val="superscript"/>
        </w:rPr>
        <w:t>T</w:t>
      </w:r>
      <w:r>
        <w:t>B risultano invece molto simili (cioè con una differenza minima), indicando</w:t>
      </w:r>
      <w:r w:rsidRPr="004749FF">
        <w:t xml:space="preserve"> </w:t>
      </w:r>
      <w:r>
        <w:t>che il prodotto trasposto delle matrici è molto meno sensibile alla perturbazione rispetto agli autovalori delle matrici originali. Infatti:</w:t>
      </w:r>
    </w:p>
    <w:p w14:paraId="448CABC6" w14:textId="531D8032" w:rsidR="004749FF" w:rsidRDefault="00517D30" w:rsidP="004749FF">
      <w:r w:rsidRPr="00517D30">
        <w:drawing>
          <wp:inline distT="0" distB="0" distL="0" distR="0" wp14:anchorId="2DCBE6D7" wp14:editId="393E8B5C">
            <wp:extent cx="6120130" cy="1283970"/>
            <wp:effectExtent l="0" t="0" r="0" b="0"/>
            <wp:docPr id="72512687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2687" name="Immagine 1" descr="Immagine che contiene testo, schermata, Caratte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0AA6" w14:textId="2829D101" w:rsidR="004749FF" w:rsidRPr="004142E8" w:rsidRDefault="00517D30" w:rsidP="00086753">
      <w:pPr>
        <w:rPr>
          <w:rFonts w:eastAsiaTheme="minorEastAsia"/>
        </w:rPr>
      </w:pPr>
      <w:r>
        <w:t>Per il teorema di Bauer Fike,</w:t>
      </w:r>
      <w:r w:rsidR="004142E8">
        <w:t xml:space="preserve"> poiché la matrice AtA è diagonalizzabile</w:t>
      </w:r>
      <w:r w:rsidR="00176802">
        <w:t>,</w:t>
      </w:r>
      <w:r w:rsidR="004142E8">
        <w:t xml:space="preserve"> si ha che:</w:t>
      </w:r>
      <w:r w:rsidR="004142E8">
        <w:br/>
      </w:r>
      <m:oMathPara>
        <m:oMath>
          <m:r>
            <w:rPr>
              <w:rFonts w:ascii="Cambria Math" w:hAnsi="Cambria Math"/>
            </w:rPr>
            <m:t xml:space="preserve">∀λ∃μ tale che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λ-μ</m:t>
              </m:r>
            </m:e>
          </m:d>
          <m:r>
            <w:rPr>
              <w:rFonts w:ascii="Cambria Math" w:hAnsi="Cambria Math"/>
            </w:rPr>
            <m:t>&lt; 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w:rPr>
              <w:rFonts w:ascii="Cambria Math" w:hAnsi="Cambria Math"/>
            </w:rPr>
            <m:t>|</m:t>
          </m:r>
        </m:oMath>
      </m:oMathPara>
    </w:p>
    <w:p w14:paraId="1135458B" w14:textId="7E1B7D9E" w:rsidR="004142E8" w:rsidRDefault="004142E8" w:rsidP="00086753">
      <w:pPr>
        <w:rPr>
          <w:rFonts w:eastAsiaTheme="minorEastAsia"/>
        </w:rPr>
      </w:pPr>
      <w:r>
        <w:rPr>
          <w:rFonts w:eastAsiaTheme="minorEastAsia"/>
        </w:rPr>
        <w:t>Dove:</w:t>
      </w:r>
    </w:p>
    <w:p w14:paraId="3CEBF085" w14:textId="77777777" w:rsidR="004142E8" w:rsidRPr="004142E8" w:rsidRDefault="004142E8" w:rsidP="0008675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A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di autovalori λ</m:t>
            </m:r>
          </m:e>
        </m:d>
        <m:r>
          <w:rPr>
            <w:rFonts w:ascii="Cambria Math" w:eastAsiaTheme="minorEastAsia" w:hAnsi="Cambria Math"/>
          </w:rPr>
          <m:t xml:space="preserve"> è la matrice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,</w:t>
      </w:r>
    </w:p>
    <w:p w14:paraId="5EA92402" w14:textId="30A3A198" w:rsidR="004142E8" w:rsidRPr="004142E8" w:rsidRDefault="004142E8" w:rsidP="000867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B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di autovalori μ</m:t>
              </m:r>
            </m:e>
          </m:d>
          <m:r>
            <w:rPr>
              <w:rFonts w:ascii="Cambria Math" w:eastAsiaTheme="minorEastAsia" w:hAnsi="Cambria Math"/>
            </w:rPr>
            <m:t xml:space="preserve"> è la matrice A perturbata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4CA5E053" w14:textId="6069184C" w:rsidR="004142E8" w:rsidRPr="00176802" w:rsidRDefault="004142E8" w:rsidP="00086753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A-B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è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errore assoluto</m:t>
          </m:r>
          <m:r>
            <w:rPr>
              <w:rFonts w:ascii="Cambria Math" w:eastAsiaTheme="minorEastAsia" w:hAnsi="Cambria Math"/>
            </w:rPr>
            <m:t xml:space="preserve"> in input e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λ-μ</m:t>
              </m:r>
            </m:e>
          </m:d>
          <m:r>
            <w:rPr>
              <w:rFonts w:ascii="Cambria Math" w:eastAsiaTheme="minorEastAsia" w:hAnsi="Cambria Math"/>
            </w:rPr>
            <m:t xml:space="preserve"> è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errore assoluto in output</m:t>
          </m:r>
        </m:oMath>
      </m:oMathPara>
    </w:p>
    <w:p w14:paraId="738C6036" w14:textId="65A1B791" w:rsidR="004142E8" w:rsidRDefault="00676E5A" w:rsidP="0008675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Cioè </w:t>
      </w:r>
      <w:r>
        <w:rPr>
          <w:rFonts w:eastAsiaTheme="minorEastAsia"/>
        </w:rPr>
        <w:t>la noma relativa della differenza tra gli autovalori della matrice è inferiormente limitata dal prodotto tra il condizionamento matriciale e la norma della differenza tra le matrici A e B.</w:t>
      </w:r>
    </w:p>
    <w:p w14:paraId="5E9416E5" w14:textId="5639D8E5" w:rsidR="00176802" w:rsidRDefault="00176802" w:rsidP="00176802">
      <w:r>
        <w:rPr>
          <w:rFonts w:eastAsiaTheme="minorEastAsia"/>
        </w:rPr>
        <w:t xml:space="preserve">Il teorema di Bauer Fike applicato alla norma 2 dice che 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λ-μ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A-B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761FFDD1" w14:textId="0442A3C9" w:rsidR="00676E5A" w:rsidRDefault="00676E5A" w:rsidP="00086753">
      <w:pPr>
        <w:rPr>
          <w:rFonts w:eastAsiaTheme="minorEastAsia"/>
        </w:rPr>
      </w:pPr>
      <w:r>
        <w:rPr>
          <w:rFonts w:eastAsiaTheme="minorEastAsia"/>
        </w:rPr>
        <w:t xml:space="preserve">Pertanto, </w:t>
      </w:r>
      <w:r w:rsidRPr="00676E5A">
        <w:rPr>
          <w:rFonts w:eastAsiaTheme="minorEastAsia"/>
        </w:rPr>
        <w:t>la variazione degli autovalori di una matrice diagonalizzabile dovuta a una perturbazione della matrice dipende da due fattori principali</w:t>
      </w:r>
      <w:r>
        <w:rPr>
          <w:rFonts w:eastAsiaTheme="minorEastAsia"/>
        </w:rPr>
        <w:t>:</w:t>
      </w:r>
    </w:p>
    <w:p w14:paraId="3546863E" w14:textId="5932D57A" w:rsidR="00676E5A" w:rsidRDefault="00676E5A" w:rsidP="00676E5A">
      <w:pPr>
        <w:pStyle w:val="Paragrafoelenco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Grandezza della perturbazione</w:t>
      </w:r>
    </w:p>
    <w:p w14:paraId="3226AA20" w14:textId="04EC66B4" w:rsidR="00176802" w:rsidRPr="00676E5A" w:rsidRDefault="00676E5A" w:rsidP="00086753">
      <w:pPr>
        <w:pStyle w:val="Paragrafoelenco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Numero di condizionamento della matrice di autovettori</w:t>
      </w:r>
      <w:r w:rsidRPr="00676E5A">
        <w:rPr>
          <w:rFonts w:eastAsiaTheme="minorEastAsia"/>
        </w:rPr>
        <w:t xml:space="preserve"> </w:t>
      </w:r>
    </w:p>
    <w:p w14:paraId="741C26D5" w14:textId="6FA2027C" w:rsidR="00517D30" w:rsidRDefault="00676E5A" w:rsidP="00086753">
      <w:pPr>
        <w:rPr>
          <w:b/>
          <w:bCs/>
        </w:rPr>
      </w:pPr>
      <w:r>
        <w:rPr>
          <w:rFonts w:eastAsiaTheme="minorEastAsia"/>
        </w:rPr>
        <w:t xml:space="preserve">In questo caso la differenza tra AtA e BtB è molto piccola e la matrice associata agli autovettori è ben condizionata; pertanto, grazie al teorema, possiamo affermare che anche </w:t>
      </w:r>
      <w:r w:rsidRPr="00676E5A">
        <w:rPr>
          <w:rFonts w:eastAsiaTheme="minorEastAsia"/>
        </w:rPr>
        <w:t>la differenza tra gli autovalori delle due matrici è minima</w:t>
      </w:r>
      <w:r w:rsidR="00FA1886">
        <w:rPr>
          <w:rFonts w:eastAsiaTheme="minorEastAsia"/>
        </w:rPr>
        <w:t>.</w:t>
      </w:r>
    </w:p>
    <w:p w14:paraId="6FF1ACB8" w14:textId="77777777" w:rsidR="00517D30" w:rsidRDefault="00517D30" w:rsidP="00086753">
      <w:pPr>
        <w:rPr>
          <w:b/>
          <w:bCs/>
        </w:rPr>
      </w:pPr>
    </w:p>
    <w:p w14:paraId="4865E15C" w14:textId="770AAF3D" w:rsidR="00086753" w:rsidRDefault="00086753" w:rsidP="00086753">
      <w:r w:rsidRPr="005F4A37">
        <w:rPr>
          <w:b/>
          <w:bCs/>
        </w:rPr>
        <w:t>Conclusioni</w:t>
      </w:r>
    </w:p>
    <w:p w14:paraId="69DD760D" w14:textId="31CBDB5C" w:rsidR="00086753" w:rsidRDefault="00086753" w:rsidP="00086753">
      <w:r>
        <w:t>Gli autovalori della matrice perturbata B si discostano notevolmente da quelli di A, nonostante una perturbazione molto piccola in termini di norma. Questo dimostra la sensibilità degli autovalori in presenza di piccole perturbazioni, specialmente in matrici con</w:t>
      </w:r>
      <w:r w:rsidR="004749FF">
        <w:t xml:space="preserve"> una</w:t>
      </w:r>
      <w:r>
        <w:t xml:space="preserve"> struttura simile a </w:t>
      </w:r>
      <w:r w:rsidR="004749FF">
        <w:t xml:space="preserve">quella dei </w:t>
      </w:r>
      <w:r>
        <w:t>blocchi di Jordan.</w:t>
      </w:r>
    </w:p>
    <w:p w14:paraId="4C53F644" w14:textId="6CE143A6" w:rsidR="00086753" w:rsidRDefault="00086753" w:rsidP="00086753">
      <w:r>
        <w:t xml:space="preserve">Le matrici </w:t>
      </w:r>
      <w:r w:rsidR="004749FF">
        <w:t>A</w:t>
      </w:r>
      <w:r w:rsidR="004749FF" w:rsidRPr="004749FF">
        <w:rPr>
          <w:vertAlign w:val="superscript"/>
        </w:rPr>
        <w:t>T</w:t>
      </w:r>
      <w:r w:rsidR="004749FF">
        <w:t>A e B</w:t>
      </w:r>
      <w:r w:rsidR="004749FF" w:rsidRPr="004749FF">
        <w:rPr>
          <w:vertAlign w:val="superscript"/>
        </w:rPr>
        <w:t>T</w:t>
      </w:r>
      <w:r w:rsidR="004749FF">
        <w:t xml:space="preserve">B </w:t>
      </w:r>
      <w:r>
        <w:t xml:space="preserve">mostrano una </w:t>
      </w:r>
      <w:r w:rsidR="004749FF">
        <w:t>“</w:t>
      </w:r>
      <w:r>
        <w:t>robustezza</w:t>
      </w:r>
      <w:r w:rsidR="004749FF">
        <w:t>”</w:t>
      </w:r>
      <w:r>
        <w:t xml:space="preserve"> molto maggiore agli effetti delle perturbazioni rispetto alle matrici originali, con differenze trascurabili negli autovalori.</w:t>
      </w:r>
    </w:p>
    <w:p w14:paraId="5C943C1C" w14:textId="200BF53F" w:rsidR="00423BC6" w:rsidRPr="00957792" w:rsidRDefault="004749FF" w:rsidP="00086753">
      <w:r>
        <w:t xml:space="preserve">Infine, i </w:t>
      </w:r>
      <w:r w:rsidR="00086753">
        <w:t xml:space="preserve">risultati sottolineano l'importanza di considerare attentamente le perturbazioni nelle matrici e come tali perturbazioni possano </w:t>
      </w:r>
      <w:r>
        <w:t xml:space="preserve">successivamente </w:t>
      </w:r>
      <w:r w:rsidR="00086753">
        <w:t>influire sui calcoli numerici, specialmente in applicazioni dove la precisione degli autovalori è cruciale. In particolare, l'analisi degli autovalori delle matrici trasposte può fornire una maggiore stabilità numerica</w:t>
      </w:r>
      <w:r>
        <w:t>, utile in determinati contesti</w:t>
      </w:r>
    </w:p>
    <w:sectPr w:rsidR="00423BC6" w:rsidRPr="009577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44A8E"/>
    <w:multiLevelType w:val="hybridMultilevel"/>
    <w:tmpl w:val="B25274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81052"/>
    <w:multiLevelType w:val="hybridMultilevel"/>
    <w:tmpl w:val="F38265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70465">
    <w:abstractNumId w:val="0"/>
  </w:num>
  <w:num w:numId="2" w16cid:durableId="753164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92"/>
    <w:rsid w:val="00086753"/>
    <w:rsid w:val="00176802"/>
    <w:rsid w:val="002E0A1C"/>
    <w:rsid w:val="0038318B"/>
    <w:rsid w:val="003F64DF"/>
    <w:rsid w:val="004142E8"/>
    <w:rsid w:val="00423BC6"/>
    <w:rsid w:val="0042651A"/>
    <w:rsid w:val="004749FF"/>
    <w:rsid w:val="00517D30"/>
    <w:rsid w:val="005E4F3B"/>
    <w:rsid w:val="00676E5A"/>
    <w:rsid w:val="00796191"/>
    <w:rsid w:val="008C60FA"/>
    <w:rsid w:val="00957792"/>
    <w:rsid w:val="00E04190"/>
    <w:rsid w:val="00E05829"/>
    <w:rsid w:val="00E46910"/>
    <w:rsid w:val="00FA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F36A3"/>
  <w15:chartTrackingRefBased/>
  <w15:docId w15:val="{23E03621-FAB7-4BB7-BC1F-6EDD9838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49FF"/>
  </w:style>
  <w:style w:type="paragraph" w:styleId="Titolo1">
    <w:name w:val="heading 1"/>
    <w:basedOn w:val="Normale"/>
    <w:next w:val="Normale"/>
    <w:link w:val="Titolo1Carattere"/>
    <w:uiPriority w:val="9"/>
    <w:qFormat/>
    <w:rsid w:val="00957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57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577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57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577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57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57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57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57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577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577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577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5779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5779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5779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5779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5779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5779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57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57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57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57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57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5779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5779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5779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577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5779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57792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4142E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de Jesus Fernandes</dc:creator>
  <cp:keywords/>
  <dc:description/>
  <cp:lastModifiedBy>Teresa de Jesus Fernandes</cp:lastModifiedBy>
  <cp:revision>5</cp:revision>
  <dcterms:created xsi:type="dcterms:W3CDTF">2024-08-21T16:45:00Z</dcterms:created>
  <dcterms:modified xsi:type="dcterms:W3CDTF">2024-09-22T17:26:00Z</dcterms:modified>
</cp:coreProperties>
</file>