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240"/>
        <w:jc w:val="center"/>
      </w:pPr>
      <w:r>
        <w:rPr>
          <w:sz w:val="64"/>
          <w:szCs w:val="64"/>
        </w:rPr>
        <w:t xml:space="preserve">🪶</w:t>
      </w:r>
    </w:p>
    <w:p>
      <w:pPr>
        <w:spacing w:before="0" w:after="160"/>
        <w:jc w:val="center"/>
      </w:pPr>
      <w:r>
        <w:rPr>
          <w:rFonts w:ascii="Arial" w:cs="Arial" w:eastAsia="Arial" w:hAnsi="Arial"/>
          <w:b/>
          <w:bCs/>
          <w:color w:val="4F7942"/>
          <w:spacing w:val="40"/>
          <w:sz w:val="52"/>
          <w:szCs w:val="52"/>
        </w:rPr>
        <w:t xml:space="preserve">SEVEN FEATHERS WELLNESS RETREAT</w:t>
      </w:r>
    </w:p>
    <w:p>
      <w:pPr>
        <w:spacing w:before="0" w:after="80"/>
        <w:jc w:val="center"/>
      </w:pPr>
      <w:r>
        <w:rPr>
          <w:rFonts w:ascii="Arial" w:cs="Arial" w:eastAsia="Arial" w:hAnsi="Arial"/>
          <w:color w:val="B8860B"/>
          <w:sz w:val="28"/>
          <w:szCs w:val="28"/>
        </w:rPr>
        <w:t xml:space="preserve">Investment Opportunity</w:t>
      </w:r>
    </w:p>
    <w:p>
      <w:pPr>
        <w:spacing w:before="0" w:after="480"/>
        <w:jc w:val="center"/>
      </w:pPr>
      <w:r>
        <w:rPr>
          <w:rFonts w:ascii="Arial" w:cs="Arial" w:eastAsia="Arial" w:hAnsi="Arial"/>
          <w:color w:val="888888"/>
          <w:sz w:val="20"/>
          <w:szCs w:val="20"/>
        </w:rPr>
        <w:t xml:space="preserve">Lansing, NC  ·  Ashe County  ·  Blue Ridge Mountains</w:t>
      </w:r>
    </w:p>
    <w:p>
      <w:pPr>
        <w:pBdr>
          <w:bottom w:val="single" w:color="4F7942" w:sz="6" w:space="1"/>
        </w:pBdr>
        <w:spacing w:before="0" w:after="2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EFF5EE" w:val="clear"/>
            <w:tcMar>
              <w:top w:type="dxa" w:w="80"/>
              <w:left w:type="dxa" w:w="120"/>
              <w:bottom w:type="dxa" w:w="80"/>
              <w:right w:type="dxa" w:w="120"/>
            </w:tcMar>
          </w:tcPr>
          <w:p>
            <w:r>
              <w:rPr>
                <w:rFonts w:ascii="Arial" w:cs="Arial" w:eastAsia="Arial" w:hAnsi="Arial"/>
                <w:b/>
                <w:bCs/>
                <w:color w:val="3A4A5C"/>
                <w:sz w:val="20"/>
                <w:szCs w:val="20"/>
              </w:rPr>
              <w:t xml:space="preserve">Property</w:t>
            </w:r>
          </w:p>
        </w:tc>
        <w:tc>
          <w:tcPr>
            <w:tcW w:type="dxa" w:w="6760"/>
            <w:tcBorders>
              <w:top w:val="none" w:color="FFFFFF" w:sz="0"/>
              <w:left w:val="none" w:color="FFFFFF" w:sz="0"/>
              <w:bottom w:val="none" w:color="FFFFFF" w:sz="0"/>
              <w:right w:val="none" w:color="FFFFFF" w:sz="0"/>
            </w:tcBorders>
            <w:shd w:fill="EFF5EE" w:val="clear"/>
            <w:tcMar>
              <w:top w:type="dxa" w:w="80"/>
              <w:left w:type="dxa" w:w="120"/>
              <w:bottom w:type="dxa" w:w="80"/>
              <w:right w:type="dxa" w:w="120"/>
            </w:tcMar>
          </w:tcPr>
          <w:p>
            <w:r>
              <w:rPr>
                <w:rFonts w:ascii="Arial" w:cs="Arial" w:eastAsia="Arial" w:hAnsi="Arial"/>
                <w:color w:val="444444"/>
                <w:sz w:val="20"/>
                <w:szCs w:val="20"/>
              </w:rPr>
              <w:t xml:space="preserve">9.62 acres · Lansing, NC (Ashe County)</w:t>
            </w:r>
          </w:p>
        </w:tc>
      </w:tr>
      <w:tr>
        <w:tc>
          <w:tcPr>
            <w:tcW w:type="dxa" w:w="2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3A4A5C"/>
                <w:sz w:val="20"/>
                <w:szCs w:val="20"/>
              </w:rPr>
              <w:t xml:space="preserve">Current Status</w:t>
            </w:r>
          </w:p>
        </w:tc>
        <w:tc>
          <w:tcPr>
            <w:tcW w:type="dxa" w:w="67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20"/>
                <w:szCs w:val="20"/>
              </w:rPr>
              <w:t xml:space="preserve">Operating short-term vacation rental · 4.97-star Airbnb rating</w:t>
            </w:r>
          </w:p>
        </w:tc>
      </w:tr>
      <w:tr>
        <w:tc>
          <w:tcPr>
            <w:tcW w:type="dxa" w:w="2600"/>
            <w:tcBorders>
              <w:top w:val="none" w:color="FFFFFF" w:sz="0"/>
              <w:left w:val="none" w:color="FFFFFF" w:sz="0"/>
              <w:bottom w:val="none" w:color="FFFFFF" w:sz="0"/>
              <w:right w:val="none" w:color="FFFFFF" w:sz="0"/>
            </w:tcBorders>
            <w:shd w:fill="EFF5EE" w:val="clear"/>
            <w:tcMar>
              <w:top w:type="dxa" w:w="80"/>
              <w:left w:type="dxa" w:w="120"/>
              <w:bottom w:type="dxa" w:w="80"/>
              <w:right w:type="dxa" w:w="120"/>
            </w:tcMar>
          </w:tcPr>
          <w:p>
            <w:r>
              <w:rPr>
                <w:rFonts w:ascii="Arial" w:cs="Arial" w:eastAsia="Arial" w:hAnsi="Arial"/>
                <w:b/>
                <w:bCs/>
                <w:color w:val="3A4A5C"/>
                <w:sz w:val="20"/>
                <w:szCs w:val="20"/>
              </w:rPr>
              <w:t xml:space="preserve">Investment Ask</w:t>
            </w:r>
          </w:p>
        </w:tc>
        <w:tc>
          <w:tcPr>
            <w:tcW w:type="dxa" w:w="6760"/>
            <w:tcBorders>
              <w:top w:val="none" w:color="FFFFFF" w:sz="0"/>
              <w:left w:val="none" w:color="FFFFFF" w:sz="0"/>
              <w:bottom w:val="none" w:color="FFFFFF" w:sz="0"/>
              <w:right w:val="none" w:color="FFFFFF" w:sz="0"/>
            </w:tcBorders>
            <w:shd w:fill="EFF5EE" w:val="clear"/>
            <w:tcMar>
              <w:top w:type="dxa" w:w="80"/>
              <w:left w:type="dxa" w:w="120"/>
              <w:bottom w:type="dxa" w:w="80"/>
              <w:right w:type="dxa" w:w="120"/>
            </w:tcMar>
          </w:tcPr>
          <w:p>
            <w:r>
              <w:rPr>
                <w:rFonts w:ascii="Arial" w:cs="Arial" w:eastAsia="Arial" w:hAnsi="Arial"/>
                <w:color w:val="444444"/>
                <w:sz w:val="20"/>
                <w:szCs w:val="20"/>
              </w:rPr>
              <w:t xml:space="preserve">$125,000 – $150,000</w:t>
            </w:r>
          </w:p>
        </w:tc>
      </w:tr>
      <w:tr>
        <w:tc>
          <w:tcPr>
            <w:tcW w:type="dxa" w:w="2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3A4A5C"/>
                <w:sz w:val="20"/>
                <w:szCs w:val="20"/>
              </w:rPr>
              <w:t xml:space="preserve">Year 3 Revenue</w:t>
            </w:r>
          </w:p>
        </w:tc>
        <w:tc>
          <w:tcPr>
            <w:tcW w:type="dxa" w:w="67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20"/>
                <w:szCs w:val="20"/>
              </w:rPr>
              <w:t xml:space="preserve">$186,000 – $244,000 (projected)</w:t>
            </w:r>
          </w:p>
        </w:tc>
      </w:tr>
      <w:tr>
        <w:tc>
          <w:tcPr>
            <w:tcW w:type="dxa" w:w="2600"/>
            <w:tcBorders>
              <w:top w:val="none" w:color="FFFFFF" w:sz="0"/>
              <w:left w:val="none" w:color="FFFFFF" w:sz="0"/>
              <w:bottom w:val="none" w:color="FFFFFF" w:sz="0"/>
              <w:right w:val="none" w:color="FFFFFF" w:sz="0"/>
            </w:tcBorders>
            <w:shd w:fill="EFF5EE" w:val="clear"/>
            <w:tcMar>
              <w:top w:type="dxa" w:w="80"/>
              <w:left w:type="dxa" w:w="120"/>
              <w:bottom w:type="dxa" w:w="80"/>
              <w:right w:type="dxa" w:w="120"/>
            </w:tcMar>
          </w:tcPr>
          <w:p>
            <w:r>
              <w:rPr>
                <w:rFonts w:ascii="Arial" w:cs="Arial" w:eastAsia="Arial" w:hAnsi="Arial"/>
                <w:b/>
                <w:bCs/>
                <w:color w:val="3A4A5C"/>
                <w:sz w:val="20"/>
                <w:szCs w:val="20"/>
              </w:rPr>
              <w:t xml:space="preserve">Structure</w:t>
            </w:r>
          </w:p>
        </w:tc>
        <w:tc>
          <w:tcPr>
            <w:tcW w:type="dxa" w:w="6760"/>
            <w:tcBorders>
              <w:top w:val="none" w:color="FFFFFF" w:sz="0"/>
              <w:left w:val="none" w:color="FFFFFF" w:sz="0"/>
              <w:bottom w:val="none" w:color="FFFFFF" w:sz="0"/>
              <w:right w:val="none" w:color="FFFFFF" w:sz="0"/>
            </w:tcBorders>
            <w:shd w:fill="EFF5EE" w:val="clear"/>
            <w:tcMar>
              <w:top w:type="dxa" w:w="80"/>
              <w:left w:type="dxa" w:w="120"/>
              <w:bottom w:type="dxa" w:w="80"/>
              <w:right w:type="dxa" w:w="120"/>
            </w:tcMar>
          </w:tcPr>
          <w:p>
            <w:r>
              <w:rPr>
                <w:rFonts w:ascii="Arial" w:cs="Arial" w:eastAsia="Arial" w:hAnsi="Arial"/>
                <w:color w:val="444444"/>
                <w:sz w:val="20"/>
                <w:szCs w:val="20"/>
              </w:rPr>
              <w:t xml:space="preserve">Equity, revenue share, loan, or hybrid — open to discussion</w:t>
            </w:r>
          </w:p>
        </w:tc>
      </w:tr>
      <w:tr>
        <w:tc>
          <w:tcPr>
            <w:tcW w:type="dxa" w:w="2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3A4A5C"/>
                <w:sz w:val="20"/>
                <w:szCs w:val="20"/>
              </w:rPr>
              <w:t xml:space="preserve">Contact</w:t>
            </w:r>
          </w:p>
        </w:tc>
        <w:tc>
          <w:tcPr>
            <w:tcW w:type="dxa" w:w="67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20"/>
                <w:szCs w:val="20"/>
              </w:rPr>
              <w:t xml:space="preserve">7featherswellness@proton.me  ·  336-267-6897</w:t>
            </w:r>
          </w:p>
        </w:tc>
      </w:tr>
    </w:tbl>
    <w:p>
      <w:pPr>
        <w:spacing w:before="240" w:after="0"/>
      </w:pPr>
      <w:r>
        <w:t xml:space="preserve"/>
      </w:r>
    </w:p>
    <w:p>
      <w:pPr>
        <w:spacing w:before="480" w:after="0"/>
        <w:jc w:val="center"/>
      </w:pPr>
      <w:r>
        <w:rPr>
          <w:rFonts w:ascii="Arial" w:cs="Arial" w:eastAsia="Arial" w:hAnsi="Arial"/>
          <w:b/>
          <w:bCs/>
          <w:color w:val="999999"/>
          <w:spacing w:val="80"/>
          <w:sz w:val="18"/>
          <w:szCs w:val="18"/>
        </w:rPr>
        <w:t xml:space="preserve">CONFIDENTIAL</w:t>
      </w:r>
    </w:p>
    <w:p>
      <w:r>
        <w:br w:type="page"/>
      </w:r>
    </w:p>
    <w:p>
      <w:pPr>
        <w:spacing w:before="360" w:after="80"/>
      </w:pPr>
      <w:r>
        <w:rPr>
          <w:rFonts w:ascii="Arial" w:cs="Arial" w:eastAsia="Arial" w:hAnsi="Arial"/>
          <w:b/>
          <w:bCs/>
          <w:color w:val="B8860B"/>
          <w:spacing w:val="60"/>
          <w:sz w:val="18"/>
          <w:szCs w:val="18"/>
        </w:rPr>
        <w:t xml:space="preserve">EXECUTIVE SUMMARY</w:t>
      </w:r>
    </w:p>
    <w:p>
      <w:pPr>
        <w:pStyle w:val="Heading1"/>
        <w:spacing w:before="0" w:after="160"/>
      </w:pPr>
      <w:r>
        <w:rPr>
          <w:rFonts w:ascii="Arial" w:cs="Arial" w:eastAsia="Arial" w:hAnsi="Arial"/>
          <w:b/>
          <w:bCs/>
          <w:color w:val="3A4A5C"/>
          <w:sz w:val="40"/>
          <w:szCs w:val="40"/>
        </w:rPr>
        <w:t xml:space="preserve">The Opportunity</w:t>
      </w:r>
    </w:p>
    <w:p>
      <w:pPr>
        <w:pBdr>
          <w:bottom w:val="single" w:color="4F7942" w:sz="6" w:space="1"/>
        </w:pBdr>
        <w:spacing w:before="0" w:after="240"/>
      </w:pPr>
      <w:r>
        <w:t xml:space="preserve"/>
      </w:r>
    </w:p>
    <w:p>
      <w:pPr>
        <w:spacing w:before="0" w:after="160"/>
        <w:jc w:val="both"/>
      </w:pPr>
      <w:r>
        <w:rPr>
          <w:rFonts w:ascii="Arial" w:cs="Arial" w:eastAsia="Arial" w:hAnsi="Arial"/>
          <w:color w:val="444444"/>
          <w:sz w:val="22"/>
          <w:szCs w:val="22"/>
        </w:rPr>
        <w:t xml:space="preserve">Seven Feathers Wellness Retreat is a 9.62-acre property in Lansing, NC (Ashe County), currently operating as a short-term vacation rental with a 4.97-star Airbnb rating. The property is positioned for phased expansion into a wellness sanctuary offering nature immersion, retreat programming, and holistic healing experiences — while continuing to generate income throughout the transition.</w:t>
      </w:r>
    </w:p>
    <w:p>
      <w:pPr>
        <w:spacing w:before="0" w:after="160"/>
        <w:jc w:val="both"/>
      </w:pPr>
      <w:r>
        <w:rPr>
          <w:rFonts w:ascii="Arial" w:cs="Arial" w:eastAsia="Arial" w:hAnsi="Arial"/>
          <w:color w:val="444444"/>
          <w:sz w:val="22"/>
          <w:szCs w:val="22"/>
        </w:rPr>
        <w:t xml:space="preserve">The investment thesis is straightforward: optimize and expand an existing, income-producing rental property into a multi-revenue wellness destination in one of the fastest-growing sectors of the tourism economy. Each phase generates revenue before the next requires significant capital — limiting downside exposure and building on proven demand.</w:t>
      </w:r>
    </w:p>
    <w:p>
      <w:pPr>
        <w:spacing w:before="120" w:after="0"/>
      </w:pPr>
      <w:r>
        <w:t xml:space="preserve"/>
      </w:r>
    </w:p>
    <w:p>
      <w:pPr>
        <w:pBdr>
          <w:left w:val="single" w:color="B8860B" w:sz="12" w:space="12"/>
        </w:pBdr>
        <w:spacing w:before="240" w:after="240"/>
        <w:ind w:left="480"/>
      </w:pPr>
      <w:r>
        <w:rPr>
          <w:rFonts w:ascii="Arial" w:cs="Arial" w:eastAsia="Arial" w:hAnsi="Arial"/>
          <w:color w:val="4F7942"/>
          <w:sz w:val="24"/>
          <w:szCs w:val="24"/>
        </w:rPr>
        <w:t xml:space="preserve">The property generated real revenue with minimal effort. Under full management, these numbers represent a starting point — not a ceiling.</w:t>
      </w:r>
    </w:p>
    <w:p>
      <w:pPr>
        <w:spacing w:before="120" w:after="0"/>
      </w:pPr>
      <w:r>
        <w:t xml:space="preserve"/>
      </w:r>
    </w:p>
    <w:p>
      <w:pPr>
        <w:pStyle w:val="Heading2"/>
        <w:spacing w:before="320" w:after="120"/>
      </w:pPr>
      <w:r>
        <w:rPr>
          <w:rFonts w:ascii="Arial" w:cs="Arial" w:eastAsia="Arial" w:hAnsi="Arial"/>
          <w:b/>
          <w:bCs/>
          <w:color w:val="3A4A5C"/>
          <w:sz w:val="28"/>
          <w:szCs w:val="28"/>
        </w:rPr>
        <w:t xml:space="preserve">Why Wellness, Why Now</w:t>
      </w:r>
    </w:p>
    <w:p>
      <w:pPr>
        <w:spacing w:before="0" w:after="160"/>
        <w:jc w:val="both"/>
      </w:pPr>
      <w:r>
        <w:rPr>
          <w:rFonts w:ascii="Arial" w:cs="Arial" w:eastAsia="Arial" w:hAnsi="Arial"/>
          <w:color w:val="444444"/>
          <w:sz w:val="22"/>
          <w:szCs w:val="22"/>
        </w:rPr>
        <w:t xml:space="preserve">The global wellness tourism market was valued at approximately $950 billion in 2024 and is projected to reach $1.7–2.0 trillion by 2030, growing at 8–10% annually (Straits Research, Arizton, Precedence Research). North America accounts for 35–42% of the global market.</w:t>
      </w:r>
    </w:p>
    <w:p>
      <w:pPr>
        <w:spacing w:before="0" w:after="160"/>
        <w:jc w:val="both"/>
      </w:pPr>
      <w:r>
        <w:rPr>
          <w:rFonts w:ascii="Arial" w:cs="Arial" w:eastAsia="Arial" w:hAnsi="Arial"/>
          <w:color w:val="444444"/>
          <w:sz w:val="22"/>
          <w:szCs w:val="22"/>
        </w:rPr>
        <w:t xml:space="preserve">Demand for intimate, nature-based, owner-operated sanctuaries is expanding — and the supply of authentic ones in the Blue Ridge region remains limited. Ashe County offers what Asheville and Boone cannot: genuine seclusion, open land, and lower operating costs, allowing competitive pricing with healthy margins.</w:t>
      </w:r>
    </w:p>
    <w:p>
      <w:pPr>
        <w:spacing w:before="0" w:after="120"/>
      </w:pPr>
      <w:r>
        <w:t xml:space="preserve"/>
      </w:r>
    </w:p>
    <w:p>
      <w:pPr>
        <w:pStyle w:val="Heading2"/>
        <w:spacing w:before="320" w:after="120"/>
      </w:pPr>
      <w:r>
        <w:rPr>
          <w:rFonts w:ascii="Arial" w:cs="Arial" w:eastAsia="Arial" w:hAnsi="Arial"/>
          <w:b/>
          <w:bCs/>
          <w:color w:val="3A4A5C"/>
          <w:sz w:val="28"/>
          <w:szCs w:val="28"/>
        </w:rPr>
        <w:t xml:space="preserve">Current Revenue Performance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EFF5EE" w:val="clear"/>
            <w:tcMar>
              <w:top w:type="dxa" w:w="80"/>
              <w:left w:type="dxa" w:w="120"/>
              <w:bottom w:type="dxa" w:w="80"/>
              <w:right w:type="dxa" w:w="120"/>
            </w:tcMar>
          </w:tcPr>
          <w:p>
            <w:r>
              <w:rPr>
                <w:rFonts w:ascii="Arial" w:cs="Arial" w:eastAsia="Arial" w:hAnsi="Arial"/>
                <w:b/>
                <w:bCs/>
                <w:color w:val="3A4A5C"/>
                <w:sz w:val="20"/>
                <w:szCs w:val="20"/>
              </w:rPr>
              <w:t xml:space="preserve">2021 Revenue</w:t>
            </w:r>
          </w:p>
        </w:tc>
        <w:tc>
          <w:tcPr>
            <w:tcW w:type="dxa" w:w="6160"/>
            <w:tcBorders>
              <w:top w:val="none" w:color="FFFFFF" w:sz="0"/>
              <w:left w:val="none" w:color="FFFFFF" w:sz="0"/>
              <w:bottom w:val="none" w:color="FFFFFF" w:sz="0"/>
              <w:right w:val="none" w:color="FFFFFF" w:sz="0"/>
            </w:tcBorders>
            <w:shd w:fill="EFF5EE" w:val="clear"/>
            <w:tcMar>
              <w:top w:type="dxa" w:w="80"/>
              <w:left w:type="dxa" w:w="120"/>
              <w:bottom w:type="dxa" w:w="80"/>
              <w:right w:type="dxa" w:w="120"/>
            </w:tcMar>
          </w:tcPr>
          <w:p>
            <w:r>
              <w:rPr>
                <w:rFonts w:ascii="Arial" w:cs="Arial" w:eastAsia="Arial" w:hAnsi="Arial"/>
                <w:color w:val="444444"/>
                <w:sz w:val="20"/>
                <w:szCs w:val="20"/>
              </w:rPr>
              <w:t xml:space="preserve">$6,744  (casual rental, first year)</w:t>
            </w:r>
          </w:p>
        </w:tc>
      </w:tr>
      <w:tr>
        <w:tc>
          <w:tcPr>
            <w:tcW w:type="dxa" w:w="3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3A4A5C"/>
                <w:sz w:val="20"/>
                <w:szCs w:val="20"/>
              </w:rPr>
              <w:t xml:space="preserve">2022 Revenue</w:t>
            </w:r>
          </w:p>
        </w:tc>
        <w:tc>
          <w:tcPr>
            <w:tcW w:type="dxa" w:w="6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20"/>
                <w:szCs w:val="20"/>
              </w:rPr>
              <w:t xml:space="preserve">$14,487  (casual rental, peak year)</w:t>
            </w:r>
          </w:p>
        </w:tc>
      </w:tr>
      <w:tr>
        <w:tc>
          <w:tcPr>
            <w:tcW w:type="dxa" w:w="3200"/>
            <w:tcBorders>
              <w:top w:val="none" w:color="FFFFFF" w:sz="0"/>
              <w:left w:val="none" w:color="FFFFFF" w:sz="0"/>
              <w:bottom w:val="none" w:color="FFFFFF" w:sz="0"/>
              <w:right w:val="none" w:color="FFFFFF" w:sz="0"/>
            </w:tcBorders>
            <w:shd w:fill="EFF5EE" w:val="clear"/>
            <w:tcMar>
              <w:top w:type="dxa" w:w="80"/>
              <w:left w:type="dxa" w:w="120"/>
              <w:bottom w:type="dxa" w:w="80"/>
              <w:right w:type="dxa" w:w="120"/>
            </w:tcMar>
          </w:tcPr>
          <w:p>
            <w:r>
              <w:rPr>
                <w:rFonts w:ascii="Arial" w:cs="Arial" w:eastAsia="Arial" w:hAnsi="Arial"/>
                <w:b/>
                <w:bCs/>
                <w:color w:val="3A4A5C"/>
                <w:sz w:val="20"/>
                <w:szCs w:val="20"/>
              </w:rPr>
              <w:t xml:space="preserve">2023 Revenue</w:t>
            </w:r>
          </w:p>
        </w:tc>
        <w:tc>
          <w:tcPr>
            <w:tcW w:type="dxa" w:w="6160"/>
            <w:tcBorders>
              <w:top w:val="none" w:color="FFFFFF" w:sz="0"/>
              <w:left w:val="none" w:color="FFFFFF" w:sz="0"/>
              <w:bottom w:val="none" w:color="FFFFFF" w:sz="0"/>
              <w:right w:val="none" w:color="FFFFFF" w:sz="0"/>
            </w:tcBorders>
            <w:shd w:fill="EFF5EE" w:val="clear"/>
            <w:tcMar>
              <w:top w:type="dxa" w:w="80"/>
              <w:left w:type="dxa" w:w="120"/>
              <w:bottom w:type="dxa" w:w="80"/>
              <w:right w:type="dxa" w:w="120"/>
            </w:tcMar>
          </w:tcPr>
          <w:p>
            <w:r>
              <w:rPr>
                <w:rFonts w:ascii="Arial" w:cs="Arial" w:eastAsia="Arial" w:hAnsi="Arial"/>
                <w:color w:val="444444"/>
                <w:sz w:val="20"/>
                <w:szCs w:val="20"/>
              </w:rPr>
              <w:t xml:space="preserve">$6,949  (casual rental)</w:t>
            </w:r>
          </w:p>
        </w:tc>
      </w:tr>
      <w:tr>
        <w:tc>
          <w:tcPr>
            <w:tcW w:type="dxa" w:w="3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3A4A5C"/>
                <w:sz w:val="20"/>
                <w:szCs w:val="20"/>
              </w:rPr>
              <w:t xml:space="preserve">2024 Revenue</w:t>
            </w:r>
          </w:p>
        </w:tc>
        <w:tc>
          <w:tcPr>
            <w:tcW w:type="dxa" w:w="6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20"/>
                <w:szCs w:val="20"/>
              </w:rPr>
              <w:t xml:space="preserve">$2,691  (Hurricane Helene + property unlisted)</w:t>
            </w:r>
          </w:p>
        </w:tc>
      </w:tr>
      <w:tr>
        <w:tc>
          <w:tcPr>
            <w:tcW w:type="dxa" w:w="3200"/>
            <w:tcBorders>
              <w:top w:val="none" w:color="FFFFFF" w:sz="0"/>
              <w:left w:val="none" w:color="FFFFFF" w:sz="0"/>
              <w:bottom w:val="none" w:color="FFFFFF" w:sz="0"/>
              <w:right w:val="none" w:color="FFFFFF" w:sz="0"/>
            </w:tcBorders>
            <w:shd w:fill="EFF5EE" w:val="clear"/>
            <w:tcMar>
              <w:top w:type="dxa" w:w="80"/>
              <w:left w:type="dxa" w:w="120"/>
              <w:bottom w:type="dxa" w:w="80"/>
              <w:right w:type="dxa" w:w="120"/>
            </w:tcMar>
          </w:tcPr>
          <w:p>
            <w:r>
              <w:rPr>
                <w:rFonts w:ascii="Arial" w:cs="Arial" w:eastAsia="Arial" w:hAnsi="Arial"/>
                <w:b/>
                <w:bCs/>
                <w:color w:val="3A4A5C"/>
                <w:sz w:val="20"/>
                <w:szCs w:val="20"/>
              </w:rPr>
              <w:t xml:space="preserve">2025 Revenue</w:t>
            </w:r>
          </w:p>
        </w:tc>
        <w:tc>
          <w:tcPr>
            <w:tcW w:type="dxa" w:w="6160"/>
            <w:tcBorders>
              <w:top w:val="none" w:color="FFFFFF" w:sz="0"/>
              <w:left w:val="none" w:color="FFFFFF" w:sz="0"/>
              <w:bottom w:val="none" w:color="FFFFFF" w:sz="0"/>
              <w:right w:val="none" w:color="FFFFFF" w:sz="0"/>
            </w:tcBorders>
            <w:shd w:fill="EFF5EE" w:val="clear"/>
            <w:tcMar>
              <w:top w:type="dxa" w:w="80"/>
              <w:left w:type="dxa" w:w="120"/>
              <w:bottom w:type="dxa" w:w="80"/>
              <w:right w:type="dxa" w:w="120"/>
            </w:tcMar>
          </w:tcPr>
          <w:p>
            <w:r>
              <w:rPr>
                <w:rFonts w:ascii="Arial" w:cs="Arial" w:eastAsia="Arial" w:hAnsi="Arial"/>
                <w:color w:val="444444"/>
                <w:sz w:val="20"/>
                <w:szCs w:val="20"/>
              </w:rPr>
              <w:t xml:space="preserve">$10,290 gross / $9,981 net — partial year, active management</w:t>
            </w:r>
          </w:p>
        </w:tc>
      </w:tr>
      <w:tr>
        <w:tc>
          <w:tcPr>
            <w:tcW w:type="dxa" w:w="3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3A4A5C"/>
                <w:sz w:val="20"/>
                <w:szCs w:val="20"/>
              </w:rPr>
              <w:t xml:space="preserve">Airbnb Rating</w:t>
            </w:r>
          </w:p>
        </w:tc>
        <w:tc>
          <w:tcPr>
            <w:tcW w:type="dxa" w:w="6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20"/>
                <w:szCs w:val="20"/>
              </w:rPr>
              <w:t xml:space="preserve">4.97 out of 5.0 stars</w:t>
            </w:r>
          </w:p>
        </w:tc>
      </w:tr>
      <w:tr>
        <w:tc>
          <w:tcPr>
            <w:tcW w:type="dxa" w:w="3200"/>
            <w:tcBorders>
              <w:top w:val="none" w:color="FFFFFF" w:sz="0"/>
              <w:left w:val="none" w:color="FFFFFF" w:sz="0"/>
              <w:bottom w:val="none" w:color="FFFFFF" w:sz="0"/>
              <w:right w:val="none" w:color="FFFFFF" w:sz="0"/>
            </w:tcBorders>
            <w:shd w:fill="EFF5EE" w:val="clear"/>
            <w:tcMar>
              <w:top w:type="dxa" w:w="80"/>
              <w:left w:type="dxa" w:w="120"/>
              <w:bottom w:type="dxa" w:w="80"/>
              <w:right w:type="dxa" w:w="120"/>
            </w:tcMar>
          </w:tcPr>
          <w:p>
            <w:r>
              <w:rPr>
                <w:rFonts w:ascii="Arial" w:cs="Arial" w:eastAsia="Arial" w:hAnsi="Arial"/>
                <w:b/>
                <w:bCs/>
                <w:color w:val="3A4A5C"/>
                <w:sz w:val="20"/>
                <w:szCs w:val="20"/>
              </w:rPr>
              <w:t xml:space="preserve">Slow Season</w:t>
            </w:r>
          </w:p>
        </w:tc>
        <w:tc>
          <w:tcPr>
            <w:tcW w:type="dxa" w:w="6160"/>
            <w:tcBorders>
              <w:top w:val="none" w:color="FFFFFF" w:sz="0"/>
              <w:left w:val="none" w:color="FFFFFF" w:sz="0"/>
              <w:bottom w:val="none" w:color="FFFFFF" w:sz="0"/>
              <w:right w:val="none" w:color="FFFFFF" w:sz="0"/>
            </w:tcBorders>
            <w:shd w:fill="EFF5EE" w:val="clear"/>
            <w:tcMar>
              <w:top w:type="dxa" w:w="80"/>
              <w:left w:type="dxa" w:w="120"/>
              <w:bottom w:type="dxa" w:w="80"/>
              <w:right w:type="dxa" w:w="120"/>
            </w:tcMar>
          </w:tcPr>
          <w:p>
            <w:r>
              <w:rPr>
                <w:rFonts w:ascii="Arial" w:cs="Arial" w:eastAsia="Arial" w:hAnsi="Arial"/>
                <w:color w:val="444444"/>
                <w:sz w:val="20"/>
                <w:szCs w:val="20"/>
              </w:rPr>
              <w:t xml:space="preserve">10 reservations Nov–Feb, demonstrating year-round demand</w:t>
            </w:r>
          </w:p>
        </w:tc>
      </w:tr>
      <w:tr>
        <w:tc>
          <w:tcPr>
            <w:tcW w:type="dxa" w:w="3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3A4A5C"/>
                <w:sz w:val="20"/>
                <w:szCs w:val="20"/>
              </w:rPr>
              <w:t xml:space="preserve">Current Rates</w:t>
            </w:r>
          </w:p>
        </w:tc>
        <w:tc>
          <w:tcPr>
            <w:tcW w:type="dxa" w:w="6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20"/>
                <w:szCs w:val="20"/>
              </w:rPr>
              <w:t xml:space="preserve">$109/night weekends · $99/night weekdays · $50 cleaning fee</w:t>
            </w:r>
          </w:p>
        </w:tc>
      </w:tr>
    </w:tbl>
    <w:p>
      <w:r>
        <w:br w:type="page"/>
      </w:r>
    </w:p>
    <w:p>
      <w:pPr>
        <w:spacing w:before="360" w:after="80"/>
      </w:pPr>
      <w:r>
        <w:rPr>
          <w:rFonts w:ascii="Arial" w:cs="Arial" w:eastAsia="Arial" w:hAnsi="Arial"/>
          <w:b/>
          <w:bCs/>
          <w:color w:val="B8860B"/>
          <w:spacing w:val="60"/>
          <w:sz w:val="18"/>
          <w:szCs w:val="18"/>
        </w:rPr>
        <w:t xml:space="preserve">PHASE BREAKDOWNS</w:t>
      </w:r>
    </w:p>
    <w:p>
      <w:pPr>
        <w:pStyle w:val="Heading1"/>
        <w:spacing w:before="0" w:after="160"/>
      </w:pPr>
      <w:r>
        <w:rPr>
          <w:rFonts w:ascii="Arial" w:cs="Arial" w:eastAsia="Arial" w:hAnsi="Arial"/>
          <w:b/>
          <w:bCs/>
          <w:color w:val="3A4A5C"/>
          <w:sz w:val="40"/>
          <w:szCs w:val="40"/>
        </w:rPr>
        <w:t xml:space="preserve">The Expansion Plan</w:t>
      </w:r>
    </w:p>
    <w:p>
      <w:pPr>
        <w:pBdr>
          <w:bottom w:val="single" w:color="4F7942" w:sz="6" w:space="1"/>
        </w:pBdr>
        <w:spacing w:before="0" w:after="240"/>
      </w:pPr>
      <w:r>
        <w:t xml:space="preserve"/>
      </w:r>
    </w:p>
    <w:p>
      <w:pPr>
        <w:spacing w:before="0" w:after="160"/>
        <w:jc w:val="both"/>
      </w:pPr>
      <w:r>
        <w:rPr>
          <w:rFonts w:ascii="Arial" w:cs="Arial" w:eastAsia="Arial" w:hAnsi="Arial"/>
          <w:color w:val="444444"/>
          <w:sz w:val="22"/>
          <w:szCs w:val="22"/>
        </w:rPr>
        <w:t xml:space="preserve">Each phase is designed to generate revenue before the next phase requires significant capital. There is no single moment of high risk — the business builds on itself, stage by stage.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F7942" w:val="clear"/>
            <w:tcMar>
              <w:top w:type="dxa" w:w="100"/>
              <w:left w:type="dxa" w:w="180"/>
              <w:bottom w:type="dxa" w:w="100"/>
              <w:right w:type="dxa" w:w="180"/>
            </w:tcMar>
          </w:tcPr>
          <w:p>
            <w:r>
              <w:rPr>
                <w:rFonts w:ascii="Arial" w:cs="Arial" w:eastAsia="Arial" w:hAnsi="Arial"/>
                <w:b/>
                <w:bCs/>
                <w:color w:val="FFFFFF"/>
                <w:sz w:val="22"/>
                <w:szCs w:val="22"/>
              </w:rPr>
              <w:t xml:space="preserve">Phase 1  </w:t>
            </w:r>
            <w:r>
              <w:rPr>
                <w:rFonts w:ascii="Arial" w:cs="Arial" w:eastAsia="Arial" w:hAnsi="Arial"/>
                <w:color w:val="CCFFCC"/>
                <w:sz w:val="22"/>
                <w:szCs w:val="22"/>
              </w:rPr>
              <w:t xml:space="preserve">Immediate Revenue Optimization</w:t>
            </w:r>
            <w:r>
              <w:rPr>
                <w:rFonts w:ascii="Arial" w:cs="Arial" w:eastAsia="Arial" w:hAnsi="Arial"/>
                <w:color w:val="AADDAA"/>
                <w:sz w:val="18"/>
                <w:szCs w:val="18"/>
              </w:rPr>
              <w:t xml:space="preserve">   |   $2,000–$5,000   |   Months 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1"/>
              <w:bottom w:val="single" w:color="CCCCCC" w:sz="1"/>
              <w:right w:val="single" w:color="CCCCCC" w:sz="1"/>
            </w:tcBorders>
            <w:shd w:fill="EFF5EE" w:val="clear"/>
            <w:tcMar>
              <w:top w:type="dxa" w:w="120"/>
              <w:left w:type="dxa" w:w="180"/>
              <w:bottom w:type="dxa" w:w="120"/>
              <w:right w:type="dxa" w:w="180"/>
            </w:tcMar>
          </w:tcPr>
          <w:p>
            <w:pPr>
              <w:pStyle w:val="ListParagraph"/>
              <w:numPr>
                <w:ilvl w:val="0"/>
                <w:numId w:val="2"/>
              </w:numPr>
              <w:spacing w:before="40" w:after="40"/>
            </w:pPr>
            <w:r>
              <w:rPr>
                <w:rFonts w:ascii="Arial" w:cs="Arial" w:eastAsia="Arial" w:hAnsi="Arial"/>
                <w:color w:val="444444"/>
                <w:sz w:val="20"/>
                <w:szCs w:val="20"/>
              </w:rPr>
              <w:t xml:space="preserve">Expand from Airbnb-only to VRBO, Booking.com, Hipcamp, and wellness directories (Retreat Guru, BookRetreats.com)</w:t>
            </w:r>
          </w:p>
          <w:p>
            <w:pPr>
              <w:pStyle w:val="ListParagraph"/>
              <w:numPr>
                <w:ilvl w:val="0"/>
                <w:numId w:val="2"/>
              </w:numPr>
              <w:spacing w:before="40" w:after="40"/>
            </w:pPr>
            <w:r>
              <w:rPr>
                <w:rFonts w:ascii="Arial" w:cs="Arial" w:eastAsia="Arial" w:hAnsi="Arial"/>
                <w:color w:val="444444"/>
                <w:sz w:val="20"/>
                <w:szCs w:val="20"/>
              </w:rPr>
              <w:t xml:space="preserve">Create direct booking website to capture guests without platform fees (saves 3–15% per booking)</w:t>
            </w:r>
          </w:p>
          <w:p>
            <w:pPr>
              <w:pStyle w:val="ListParagraph"/>
              <w:numPr>
                <w:ilvl w:val="0"/>
                <w:numId w:val="2"/>
              </w:numPr>
              <w:spacing w:before="40" w:after="40"/>
            </w:pPr>
            <w:r>
              <w:rPr>
                <w:rFonts w:ascii="Arial" w:cs="Arial" w:eastAsia="Arial" w:hAnsi="Arial"/>
                <w:color w:val="444444"/>
                <w:sz w:val="20"/>
                <w:szCs w:val="20"/>
              </w:rPr>
              <w:t xml:space="preserve">Implement dynamic pricing based on 4.97-star rating, seasonal demand, and local events</w:t>
            </w:r>
          </w:p>
          <w:p>
            <w:pPr>
              <w:pStyle w:val="ListParagraph"/>
              <w:numPr>
                <w:ilvl w:val="0"/>
                <w:numId w:val="2"/>
              </w:numPr>
              <w:spacing w:before="40" w:after="40"/>
            </w:pPr>
            <w:r>
              <w:rPr>
                <w:rFonts w:ascii="Arial" w:cs="Arial" w:eastAsia="Arial" w:hAnsi="Arial"/>
                <w:color w:val="444444"/>
                <w:sz w:val="20"/>
                <w:szCs w:val="20"/>
              </w:rPr>
              <w:t xml:space="preserve">Introduce weekday remote worker rates and extended-stay pricing for 5+ night bookings</w:t>
            </w:r>
          </w:p>
          <w:p>
            <w:pPr>
              <w:pStyle w:val="ListParagraph"/>
              <w:numPr>
                <w:ilvl w:val="0"/>
                <w:numId w:val="2"/>
              </w:numPr>
              <w:spacing w:before="40" w:after="40"/>
            </w:pPr>
            <w:r>
              <w:rPr>
                <w:rFonts w:ascii="Arial" w:cs="Arial" w:eastAsia="Arial" w:hAnsi="Arial"/>
                <w:color w:val="444444"/>
                <w:sz w:val="20"/>
                <w:szCs w:val="20"/>
              </w:rPr>
              <w:t xml:space="preserve">Offer Reiki sessions to cottage guests ($75/session) and open to local community</w:t>
            </w:r>
          </w:p>
          <w:p>
            <w:pPr>
              <w:pStyle w:val="ListParagraph"/>
              <w:numPr>
                <w:ilvl w:val="0"/>
                <w:numId w:val="2"/>
              </w:numPr>
              <w:spacing w:before="40" w:after="40"/>
            </w:pPr>
            <w:r>
              <w:rPr>
                <w:rFonts w:ascii="Arial" w:cs="Arial" w:eastAsia="Arial" w:hAnsi="Arial"/>
                <w:color w:val="444444"/>
                <w:sz w:val="20"/>
                <w:szCs w:val="20"/>
              </w:rPr>
              <w:t xml:space="preserve">Upgrade to on-demand water heater — highest-impact, lowest-cost improvement; directly protects the 4.97-star rating</w:t>
            </w:r>
          </w:p>
          <w:p>
            <w:pPr>
              <w:pStyle w:val="ListParagraph"/>
              <w:numPr>
                <w:ilvl w:val="0"/>
                <w:numId w:val="2"/>
              </w:numPr>
              <w:spacing w:before="40" w:after="40"/>
            </w:pPr>
            <w:r>
              <w:rPr>
                <w:rFonts w:ascii="Arial" w:cs="Arial" w:eastAsia="Arial" w:hAnsi="Arial"/>
                <w:color w:val="444444"/>
                <w:sz w:val="20"/>
                <w:szCs w:val="20"/>
              </w:rPr>
              <w:t xml:space="preserve">Guided forest bathing walks ($30/person), stargazing evenings ($25/person), small group workshops</w:t>
            </w:r>
          </w:p>
          <w:p>
            <w:pPr>
              <w:pStyle w:val="ListParagraph"/>
              <w:numPr>
                <w:ilvl w:val="0"/>
                <w:numId w:val="2"/>
              </w:numPr>
              <w:spacing w:before="40" w:after="40"/>
            </w:pPr>
            <w:r>
              <w:rPr>
                <w:rFonts w:ascii="Arial" w:cs="Arial" w:eastAsia="Arial" w:hAnsi="Arial"/>
                <w:color w:val="444444"/>
                <w:sz w:val="20"/>
                <w:szCs w:val="20"/>
              </w:rPr>
              <w:t xml:space="preserve">Host monthly donation-based healing circles to build reputation and mailing list</w:t>
            </w:r>
          </w:p>
          <w:p>
            <w:pPr>
              <w:pStyle w:val="ListParagraph"/>
              <w:numPr>
                <w:ilvl w:val="0"/>
                <w:numId w:val="2"/>
              </w:numPr>
              <w:spacing w:before="40" w:after="40"/>
            </w:pPr>
            <w:r>
              <w:rPr>
                <w:rFonts w:ascii="Arial" w:cs="Arial" w:eastAsia="Arial" w:hAnsi="Arial"/>
                <w:color w:val="444444"/>
                <w:sz w:val="20"/>
                <w:szCs w:val="20"/>
              </w:rPr>
              <w:t xml:space="preserve">Expected revenue: $20,000–$30,000 annualized from optimization alone</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F7942" w:val="clear"/>
            <w:tcMar>
              <w:top w:type="dxa" w:w="100"/>
              <w:left w:type="dxa" w:w="180"/>
              <w:bottom w:type="dxa" w:w="100"/>
              <w:right w:type="dxa" w:w="180"/>
            </w:tcMar>
          </w:tcPr>
          <w:p>
            <w:r>
              <w:rPr>
                <w:rFonts w:ascii="Arial" w:cs="Arial" w:eastAsia="Arial" w:hAnsi="Arial"/>
                <w:b/>
                <w:bCs/>
                <w:color w:val="FFFFFF"/>
                <w:sz w:val="22"/>
                <w:szCs w:val="22"/>
              </w:rPr>
              <w:t xml:space="preserve">Phase 2  </w:t>
            </w:r>
            <w:r>
              <w:rPr>
                <w:rFonts w:ascii="Arial" w:cs="Arial" w:eastAsia="Arial" w:hAnsi="Arial"/>
                <w:color w:val="CCFFCC"/>
                <w:sz w:val="22"/>
                <w:szCs w:val="22"/>
              </w:rPr>
              <w:t xml:space="preserve">Wellness Programming &amp; Property Enhancement</w:t>
            </w:r>
            <w:r>
              <w:rPr>
                <w:rFonts w:ascii="Arial" w:cs="Arial" w:eastAsia="Arial" w:hAnsi="Arial"/>
                <w:color w:val="AADDAA"/>
                <w:sz w:val="18"/>
                <w:szCs w:val="18"/>
              </w:rPr>
              <w:t xml:space="preserve">   |   $15,000–$25,000   |   Months 3–9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1"/>
              <w:bottom w:val="single" w:color="CCCCCC" w:sz="1"/>
              <w:right w:val="single" w:color="CCCCCC" w:sz="1"/>
            </w:tcBorders>
            <w:shd w:fill="EFF5EE" w:val="clear"/>
            <w:tcMar>
              <w:top w:type="dxa" w:w="120"/>
              <w:left w:type="dxa" w:w="180"/>
              <w:bottom w:type="dxa" w:w="120"/>
              <w:right w:type="dxa" w:w="180"/>
            </w:tcMar>
          </w:tcPr>
          <w:p>
            <w:pPr>
              <w:pStyle w:val="ListParagraph"/>
              <w:numPr>
                <w:ilvl w:val="0"/>
                <w:numId w:val="2"/>
              </w:numPr>
              <w:spacing w:before="40" w:after="40"/>
            </w:pPr>
            <w:r>
              <w:rPr>
                <w:rFonts w:ascii="Arial" w:cs="Arial" w:eastAsia="Arial" w:hAnsi="Arial"/>
                <w:color w:val="444444"/>
                <w:sz w:val="20"/>
                <w:szCs w:val="20"/>
              </w:rPr>
              <w:t xml:space="preserve">Weekend wellness retreats (Reiki, meditation, healing circles) — 2–4 per month</w:t>
            </w:r>
          </w:p>
          <w:p>
            <w:pPr>
              <w:pStyle w:val="ListParagraph"/>
              <w:numPr>
                <w:ilvl w:val="0"/>
                <w:numId w:val="2"/>
              </w:numPr>
              <w:spacing w:before="40" w:after="40"/>
            </w:pPr>
            <w:r>
              <w:rPr>
                <w:rFonts w:ascii="Arial" w:cs="Arial" w:eastAsia="Arial" w:hAnsi="Arial"/>
                <w:color w:val="444444"/>
                <w:sz w:val="20"/>
                <w:szCs w:val="20"/>
              </w:rPr>
              <w:t xml:space="preserve">Day workshops: gardening, herbalism, sustainable living, nature crafts</w:t>
            </w:r>
          </w:p>
          <w:p>
            <w:pPr>
              <w:pStyle w:val="ListParagraph"/>
              <w:numPr>
                <w:ilvl w:val="0"/>
                <w:numId w:val="2"/>
              </w:numPr>
              <w:spacing w:before="40" w:after="40"/>
            </w:pPr>
            <w:r>
              <w:rPr>
                <w:rFonts w:ascii="Arial" w:cs="Arial" w:eastAsia="Arial" w:hAnsi="Arial"/>
                <w:color w:val="444444"/>
                <w:sz w:val="20"/>
                <w:szCs w:val="20"/>
              </w:rPr>
              <w:t xml:space="preserve">Custom private retreats for small groups: women's circles, grief retreats, creative retreats</w:t>
            </w:r>
          </w:p>
          <w:p>
            <w:pPr>
              <w:pStyle w:val="ListParagraph"/>
              <w:numPr>
                <w:ilvl w:val="0"/>
                <w:numId w:val="2"/>
              </w:numPr>
              <w:spacing w:before="40" w:after="40"/>
            </w:pPr>
            <w:r>
              <w:rPr>
                <w:rFonts w:ascii="Arial" w:cs="Arial" w:eastAsia="Arial" w:hAnsi="Arial"/>
                <w:color w:val="444444"/>
                <w:sz w:val="20"/>
                <w:szCs w:val="20"/>
              </w:rPr>
              <w:t xml:space="preserve">Reiki training and certification courses</w:t>
            </w:r>
          </w:p>
          <w:p>
            <w:pPr>
              <w:pStyle w:val="ListParagraph"/>
              <w:numPr>
                <w:ilvl w:val="0"/>
                <w:numId w:val="2"/>
              </w:numPr>
              <w:spacing w:before="40" w:after="40"/>
            </w:pPr>
            <w:r>
              <w:rPr>
                <w:rFonts w:ascii="Arial" w:cs="Arial" w:eastAsia="Arial" w:hAnsi="Arial"/>
                <w:color w:val="444444"/>
                <w:sz w:val="20"/>
                <w:szCs w:val="20"/>
              </w:rPr>
              <w:t xml:space="preserve">Outdoor meditation and ceremony areas with covered seating</w:t>
            </w:r>
          </w:p>
          <w:p>
            <w:pPr>
              <w:pStyle w:val="ListParagraph"/>
              <w:numPr>
                <w:ilvl w:val="0"/>
                <w:numId w:val="2"/>
              </w:numPr>
              <w:spacing w:before="40" w:after="40"/>
            </w:pPr>
            <w:r>
              <w:rPr>
                <w:rFonts w:ascii="Arial" w:cs="Arial" w:eastAsia="Arial" w:hAnsi="Arial"/>
                <w:color w:val="444444"/>
                <w:sz w:val="20"/>
                <w:szCs w:val="20"/>
              </w:rPr>
              <w:t xml:space="preserve">Medicinal herb garden expansion, creek-side seating, marked hiking trails</w:t>
            </w:r>
          </w:p>
          <w:p>
            <w:pPr>
              <w:pStyle w:val="ListParagraph"/>
              <w:numPr>
                <w:ilvl w:val="0"/>
                <w:numId w:val="2"/>
              </w:numPr>
              <w:spacing w:before="40" w:after="40"/>
            </w:pPr>
            <w:r>
              <w:rPr>
                <w:rFonts w:ascii="Arial" w:cs="Arial" w:eastAsia="Arial" w:hAnsi="Arial"/>
                <w:color w:val="444444"/>
                <w:sz w:val="20"/>
                <w:szCs w:val="20"/>
              </w:rPr>
              <w:t xml:space="preserve">Pond repair and enhancement for reflection space</w:t>
            </w:r>
          </w:p>
          <w:p>
            <w:pPr>
              <w:pStyle w:val="ListParagraph"/>
              <w:numPr>
                <w:ilvl w:val="0"/>
                <w:numId w:val="2"/>
              </w:numPr>
              <w:spacing w:before="40" w:after="40"/>
            </w:pPr>
            <w:r>
              <w:rPr>
                <w:rFonts w:ascii="Arial" w:cs="Arial" w:eastAsia="Arial" w:hAnsi="Arial"/>
                <w:color w:val="444444"/>
                <w:sz w:val="20"/>
                <w:szCs w:val="20"/>
              </w:rPr>
              <w:t xml:space="preserve">Professional photography of property and retreat experience</w:t>
            </w:r>
          </w:p>
          <w:p>
            <w:pPr>
              <w:pStyle w:val="ListParagraph"/>
              <w:numPr>
                <w:ilvl w:val="0"/>
                <w:numId w:val="2"/>
              </w:numPr>
              <w:spacing w:before="40" w:after="40"/>
            </w:pPr>
            <w:r>
              <w:rPr>
                <w:rFonts w:ascii="Arial" w:cs="Arial" w:eastAsia="Arial" w:hAnsi="Arial"/>
                <w:color w:val="444444"/>
                <w:sz w:val="20"/>
                <w:szCs w:val="20"/>
              </w:rPr>
              <w:t xml:space="preserve">Projected programming revenue: $30,000–$43,000/year</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F7942" w:val="clear"/>
            <w:tcMar>
              <w:top w:type="dxa" w:w="100"/>
              <w:left w:type="dxa" w:w="180"/>
              <w:bottom w:type="dxa" w:w="100"/>
              <w:right w:type="dxa" w:w="180"/>
            </w:tcMar>
          </w:tcPr>
          <w:p>
            <w:r>
              <w:rPr>
                <w:rFonts w:ascii="Arial" w:cs="Arial" w:eastAsia="Arial" w:hAnsi="Arial"/>
                <w:b/>
                <w:bCs/>
                <w:color w:val="FFFFFF"/>
                <w:sz w:val="22"/>
                <w:szCs w:val="22"/>
              </w:rPr>
              <w:t xml:space="preserve">Phase 3  </w:t>
            </w:r>
            <w:r>
              <w:rPr>
                <w:rFonts w:ascii="Arial" w:cs="Arial" w:eastAsia="Arial" w:hAnsi="Arial"/>
                <w:color w:val="CCFFCC"/>
                <w:sz w:val="22"/>
                <w:szCs w:val="22"/>
              </w:rPr>
              <w:t xml:space="preserve">Cottage Winterization</w:t>
            </w:r>
            <w:r>
              <w:rPr>
                <w:rFonts w:ascii="Arial" w:cs="Arial" w:eastAsia="Arial" w:hAnsi="Arial"/>
                <w:color w:val="AADDAA"/>
                <w:sz w:val="18"/>
                <w:szCs w:val="18"/>
              </w:rPr>
              <w:t xml:space="preserve">   |   $12,000–$18,000   |   Months 9–12 (timed for Fall)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1"/>
              <w:bottom w:val="single" w:color="CCCCCC" w:sz="1"/>
              <w:right w:val="single" w:color="CCCCCC" w:sz="1"/>
            </w:tcBorders>
            <w:shd w:fill="EFF5EE" w:val="clear"/>
            <w:tcMar>
              <w:top w:type="dxa" w:w="120"/>
              <w:left w:type="dxa" w:w="180"/>
              <w:bottom w:type="dxa" w:w="120"/>
              <w:right w:type="dxa" w:w="180"/>
            </w:tcMar>
          </w:tcPr>
          <w:p>
            <w:pPr>
              <w:pStyle w:val="ListParagraph"/>
              <w:numPr>
                <w:ilvl w:val="0"/>
                <w:numId w:val="2"/>
              </w:numPr>
              <w:spacing w:before="40" w:after="40"/>
            </w:pPr>
            <w:r>
              <w:rPr>
                <w:rFonts w:ascii="Arial" w:cs="Arial" w:eastAsia="Arial" w:hAnsi="Arial"/>
                <w:color w:val="444444"/>
                <w:sz w:val="20"/>
                <w:szCs w:val="20"/>
              </w:rPr>
              <w:t xml:space="preserve">Enclose the back porch bathroom with walls and windows — preserving natural light and character</w:t>
            </w:r>
          </w:p>
          <w:p>
            <w:pPr>
              <w:pStyle w:val="ListParagraph"/>
              <w:numPr>
                <w:ilvl w:val="0"/>
                <w:numId w:val="2"/>
              </w:numPr>
              <w:spacing w:before="40" w:after="40"/>
            </w:pPr>
            <w:r>
              <w:rPr>
                <w:rFonts w:ascii="Arial" w:cs="Arial" w:eastAsia="Arial" w:hAnsi="Arial"/>
                <w:color w:val="444444"/>
                <w:sz w:val="20"/>
                <w:szCs w:val="20"/>
              </w:rPr>
              <w:t xml:space="preserve">Add heating to enclosed bathroom and porch area for four-season comfort</w:t>
            </w:r>
          </w:p>
          <w:p>
            <w:pPr>
              <w:pStyle w:val="ListParagraph"/>
              <w:numPr>
                <w:ilvl w:val="0"/>
                <w:numId w:val="2"/>
              </w:numPr>
              <w:spacing w:before="40" w:after="40"/>
            </w:pPr>
            <w:r>
              <w:rPr>
                <w:rFonts w:ascii="Arial" w:cs="Arial" w:eastAsia="Arial" w:hAnsi="Arial"/>
                <w:color w:val="444444"/>
                <w:sz w:val="20"/>
                <w:szCs w:val="20"/>
              </w:rPr>
              <w:t xml:space="preserve">Enhanced landscaping and meditation garden spaces</w:t>
            </w:r>
          </w:p>
          <w:p>
            <w:pPr>
              <w:pStyle w:val="ListParagraph"/>
              <w:numPr>
                <w:ilvl w:val="0"/>
                <w:numId w:val="2"/>
              </w:numPr>
              <w:spacing w:before="40" w:after="40"/>
            </w:pPr>
            <w:r>
              <w:rPr>
                <w:rFonts w:ascii="Arial" w:cs="Arial" w:eastAsia="Arial" w:hAnsi="Arial"/>
                <w:color w:val="444444"/>
                <w:sz w:val="20"/>
                <w:szCs w:val="20"/>
              </w:rPr>
              <w:t xml:space="preserve">Goal: maintain the outdoor shower experience guests love while blocking wind and cold</w:t>
            </w:r>
          </w:p>
          <w:p>
            <w:pPr>
              <w:pStyle w:val="ListParagraph"/>
              <w:numPr>
                <w:ilvl w:val="0"/>
                <w:numId w:val="2"/>
              </w:numPr>
              <w:spacing w:before="40" w:after="40"/>
            </w:pPr>
            <w:r>
              <w:rPr>
                <w:rFonts w:ascii="Arial" w:cs="Arial" w:eastAsia="Arial" w:hAnsi="Arial"/>
                <w:color w:val="444444"/>
                <w:sz w:val="20"/>
                <w:szCs w:val="20"/>
              </w:rPr>
              <w:t xml:space="preserve">Projected rate increase: $99–$109/night → $150–$175/night</w:t>
            </w:r>
          </w:p>
          <w:p>
            <w:pPr>
              <w:pStyle w:val="ListParagraph"/>
              <w:numPr>
                <w:ilvl w:val="0"/>
                <w:numId w:val="2"/>
              </w:numPr>
              <w:spacing w:before="40" w:after="40"/>
            </w:pPr>
            <w:r>
              <w:rPr>
                <w:rFonts w:ascii="Arial" w:cs="Arial" w:eastAsia="Arial" w:hAnsi="Arial"/>
                <w:color w:val="444444"/>
                <w:sz w:val="20"/>
                <w:szCs w:val="20"/>
              </w:rPr>
              <w:t xml:space="preserve">Year-round occupancy eliminates the current seasonal gap during cold months</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F7942" w:val="clear"/>
            <w:tcMar>
              <w:top w:type="dxa" w:w="100"/>
              <w:left w:type="dxa" w:w="180"/>
              <w:bottom w:type="dxa" w:w="100"/>
              <w:right w:type="dxa" w:w="180"/>
            </w:tcMar>
          </w:tcPr>
          <w:p>
            <w:r>
              <w:rPr>
                <w:rFonts w:ascii="Arial" w:cs="Arial" w:eastAsia="Arial" w:hAnsi="Arial"/>
                <w:b/>
                <w:bCs/>
                <w:color w:val="FFFFFF"/>
                <w:sz w:val="22"/>
                <w:szCs w:val="22"/>
              </w:rPr>
              <w:t xml:space="preserve">Phase 4  </w:t>
            </w:r>
            <w:r>
              <w:rPr>
                <w:rFonts w:ascii="Arial" w:cs="Arial" w:eastAsia="Arial" w:hAnsi="Arial"/>
                <w:color w:val="CCFFCC"/>
                <w:sz w:val="22"/>
                <w:szCs w:val="22"/>
              </w:rPr>
              <w:t xml:space="preserve">Zome Guest Dwelling</w:t>
            </w:r>
            <w:r>
              <w:rPr>
                <w:rFonts w:ascii="Arial" w:cs="Arial" w:eastAsia="Arial" w:hAnsi="Arial"/>
                <w:color w:val="AADDAA"/>
                <w:sz w:val="18"/>
                <w:szCs w:val="18"/>
              </w:rPr>
              <w:t xml:space="preserve">   |   $35,000–$50,000   |   Year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1"/>
              <w:bottom w:val="single" w:color="CCCCCC" w:sz="1"/>
              <w:right w:val="single" w:color="CCCCCC" w:sz="1"/>
            </w:tcBorders>
            <w:shd w:fill="EFF5EE" w:val="clear"/>
            <w:tcMar>
              <w:top w:type="dxa" w:w="120"/>
              <w:left w:type="dxa" w:w="180"/>
              <w:bottom w:type="dxa" w:w="120"/>
              <w:right w:type="dxa" w:w="180"/>
            </w:tcMar>
          </w:tcPr>
          <w:p>
            <w:pPr>
              <w:pStyle w:val="ListParagraph"/>
              <w:numPr>
                <w:ilvl w:val="0"/>
                <w:numId w:val="2"/>
              </w:numPr>
              <w:spacing w:before="40" w:after="40"/>
            </w:pPr>
            <w:r>
              <w:rPr>
                <w:rFonts w:ascii="Arial" w:cs="Arial" w:eastAsia="Arial" w:hAnsi="Arial"/>
                <w:color w:val="444444"/>
                <w:sz w:val="20"/>
                <w:szCs w:val="20"/>
              </w:rPr>
              <w:t xml:space="preserve">Install a Zomes.com bio-ceramic dwelling (ZomePod or ZomeOffice, 120–170 sq ft) on existing RV hookup site</w:t>
            </w:r>
          </w:p>
          <w:p>
            <w:pPr>
              <w:pStyle w:val="ListParagraph"/>
              <w:numPr>
                <w:ilvl w:val="0"/>
                <w:numId w:val="2"/>
              </w:numPr>
              <w:spacing w:before="40" w:after="40"/>
            </w:pPr>
            <w:r>
              <w:rPr>
                <w:rFonts w:ascii="Arial" w:cs="Arial" w:eastAsia="Arial" w:hAnsi="Arial"/>
                <w:color w:val="444444"/>
                <w:sz w:val="20"/>
                <w:szCs w:val="20"/>
              </w:rPr>
              <w:t xml:space="preserve">Fireproof to 2,200°F, waterproof, mold-proof, pest-proof, 140 mph wind rating</w:t>
            </w:r>
          </w:p>
          <w:p>
            <w:pPr>
              <w:pStyle w:val="ListParagraph"/>
              <w:numPr>
                <w:ilvl w:val="0"/>
                <w:numId w:val="2"/>
              </w:numPr>
              <w:spacing w:before="40" w:after="40"/>
            </w:pPr>
            <w:r>
              <w:rPr>
                <w:rFonts w:ascii="Arial" w:cs="Arial" w:eastAsia="Arial" w:hAnsi="Arial"/>
                <w:color w:val="444444"/>
                <w:sz w:val="20"/>
                <w:szCs w:val="20"/>
              </w:rPr>
              <w:t xml:space="preserve">Assembles in 5–10 days; placed on non-permanent wood deck platform (often qualifies as auxiliary structure)</w:t>
            </w:r>
          </w:p>
          <w:p>
            <w:pPr>
              <w:pStyle w:val="ListParagraph"/>
              <w:numPr>
                <w:ilvl w:val="0"/>
                <w:numId w:val="2"/>
              </w:numPr>
              <w:spacing w:before="40" w:after="40"/>
            </w:pPr>
            <w:r>
              <w:rPr>
                <w:rFonts w:ascii="Arial" w:cs="Arial" w:eastAsia="Arial" w:hAnsi="Arial"/>
                <w:color w:val="444444"/>
                <w:sz w:val="20"/>
                <w:szCs w:val="20"/>
              </w:rPr>
              <w:t xml:space="preserve">90% recyclable, carbon-neutral cement construction — eco-friendly appeal</w:t>
            </w:r>
          </w:p>
          <w:p>
            <w:pPr>
              <w:pStyle w:val="ListParagraph"/>
              <w:numPr>
                <w:ilvl w:val="0"/>
                <w:numId w:val="2"/>
              </w:numPr>
              <w:spacing w:before="40" w:after="40"/>
            </w:pPr>
            <w:r>
              <w:rPr>
                <w:rFonts w:ascii="Arial" w:cs="Arial" w:eastAsia="Arial" w:hAnsi="Arial"/>
                <w:color w:val="444444"/>
                <w:sz w:val="20"/>
                <w:szCs w:val="20"/>
              </w:rPr>
              <w:t xml:space="preserve">Existing water and electricity hookup at site eliminates major infrastructure cost</w:t>
            </w:r>
          </w:p>
          <w:p>
            <w:pPr>
              <w:pStyle w:val="ListParagraph"/>
              <w:numPr>
                <w:ilvl w:val="0"/>
                <w:numId w:val="2"/>
              </w:numPr>
              <w:spacing w:before="40" w:after="40"/>
            </w:pPr>
            <w:r>
              <w:rPr>
                <w:rFonts w:ascii="Arial" w:cs="Arial" w:eastAsia="Arial" w:hAnsi="Arial"/>
                <w:color w:val="444444"/>
                <w:sz w:val="20"/>
                <w:szCs w:val="20"/>
              </w:rPr>
              <w:t xml:space="preserve">Toilet, shower, and kitchen facilities served by the converted 700 sq ft bathhouse</w:t>
            </w:r>
          </w:p>
          <w:p>
            <w:pPr>
              <w:pStyle w:val="ListParagraph"/>
              <w:numPr>
                <w:ilvl w:val="0"/>
                <w:numId w:val="2"/>
              </w:numPr>
              <w:spacing w:before="40" w:after="40"/>
            </w:pPr>
            <w:r>
              <w:rPr>
                <w:rFonts w:ascii="Arial" w:cs="Arial" w:eastAsia="Arial" w:hAnsi="Arial"/>
                <w:color w:val="444444"/>
                <w:sz w:val="20"/>
                <w:szCs w:val="20"/>
              </w:rPr>
              <w:t xml:space="preserve">Target rate: $150–$200/night · At 50% occupancy: $27,000–$36,000/year</w:t>
            </w:r>
          </w:p>
          <w:p>
            <w:pPr>
              <w:pStyle w:val="ListParagraph"/>
              <w:numPr>
                <w:ilvl w:val="0"/>
                <w:numId w:val="2"/>
              </w:numPr>
              <w:spacing w:before="40" w:after="40"/>
            </w:pPr>
            <w:r>
              <w:rPr>
                <w:rFonts w:ascii="Arial" w:cs="Arial" w:eastAsia="Arial" w:hAnsi="Arial"/>
                <w:color w:val="444444"/>
                <w:sz w:val="20"/>
                <w:szCs w:val="20"/>
              </w:rPr>
              <w:t xml:space="preserve">Zome structure: $20,000–$25,000 · Deck/platform: $5,000–$8,000 · Furnishings: $4,000–$7,000</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F7942" w:val="clear"/>
            <w:tcMar>
              <w:top w:type="dxa" w:w="100"/>
              <w:left w:type="dxa" w:w="180"/>
              <w:bottom w:type="dxa" w:w="100"/>
              <w:right w:type="dxa" w:w="180"/>
            </w:tcMar>
          </w:tcPr>
          <w:p>
            <w:r>
              <w:rPr>
                <w:rFonts w:ascii="Arial" w:cs="Arial" w:eastAsia="Arial" w:hAnsi="Arial"/>
                <w:b/>
                <w:bCs/>
                <w:color w:val="FFFFFF"/>
                <w:sz w:val="22"/>
                <w:szCs w:val="22"/>
              </w:rPr>
              <w:t xml:space="preserve">Phase 5  </w:t>
            </w:r>
            <w:r>
              <w:rPr>
                <w:rFonts w:ascii="Arial" w:cs="Arial" w:eastAsia="Arial" w:hAnsi="Arial"/>
                <w:color w:val="CCFFCC"/>
                <w:sz w:val="22"/>
                <w:szCs w:val="22"/>
              </w:rPr>
              <w:t xml:space="preserve">Second Zome &amp; Expanded Capacity</w:t>
            </w:r>
            <w:r>
              <w:rPr>
                <w:rFonts w:ascii="Arial" w:cs="Arial" w:eastAsia="Arial" w:hAnsi="Arial"/>
                <w:color w:val="AADDAA"/>
                <w:sz w:val="18"/>
                <w:szCs w:val="18"/>
              </w:rPr>
              <w:t xml:space="preserve">   |   $40,000–$60,000   |   Years 3–4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1"/>
              <w:bottom w:val="single" w:color="CCCCCC" w:sz="1"/>
              <w:right w:val="single" w:color="CCCCCC" w:sz="1"/>
            </w:tcBorders>
            <w:shd w:fill="EFF5EE" w:val="clear"/>
            <w:tcMar>
              <w:top w:type="dxa" w:w="120"/>
              <w:left w:type="dxa" w:w="180"/>
              <w:bottom w:type="dxa" w:w="120"/>
              <w:right w:type="dxa" w:w="180"/>
            </w:tcMar>
          </w:tcPr>
          <w:p>
            <w:pPr>
              <w:pStyle w:val="ListParagraph"/>
              <w:numPr>
                <w:ilvl w:val="0"/>
                <w:numId w:val="2"/>
              </w:numPr>
              <w:spacing w:before="40" w:after="40"/>
            </w:pPr>
            <w:r>
              <w:rPr>
                <w:rFonts w:ascii="Arial" w:cs="Arial" w:eastAsia="Arial" w:hAnsi="Arial"/>
                <w:color w:val="444444"/>
                <w:sz w:val="20"/>
                <w:szCs w:val="20"/>
              </w:rPr>
              <w:t xml:space="preserve">Second, larger Zome (170–265 sq ft) on one of the property's additional buildable sites</w:t>
            </w:r>
          </w:p>
          <w:p>
            <w:pPr>
              <w:pStyle w:val="ListParagraph"/>
              <w:numPr>
                <w:ilvl w:val="0"/>
                <w:numId w:val="2"/>
              </w:numPr>
              <w:spacing w:before="40" w:after="40"/>
            </w:pPr>
            <w:r>
              <w:rPr>
                <w:rFonts w:ascii="Arial" w:cs="Arial" w:eastAsia="Arial" w:hAnsi="Arial"/>
                <w:color w:val="444444"/>
                <w:sz w:val="20"/>
                <w:szCs w:val="20"/>
              </w:rPr>
              <w:t xml:space="preserve">Creates a third unique guest accommodation and enables larger group bookings</w:t>
            </w:r>
          </w:p>
          <w:p>
            <w:pPr>
              <w:pStyle w:val="ListParagraph"/>
              <w:numPr>
                <w:ilvl w:val="0"/>
                <w:numId w:val="2"/>
              </w:numPr>
              <w:spacing w:before="40" w:after="40"/>
            </w:pPr>
            <w:r>
              <w:rPr>
                <w:rFonts w:ascii="Arial" w:cs="Arial" w:eastAsia="Arial" w:hAnsi="Arial"/>
                <w:color w:val="444444"/>
                <w:sz w:val="20"/>
                <w:szCs w:val="20"/>
              </w:rPr>
              <w:t xml:space="preserve">Enhanced outdoor gathering spaces: covered ceremony area, fire circle, creek-side seating</w:t>
            </w:r>
          </w:p>
          <w:p>
            <w:pPr>
              <w:pStyle w:val="ListParagraph"/>
              <w:numPr>
                <w:ilvl w:val="0"/>
                <w:numId w:val="2"/>
              </w:numPr>
              <w:spacing w:before="40" w:after="40"/>
            </w:pPr>
            <w:r>
              <w:rPr>
                <w:rFonts w:ascii="Arial" w:cs="Arial" w:eastAsia="Arial" w:hAnsi="Arial"/>
                <w:color w:val="444444"/>
                <w:sz w:val="20"/>
                <w:szCs w:val="20"/>
              </w:rPr>
              <w:t xml:space="preserve">Property-wide trail improvements, signage, lighting, and landscaping</w:t>
            </w:r>
          </w:p>
          <w:p>
            <w:pPr>
              <w:pStyle w:val="ListParagraph"/>
              <w:numPr>
                <w:ilvl w:val="0"/>
                <w:numId w:val="2"/>
              </w:numPr>
              <w:spacing w:before="40" w:after="40"/>
            </w:pPr>
            <w:r>
              <w:rPr>
                <w:rFonts w:ascii="Arial" w:cs="Arial" w:eastAsia="Arial" w:hAnsi="Arial"/>
                <w:color w:val="444444"/>
                <w:sz w:val="20"/>
                <w:szCs w:val="20"/>
              </w:rPr>
              <w:t xml:space="preserve">Second Zome adds $27,000–$36,000/year · Expanded retreat capacity: $40,000–$55,000/year</w:t>
            </w:r>
          </w:p>
          <w:p>
            <w:pPr>
              <w:pStyle w:val="ListParagraph"/>
              <w:numPr>
                <w:ilvl w:val="0"/>
                <w:numId w:val="2"/>
              </w:numPr>
              <w:spacing w:before="40" w:after="40"/>
            </w:pPr>
            <w:r>
              <w:rPr>
                <w:rFonts w:ascii="Arial" w:cs="Arial" w:eastAsia="Arial" w:hAnsi="Arial"/>
                <w:color w:val="444444"/>
                <w:sz w:val="20"/>
                <w:szCs w:val="20"/>
              </w:rPr>
              <w:t xml:space="preserve">Community event rentals: $10,000–$15,000/year</w:t>
            </w:r>
          </w:p>
        </w:tc>
      </w:tr>
    </w:tbl>
    <w:p>
      <w:pPr>
        <w:spacing w:before="0" w:after="240"/>
      </w:pPr>
      <w:r>
        <w:t xml:space="preserve"/>
      </w:r>
    </w:p>
    <w:p>
      <w:pPr>
        <w:spacing w:before="120" w:after="0"/>
      </w:pPr>
      <w:r>
        <w:t xml:space="preserve"/>
      </w:r>
    </w:p>
    <w:p>
      <w:pPr>
        <w:spacing w:before="240" w:after="80"/>
      </w:pPr>
      <w:r>
        <w:rPr>
          <w:rFonts w:ascii="Arial" w:cs="Arial" w:eastAsia="Arial" w:hAnsi="Arial"/>
          <w:b/>
          <w:bCs/>
          <w:color w:val="4F7942"/>
          <w:sz w:val="22"/>
          <w:szCs w:val="22"/>
        </w:rPr>
        <w:t xml:space="preserve">Bathhouse &amp; Communal Kitchen Conversion</w:t>
      </w:r>
    </w:p>
    <w:p>
      <w:pPr>
        <w:spacing w:before="0" w:after="160"/>
        <w:jc w:val="both"/>
      </w:pPr>
      <w:r>
        <w:rPr>
          <w:rFonts w:ascii="Arial" w:cs="Arial" w:eastAsia="Arial" w:hAnsi="Arial"/>
          <w:color w:val="444444"/>
          <w:sz w:val="22"/>
          <w:szCs w:val="22"/>
        </w:rPr>
        <w:t xml:space="preserve">The existing 700 sq ft building will be converted into a shared bathhouse and communal kitchen serving all glamping accommodations. Estimated cost: $12,000. This shared infrastructure eliminates the need for individual plumbing to each Zome structure, significantly reducing per-unit buildout costs.</w:t>
      </w:r>
    </w:p>
    <w:p>
      <w:r>
        <w:br w:type="page"/>
      </w:r>
    </w:p>
    <w:p>
      <w:pPr>
        <w:spacing w:before="360" w:after="80"/>
      </w:pPr>
      <w:r>
        <w:rPr>
          <w:rFonts w:ascii="Arial" w:cs="Arial" w:eastAsia="Arial" w:hAnsi="Arial"/>
          <w:b/>
          <w:bCs/>
          <w:color w:val="B8860B"/>
          <w:spacing w:val="60"/>
          <w:sz w:val="18"/>
          <w:szCs w:val="18"/>
        </w:rPr>
        <w:t xml:space="preserve">CAPITAL ALLOCATION</w:t>
      </w:r>
    </w:p>
    <w:p>
      <w:pPr>
        <w:pStyle w:val="Heading1"/>
        <w:spacing w:before="0" w:after="160"/>
      </w:pPr>
      <w:r>
        <w:rPr>
          <w:rFonts w:ascii="Arial" w:cs="Arial" w:eastAsia="Arial" w:hAnsi="Arial"/>
          <w:b/>
          <w:bCs/>
          <w:color w:val="3A4A5C"/>
          <w:sz w:val="40"/>
          <w:szCs w:val="40"/>
        </w:rPr>
        <w:t xml:space="preserve">How the Investment Is Used</w:t>
      </w:r>
    </w:p>
    <w:p>
      <w:pPr>
        <w:pBdr>
          <w:bottom w:val="single" w:color="4F7942" w:sz="6" w:space="1"/>
        </w:pBd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CCCCCC" w:sz="1"/>
              <w:left w:val="single" w:color="CCCCCC" w:sz="1"/>
              <w:bottom w:val="single" w:color="CCCCCC" w:sz="1"/>
              <w:right w:val="single" w:color="CCCCCC" w:sz="1"/>
            </w:tcBorders>
            <w:shd w:fill="3A4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3A4A5C"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3760"/>
            <w:tcBorders>
              <w:top w:val="single" w:color="CCCCCC" w:sz="1"/>
              <w:left w:val="single" w:color="CCCCCC" w:sz="1"/>
              <w:bottom w:val="single" w:color="CCCCCC" w:sz="1"/>
              <w:right w:val="single" w:color="CCCCCC" w:sz="1"/>
            </w:tcBorders>
            <w:shd w:fill="3A4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1 — Revenue Optimization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A4A5C"/>
                <w:sz w:val="20"/>
                <w:szCs w:val="20"/>
              </w:rPr>
              <w:t xml:space="preserve">$5,000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Platforms, website, marketing</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2 — Programming &amp; Improvements</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3A4A5C"/>
                <w:sz w:val="20"/>
                <w:szCs w:val="20"/>
              </w:rPr>
              <w:t xml:space="preserve">$25,000</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20"/>
                <w:szCs w:val="20"/>
              </w:rPr>
              <w:t xml:space="preserve">Outdoor spaces, gardens, retreats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3 — Cottage Winterization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A4A5C"/>
                <w:sz w:val="20"/>
                <w:szCs w:val="20"/>
              </w:rPr>
              <w:t xml:space="preserve">$15,000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Bathroom enclosure, heating, porch</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4 — Zome Guest Dwelling</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3A4A5C"/>
                <w:sz w:val="20"/>
                <w:szCs w:val="20"/>
              </w:rPr>
              <w:t xml:space="preserve">$40,000</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20"/>
                <w:szCs w:val="20"/>
              </w:rPr>
              <w:t xml:space="preserve">Structure, deck, furnishing, site prep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Bathhouse &amp; Communal Kitchen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A4A5C"/>
                <w:sz w:val="20"/>
                <w:szCs w:val="20"/>
              </w:rPr>
              <w:t xml:space="preserve">$12,000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Toilets, showers, shared kitchen</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20"/>
                <w:szCs w:val="20"/>
              </w:rPr>
              <w:t xml:space="preserve">Marketing &amp; Branding</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3A4A5C"/>
                <w:sz w:val="20"/>
                <w:szCs w:val="20"/>
              </w:rPr>
              <w:t xml:space="preserve">$7,000</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20"/>
                <w:szCs w:val="20"/>
              </w:rPr>
              <w:t xml:space="preserve">Website, SEO, photography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Operating 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A4A5C"/>
                <w:sz w:val="20"/>
                <w:szCs w:val="20"/>
              </w:rPr>
              <w:t xml:space="preserve">$20,000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Working capital buffer</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20"/>
                <w:szCs w:val="20"/>
              </w:rPr>
              <w:t xml:space="preserve">Contingency</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3A4A5C"/>
                <w:sz w:val="20"/>
                <w:szCs w:val="20"/>
              </w:rPr>
              <w:t xml:space="preserve">$16,000</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20"/>
                <w:szCs w:val="20"/>
              </w:rPr>
              <w:t xml:space="preserve">Unexpected costs</w:t>
            </w:r>
          </w:p>
        </w:tc>
      </w:tr>
      <w:tr>
        <w:tc>
          <w:tcPr>
            <w:tcW w:type="dxa" w:w="3800"/>
            <w:tcBorders>
              <w:top w:val="single" w:color="CCCCCC" w:sz="1"/>
              <w:left w:val="single" w:color="CCCCCC" w:sz="1"/>
              <w:bottom w:val="single" w:color="CCCCCC" w:sz="1"/>
              <w:right w:val="single" w:color="CCCCCC" w:sz="1"/>
            </w:tcBorders>
            <w:shd w:fill="EFF5EE" w:val="clear"/>
            <w:tcMar>
              <w:top w:type="dxa" w:w="80"/>
              <w:left w:type="dxa" w:w="120"/>
              <w:bottom w:type="dxa" w:w="80"/>
              <w:right w:type="dxa" w:w="120"/>
            </w:tcMar>
          </w:tcPr>
          <w:p>
            <w:r>
              <w:rPr>
                <w:rFonts w:ascii="Arial" w:cs="Arial" w:eastAsia="Arial" w:hAnsi="Arial"/>
                <w:b/>
                <w:bCs/>
                <w:color w:val="4F7942"/>
                <w:sz w:val="20"/>
                <w:szCs w:val="20"/>
              </w:rPr>
              <w:t xml:space="preserve">TOTAL</w:t>
            </w:r>
          </w:p>
        </w:tc>
        <w:tc>
          <w:tcPr>
            <w:tcW w:type="dxa" w:w="1800"/>
            <w:tcBorders>
              <w:top w:val="single" w:color="CCCCCC" w:sz="1"/>
              <w:left w:val="single" w:color="CCCCCC" w:sz="1"/>
              <w:bottom w:val="single" w:color="CCCCCC" w:sz="1"/>
              <w:right w:val="single" w:color="CCCCCC" w:sz="1"/>
            </w:tcBorders>
            <w:shd w:fill="EFF5EE" w:val="clear"/>
            <w:tcMar>
              <w:top w:type="dxa" w:w="80"/>
              <w:left w:type="dxa" w:w="120"/>
              <w:bottom w:type="dxa" w:w="80"/>
              <w:right w:type="dxa" w:w="120"/>
            </w:tcMar>
          </w:tcPr>
          <w:p>
            <w:r>
              <w:rPr>
                <w:rFonts w:ascii="Arial" w:cs="Arial" w:eastAsia="Arial" w:hAnsi="Arial"/>
                <w:b/>
                <w:bCs/>
                <w:color w:val="4F7942"/>
                <w:sz w:val="20"/>
                <w:szCs w:val="20"/>
              </w:rPr>
              <w:t xml:space="preserve">$125K–$150K</w:t>
            </w:r>
          </w:p>
        </w:tc>
        <w:tc>
          <w:tcPr>
            <w:tcW w:type="dxa" w:w="3760"/>
            <w:tcBorders>
              <w:top w:val="single" w:color="CCCCCC" w:sz="1"/>
              <w:left w:val="single" w:color="CCCCCC" w:sz="1"/>
              <w:bottom w:val="single" w:color="CCCCCC" w:sz="1"/>
              <w:right w:val="single" w:color="CCCCCC" w:sz="1"/>
            </w:tcBorders>
            <w:shd w:fill="EFF5EE" w:val="clear"/>
            <w:tcMar>
              <w:top w:type="dxa" w:w="80"/>
              <w:left w:type="dxa" w:w="120"/>
              <w:bottom w:type="dxa" w:w="80"/>
              <w:right w:type="dxa" w:w="120"/>
            </w:tcMar>
          </w:tcPr>
          <w:p>
            <w:r>
              <w:rPr>
                <w:rFonts w:ascii="Arial" w:cs="Arial" w:eastAsia="Arial" w:hAnsi="Arial"/>
                <w:b/>
                <w:bCs/>
                <w:color w:val="4F7942"/>
                <w:sz w:val="20"/>
                <w:szCs w:val="20"/>
              </w:rPr>
              <w:t xml:space="preserve">Full buildout, all phases</w:t>
            </w:r>
          </w:p>
        </w:tc>
      </w:tr>
    </w:tbl>
    <w:p>
      <w:pPr>
        <w:spacing w:before="240" w:after="0"/>
      </w:pPr>
      <w:r>
        <w:t xml:space="preserve"/>
      </w:r>
    </w:p>
    <w:p>
      <w:pPr>
        <w:spacing w:before="360" w:after="80"/>
      </w:pPr>
      <w:r>
        <w:rPr>
          <w:rFonts w:ascii="Arial" w:cs="Arial" w:eastAsia="Arial" w:hAnsi="Arial"/>
          <w:b/>
          <w:bCs/>
          <w:color w:val="B8860B"/>
          <w:spacing w:val="60"/>
          <w:sz w:val="18"/>
          <w:szCs w:val="18"/>
        </w:rPr>
        <w:t xml:space="preserve">REVENUE PROJECTIONS</w:t>
      </w:r>
    </w:p>
    <w:p>
      <w:pPr>
        <w:pStyle w:val="Heading1"/>
        <w:spacing w:before="0" w:after="160"/>
      </w:pPr>
      <w:r>
        <w:rPr>
          <w:rFonts w:ascii="Arial" w:cs="Arial" w:eastAsia="Arial" w:hAnsi="Arial"/>
          <w:b/>
          <w:bCs/>
          <w:color w:val="3A4A5C"/>
          <w:sz w:val="40"/>
          <w:szCs w:val="40"/>
        </w:rPr>
        <w:t xml:space="preserve">Conservative 3-Year Path</w:t>
      </w:r>
    </w:p>
    <w:p>
      <w:pPr>
        <w:pBdr>
          <w:bottom w:val="single" w:color="4F7942" w:sz="6" w:space="1"/>
        </w:pBdr>
        <w:spacing w:before="0" w:after="240"/>
      </w:pPr>
      <w:r>
        <w:t xml:space="preserve"/>
      </w:r>
    </w:p>
    <w:p>
      <w:pPr>
        <w:spacing w:before="0" w:after="160"/>
        <w:jc w:val="both"/>
      </w:pPr>
      <w:r>
        <w:rPr>
          <w:rFonts w:ascii="Arial" w:cs="Arial" w:eastAsia="Arial" w:hAnsi="Arial"/>
          <w:color w:val="444444"/>
          <w:sz w:val="22"/>
          <w:szCs w:val="22"/>
        </w:rPr>
        <w:t xml:space="preserve">These figures are estimates based on current rental performance, comparable small-scale retreat operations, and conservative occupancy assumptions. Projections will be updated quarterly as real data becomes available.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CCCCC" w:sz="1"/>
              <w:left w:val="single" w:color="CCCCCC" w:sz="1"/>
              <w:bottom w:val="single" w:color="CCCCCC" w:sz="1"/>
              <w:right w:val="single" w:color="CCCCCC" w:sz="1"/>
            </w:tcBorders>
            <w:shd w:fill="4F794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Revenue Stream</w:t>
            </w:r>
          </w:p>
        </w:tc>
        <w:tc>
          <w:tcPr>
            <w:tcW w:type="dxa" w:w="2120"/>
            <w:tcBorders>
              <w:top w:val="single" w:color="CCCCCC" w:sz="1"/>
              <w:left w:val="single" w:color="CCCCCC" w:sz="1"/>
              <w:bottom w:val="single" w:color="CCCCCC" w:sz="1"/>
              <w:right w:val="single" w:color="CCCCCC" w:sz="1"/>
            </w:tcBorders>
            <w:shd w:fill="4F79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1</w:t>
            </w:r>
          </w:p>
        </w:tc>
        <w:tc>
          <w:tcPr>
            <w:tcW w:type="dxa" w:w="2120"/>
            <w:tcBorders>
              <w:top w:val="single" w:color="CCCCCC" w:sz="1"/>
              <w:left w:val="single" w:color="CCCCCC" w:sz="1"/>
              <w:bottom w:val="single" w:color="CCCCCC" w:sz="1"/>
              <w:right w:val="single" w:color="CCCCCC" w:sz="1"/>
            </w:tcBorders>
            <w:shd w:fill="4F79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2</w:t>
            </w:r>
          </w:p>
        </w:tc>
        <w:tc>
          <w:tcPr>
            <w:tcW w:type="dxa" w:w="2120"/>
            <w:tcBorders>
              <w:top w:val="single" w:color="CCCCCC" w:sz="1"/>
              <w:left w:val="single" w:color="CCCCCC" w:sz="1"/>
              <w:bottom w:val="single" w:color="CCCCCC" w:sz="1"/>
              <w:right w:val="single" w:color="CCCCCC" w:sz="1"/>
            </w:tcBorders>
            <w:shd w:fill="4F79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Cottage Rentals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$25K–$30K</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$40K–$50K</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$50K–$60K</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Reiki &amp; Healing</w:t>
            </w:r>
          </w:p>
        </w:tc>
        <w:tc>
          <w:tcPr>
            <w:tcW w:type="dxa" w:w="2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$8K–$12K</w:t>
            </w:r>
          </w:p>
        </w:tc>
        <w:tc>
          <w:tcPr>
            <w:tcW w:type="dxa" w:w="2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$12K–$18K</w:t>
            </w:r>
          </w:p>
        </w:tc>
        <w:tc>
          <w:tcPr>
            <w:tcW w:type="dxa" w:w="2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$15K–$22K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Day Experiences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$5K–$8K</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$8K–$12K</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$12K–$15K</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Retreat Programs</w:t>
            </w:r>
          </w:p>
        </w:tc>
        <w:tc>
          <w:tcPr>
            <w:tcW w:type="dxa" w:w="2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$15K–$20K</w:t>
            </w:r>
          </w:p>
        </w:tc>
        <w:tc>
          <w:tcPr>
            <w:tcW w:type="dxa" w:w="2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$30K–$43K</w:t>
            </w:r>
          </w:p>
        </w:tc>
        <w:tc>
          <w:tcPr>
            <w:tcW w:type="dxa" w:w="2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$45K–$60K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Zome Rentals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$27K–$36K</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$54K–$72K</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Events &amp; Community</w:t>
            </w:r>
          </w:p>
        </w:tc>
        <w:tc>
          <w:tcPr>
            <w:tcW w:type="dxa" w:w="2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$2K–$4K</w:t>
            </w:r>
          </w:p>
        </w:tc>
        <w:tc>
          <w:tcPr>
            <w:tcW w:type="dxa" w:w="2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$5K–$8K</w:t>
            </w:r>
          </w:p>
        </w:tc>
        <w:tc>
          <w:tcPr>
            <w:tcW w:type="dxa" w:w="2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$10K–$15K</w:t>
            </w:r>
          </w:p>
        </w:tc>
      </w:tr>
      <w:tr>
        <w:tc>
          <w:tcPr>
            <w:tcW w:type="dxa" w:w="3000"/>
            <w:tcBorders>
              <w:top w:val="single" w:color="CCCCCC" w:sz="1"/>
              <w:left w:val="single" w:color="CCCCCC" w:sz="1"/>
              <w:bottom w:val="single" w:color="CCCCCC" w:sz="1"/>
              <w:right w:val="single" w:color="CCCCCC" w:sz="1"/>
            </w:tcBorders>
            <w:shd w:fill="EFF5EE" w:val="clear"/>
            <w:tcMar>
              <w:top w:type="dxa" w:w="80"/>
              <w:left w:type="dxa" w:w="120"/>
              <w:bottom w:type="dxa" w:w="80"/>
              <w:right w:type="dxa" w:w="120"/>
            </w:tcMar>
          </w:tcPr>
          <w:p>
            <w:pPr>
              <w:jc w:val="left"/>
            </w:pPr>
            <w:r>
              <w:rPr>
                <w:rFonts w:ascii="Arial" w:cs="Arial" w:eastAsia="Arial" w:hAnsi="Arial"/>
                <w:b/>
                <w:bCs/>
                <w:color w:val="4F7942"/>
                <w:sz w:val="20"/>
                <w:szCs w:val="20"/>
              </w:rPr>
              <w:t xml:space="preserve">TOTAL</w:t>
            </w:r>
          </w:p>
        </w:tc>
        <w:tc>
          <w:tcPr>
            <w:tcW w:type="dxa" w:w="2120"/>
            <w:tcBorders>
              <w:top w:val="single" w:color="CCCCCC" w:sz="1"/>
              <w:left w:val="single" w:color="CCCCCC" w:sz="1"/>
              <w:bottom w:val="single" w:color="CCCCCC" w:sz="1"/>
              <w:right w:val="single" w:color="CCCCCC" w:sz="1"/>
            </w:tcBorders>
            <w:shd w:fill="EFF5EE" w:val="clear"/>
            <w:tcMar>
              <w:top w:type="dxa" w:w="80"/>
              <w:left w:type="dxa" w:w="120"/>
              <w:bottom w:type="dxa" w:w="80"/>
              <w:right w:type="dxa" w:w="120"/>
            </w:tcMar>
          </w:tcPr>
          <w:p>
            <w:pPr>
              <w:jc w:val="center"/>
            </w:pPr>
            <w:r>
              <w:rPr>
                <w:rFonts w:ascii="Arial" w:cs="Arial" w:eastAsia="Arial" w:hAnsi="Arial"/>
                <w:b/>
                <w:bCs/>
                <w:color w:val="4F7942"/>
                <w:sz w:val="20"/>
                <w:szCs w:val="20"/>
              </w:rPr>
              <w:t xml:space="preserve">$55K–$74K</w:t>
            </w:r>
          </w:p>
        </w:tc>
        <w:tc>
          <w:tcPr>
            <w:tcW w:type="dxa" w:w="2120"/>
            <w:tcBorders>
              <w:top w:val="single" w:color="CCCCCC" w:sz="1"/>
              <w:left w:val="single" w:color="CCCCCC" w:sz="1"/>
              <w:bottom w:val="single" w:color="CCCCCC" w:sz="1"/>
              <w:right w:val="single" w:color="CCCCCC" w:sz="1"/>
            </w:tcBorders>
            <w:shd w:fill="EFF5EE" w:val="clear"/>
            <w:tcMar>
              <w:top w:type="dxa" w:w="80"/>
              <w:left w:type="dxa" w:w="120"/>
              <w:bottom w:type="dxa" w:w="80"/>
              <w:right w:type="dxa" w:w="120"/>
            </w:tcMar>
          </w:tcPr>
          <w:p>
            <w:pPr>
              <w:jc w:val="center"/>
            </w:pPr>
            <w:r>
              <w:rPr>
                <w:rFonts w:ascii="Arial" w:cs="Arial" w:eastAsia="Arial" w:hAnsi="Arial"/>
                <w:b/>
                <w:bCs/>
                <w:color w:val="4F7942"/>
                <w:sz w:val="20"/>
                <w:szCs w:val="20"/>
              </w:rPr>
              <w:t xml:space="preserve">$122K–$167K</w:t>
            </w:r>
          </w:p>
        </w:tc>
        <w:tc>
          <w:tcPr>
            <w:tcW w:type="dxa" w:w="2120"/>
            <w:tcBorders>
              <w:top w:val="single" w:color="CCCCCC" w:sz="1"/>
              <w:left w:val="single" w:color="CCCCCC" w:sz="1"/>
              <w:bottom w:val="single" w:color="CCCCCC" w:sz="1"/>
              <w:right w:val="single" w:color="CCCCCC" w:sz="1"/>
            </w:tcBorders>
            <w:shd w:fill="EFF5EE" w:val="clear"/>
            <w:tcMar>
              <w:top w:type="dxa" w:w="80"/>
              <w:left w:type="dxa" w:w="120"/>
              <w:bottom w:type="dxa" w:w="80"/>
              <w:right w:type="dxa" w:w="120"/>
            </w:tcMar>
          </w:tcPr>
          <w:p>
            <w:pPr>
              <w:jc w:val="center"/>
            </w:pPr>
            <w:r>
              <w:rPr>
                <w:rFonts w:ascii="Arial" w:cs="Arial" w:eastAsia="Arial" w:hAnsi="Arial"/>
                <w:b/>
                <w:bCs/>
                <w:color w:val="4F7942"/>
                <w:sz w:val="20"/>
                <w:szCs w:val="20"/>
              </w:rPr>
              <w:t xml:space="preserve">$186K–$244K</w:t>
            </w:r>
          </w:p>
        </w:tc>
      </w:tr>
    </w:tbl>
    <w:p>
      <w:pPr>
        <w:spacing w:before="240" w:after="0"/>
      </w:pPr>
      <w:r>
        <w:t xml:space="preserve"/>
      </w:r>
    </w:p>
    <w:p>
      <w:pPr>
        <w:pBdr>
          <w:left w:val="single" w:color="B8860B" w:sz="12" w:space="12"/>
        </w:pBdr>
        <w:spacing w:before="240" w:after="240"/>
        <w:ind w:left="480"/>
      </w:pPr>
      <w:r>
        <w:rPr>
          <w:rFonts w:ascii="Arial" w:cs="Arial" w:eastAsia="Arial" w:hAnsi="Arial"/>
          <w:color w:val="4F7942"/>
          <w:sz w:val="24"/>
          <w:szCs w:val="24"/>
        </w:rPr>
        <w:t xml:space="preserve">Year 1 revenue grows as optimizations take hold. Year 2 unlocks a step-change with the Zome accommodation. Year 3 reflects full multi-stream maturity.</w:t>
      </w:r>
    </w:p>
    <w:p>
      <w:r>
        <w:br w:type="page"/>
      </w:r>
    </w:p>
    <w:p>
      <w:pPr>
        <w:spacing w:before="360" w:after="80"/>
      </w:pPr>
      <w:r>
        <w:rPr>
          <w:rFonts w:ascii="Arial" w:cs="Arial" w:eastAsia="Arial" w:hAnsi="Arial"/>
          <w:b/>
          <w:bCs/>
          <w:color w:val="B8860B"/>
          <w:spacing w:val="60"/>
          <w:sz w:val="18"/>
          <w:szCs w:val="18"/>
        </w:rPr>
        <w:t xml:space="preserve">MARKET ANALYSIS</w:t>
      </w:r>
    </w:p>
    <w:p>
      <w:pPr>
        <w:pStyle w:val="Heading1"/>
        <w:spacing w:before="0" w:after="160"/>
      </w:pPr>
      <w:r>
        <w:rPr>
          <w:rFonts w:ascii="Arial" w:cs="Arial" w:eastAsia="Arial" w:hAnsi="Arial"/>
          <w:b/>
          <w:bCs/>
          <w:color w:val="3A4A5C"/>
          <w:sz w:val="40"/>
          <w:szCs w:val="40"/>
        </w:rPr>
        <w:t xml:space="preserve">The Wellness Tourism Opportunity</w:t>
      </w:r>
    </w:p>
    <w:p>
      <w:pPr>
        <w:pBdr>
          <w:bottom w:val="single" w:color="4F7942" w:sz="6" w:space="1"/>
        </w:pBdr>
        <w:spacing w:before="0" w:after="240"/>
      </w:pPr>
      <w:r>
        <w:t xml:space="preserve"/>
      </w:r>
    </w:p>
    <w:p>
      <w:pPr>
        <w:pStyle w:val="Heading2"/>
        <w:spacing w:before="320" w:after="120"/>
      </w:pPr>
      <w:r>
        <w:rPr>
          <w:rFonts w:ascii="Arial" w:cs="Arial" w:eastAsia="Arial" w:hAnsi="Arial"/>
          <w:b/>
          <w:bCs/>
          <w:color w:val="3A4A5C"/>
          <w:sz w:val="28"/>
          <w:szCs w:val="28"/>
        </w:rPr>
        <w:t xml:space="preserve">Global Market</w:t>
      </w:r>
    </w:p>
    <w:p>
      <w:pPr>
        <w:spacing w:before="0" w:after="160"/>
        <w:jc w:val="both"/>
      </w:pPr>
      <w:r>
        <w:rPr>
          <w:rFonts w:ascii="Arial" w:cs="Arial" w:eastAsia="Arial" w:hAnsi="Arial"/>
          <w:color w:val="444444"/>
          <w:sz w:val="22"/>
          <w:szCs w:val="22"/>
        </w:rPr>
        <w:t xml:space="preserve">The global wellness tourism market was valued at approximately $950 billion in 2024, with projections ranging from $1.7 to $2.0 trillion by 2030–2034 (Straits Research, Arizton, Precedence Research, IMARC Group). Growth rates range from 6–11% annually across major research sources. North America accounts for roughly 35–42% of the global market.</w:t>
      </w:r>
    </w:p>
    <w:p>
      <w:pPr>
        <w:pStyle w:val="Heading2"/>
        <w:spacing w:before="320" w:after="120"/>
      </w:pPr>
      <w:r>
        <w:rPr>
          <w:rFonts w:ascii="Arial" w:cs="Arial" w:eastAsia="Arial" w:hAnsi="Arial"/>
          <w:b/>
          <w:bCs/>
          <w:color w:val="3A4A5C"/>
          <w:sz w:val="28"/>
          <w:szCs w:val="28"/>
        </w:rPr>
        <w:t xml:space="preserve">Key Market Trends</w:t>
      </w:r>
    </w:p>
    <w:p>
      <w:pPr>
        <w:pStyle w:val="ListParagraph"/>
        <w:numPr>
          <w:ilvl w:val="0"/>
          <w:numId w:val="2"/>
        </w:numPr>
        <w:spacing w:before="40" w:after="40"/>
      </w:pPr>
      <w:r>
        <w:rPr>
          <w:rFonts w:ascii="Arial" w:cs="Arial" w:eastAsia="Arial" w:hAnsi="Arial"/>
          <w:color w:val="444444"/>
          <w:sz w:val="22"/>
          <w:szCs w:val="22"/>
        </w:rPr>
        <w:t xml:space="preserve">Pet-Inclusive Travel: 78% of American pet owners travel with their pets annually; 52% of all travelers factor pet accommodations into their plans (APPA, Motel 6/2024 survey). Seven Feathers' no-size-restriction, no-fee pet policy is a direct competitive advantage.</w:t>
      </w:r>
    </w:p>
    <w:p>
      <w:pPr>
        <w:pStyle w:val="ListParagraph"/>
        <w:numPr>
          <w:ilvl w:val="0"/>
          <w:numId w:val="2"/>
        </w:numPr>
        <w:spacing w:before="40" w:after="40"/>
      </w:pPr>
      <w:r>
        <w:rPr>
          <w:rFonts w:ascii="Arial" w:cs="Arial" w:eastAsia="Arial" w:hAnsi="Arial"/>
          <w:color w:val="444444"/>
          <w:sz w:val="22"/>
          <w:szCs w:val="22"/>
        </w:rPr>
        <w:t xml:space="preserve">Homesteading &amp; Self-Sufficiency: Post-pandemic interest in gardening, sustainable living, and food self-sufficiency continues to drive demand for hands-on educational experiences.</w:t>
      </w:r>
    </w:p>
    <w:p>
      <w:pPr>
        <w:pStyle w:val="ListParagraph"/>
        <w:numPr>
          <w:ilvl w:val="0"/>
          <w:numId w:val="2"/>
        </w:numPr>
        <w:spacing w:before="40" w:after="40"/>
      </w:pPr>
      <w:r>
        <w:rPr>
          <w:rFonts w:ascii="Arial" w:cs="Arial" w:eastAsia="Arial" w:hAnsi="Arial"/>
          <w:color w:val="444444"/>
          <w:sz w:val="22"/>
          <w:szCs w:val="22"/>
        </w:rPr>
        <w:t xml:space="preserve">Remote Work &amp; Extended Stays: High-speed internet combined with a secluded natural setting creates conditions for extended stays and remote work retreats — a rapidly growing segment.</w:t>
      </w:r>
    </w:p>
    <w:p>
      <w:pPr>
        <w:pStyle w:val="ListParagraph"/>
        <w:numPr>
          <w:ilvl w:val="0"/>
          <w:numId w:val="2"/>
        </w:numPr>
        <w:spacing w:before="40" w:after="40"/>
      </w:pPr>
      <w:r>
        <w:rPr>
          <w:rFonts w:ascii="Arial" w:cs="Arial" w:eastAsia="Arial" w:hAnsi="Arial"/>
          <w:color w:val="444444"/>
          <w:sz w:val="22"/>
          <w:szCs w:val="22"/>
        </w:rPr>
        <w:t xml:space="preserve">Nature-Based Healing: Demand for forest bathing, earth-based ceremony, and outdoor wellness programming has grown significantly since 2020 and continues to expand.</w:t>
      </w:r>
    </w:p>
    <w:p>
      <w:pPr>
        <w:pStyle w:val="Heading2"/>
        <w:spacing w:before="320" w:after="120"/>
      </w:pPr>
      <w:r>
        <w:rPr>
          <w:rFonts w:ascii="Arial" w:cs="Arial" w:eastAsia="Arial" w:hAnsi="Arial"/>
          <w:b/>
          <w:bCs/>
          <w:color w:val="3A4A5C"/>
          <w:sz w:val="28"/>
          <w:szCs w:val="28"/>
        </w:rPr>
        <w:t xml:space="preserve">Location Advantage: Ashe County, NC</w:t>
      </w:r>
    </w:p>
    <w:p>
      <w:pPr>
        <w:spacing w:before="0" w:after="160"/>
        <w:jc w:val="both"/>
      </w:pPr>
      <w:r>
        <w:rPr>
          <w:rFonts w:ascii="Arial" w:cs="Arial" w:eastAsia="Arial" w:hAnsi="Arial"/>
          <w:color w:val="444444"/>
          <w:sz w:val="22"/>
          <w:szCs w:val="22"/>
        </w:rPr>
        <w:t xml:space="preserve">Ashe County is a rural mountain community in the northwestern corner of North Carolina, bordering Virginia and Tennessee. The area draws visitors year-round for the Blue Ridge Parkway, Grayson Highlands State Park, New River State Park, and the Mount Jefferson area.</w:t>
      </w:r>
    </w:p>
    <w:p>
      <w:pPr>
        <w:spacing w:before="0" w:after="160"/>
        <w:jc w:val="both"/>
      </w:pPr>
      <w:r>
        <w:rPr>
          <w:rFonts w:ascii="Arial" w:cs="Arial" w:eastAsia="Arial" w:hAnsi="Arial"/>
          <w:color w:val="444444"/>
          <w:sz w:val="22"/>
          <w:szCs w:val="22"/>
        </w:rPr>
        <w:t xml:space="preserve">While Ashe County does not have the tourism volume of Asheville or Boone, it offers something those markets cannot: genuine seclusion, quiet, and wide-open land at a fraction of the cost. Guests seeking nature immersion, spiritual practice, and digital detox actively seek out locations removed from commercial tourism corridors.</w:t>
      </w:r>
    </w:p>
    <w:p>
      <w:pPr>
        <w:spacing w:before="0" w:after="160"/>
        <w:jc w:val="both"/>
      </w:pPr>
      <w:r>
        <w:rPr>
          <w:rFonts w:ascii="Arial" w:cs="Arial" w:eastAsia="Arial" w:hAnsi="Arial"/>
          <w:color w:val="444444"/>
          <w:sz w:val="22"/>
          <w:szCs w:val="22"/>
        </w:rPr>
        <w:t xml:space="preserve">The lower cost of living and land values in Ashe County also allow the retreat to offer competitive pricing while maintaining healthy margins — a structural advantage over competitors in higher-cost markets.</w:t>
      </w:r>
    </w:p>
    <w:p>
      <w:pPr>
        <w:pStyle w:val="Heading2"/>
        <w:spacing w:before="320" w:after="120"/>
      </w:pPr>
      <w:r>
        <w:rPr>
          <w:rFonts w:ascii="Arial" w:cs="Arial" w:eastAsia="Arial" w:hAnsi="Arial"/>
          <w:b/>
          <w:bCs/>
          <w:color w:val="3A4A5C"/>
          <w:sz w:val="28"/>
          <w:szCs w:val="28"/>
        </w:rPr>
        <w:t xml:space="preserve">Competitive Position</w:t>
      </w:r>
    </w:p>
    <w:p>
      <w:pPr>
        <w:spacing w:before="0" w:after="160"/>
        <w:jc w:val="both"/>
      </w:pPr>
      <w:r>
        <w:rPr>
          <w:rFonts w:ascii="Arial" w:cs="Arial" w:eastAsia="Arial" w:hAnsi="Arial"/>
          <w:color w:val="444444"/>
          <w:sz w:val="22"/>
          <w:szCs w:val="22"/>
        </w:rPr>
        <w:t xml:space="preserve">Seven Feathers Wellness Retreat sits at the intersection of several underserved niches:</w:t>
      </w:r>
    </w:p>
    <w:p>
      <w:pPr>
        <w:pStyle w:val="ListParagraph"/>
        <w:numPr>
          <w:ilvl w:val="0"/>
          <w:numId w:val="2"/>
        </w:numPr>
        <w:spacing w:before="40" w:after="40"/>
      </w:pPr>
      <w:r>
        <w:rPr>
          <w:rFonts w:ascii="Arial" w:cs="Arial" w:eastAsia="Arial" w:hAnsi="Arial"/>
          <w:color w:val="444444"/>
          <w:sz w:val="22"/>
          <w:szCs w:val="22"/>
        </w:rPr>
        <w:t xml:space="preserve">Small, intimate, owner-operated sanctuaries (as opposed to large commercial retreat centers)</w:t>
      </w:r>
    </w:p>
    <w:p>
      <w:pPr>
        <w:pStyle w:val="ListParagraph"/>
        <w:numPr>
          <w:ilvl w:val="0"/>
          <w:numId w:val="2"/>
        </w:numPr>
        <w:spacing w:before="40" w:after="40"/>
      </w:pPr>
      <w:r>
        <w:rPr>
          <w:rFonts w:ascii="Arial" w:cs="Arial" w:eastAsia="Arial" w:hAnsi="Arial"/>
          <w:color w:val="444444"/>
          <w:sz w:val="22"/>
          <w:szCs w:val="22"/>
        </w:rPr>
        <w:t xml:space="preserve">Pet-friendly properties with genuine space — fenced acreage, creek access, no restrictions</w:t>
      </w:r>
    </w:p>
    <w:p>
      <w:pPr>
        <w:pStyle w:val="ListParagraph"/>
        <w:numPr>
          <w:ilvl w:val="0"/>
          <w:numId w:val="2"/>
        </w:numPr>
        <w:spacing w:before="40" w:after="40"/>
      </w:pPr>
      <w:r>
        <w:rPr>
          <w:rFonts w:ascii="Arial" w:cs="Arial" w:eastAsia="Arial" w:hAnsi="Arial"/>
          <w:color w:val="444444"/>
          <w:sz w:val="22"/>
          <w:szCs w:val="22"/>
        </w:rPr>
        <w:t xml:space="preserve">Accessible pricing without sacrificing authenticity or experience quality</w:t>
      </w:r>
    </w:p>
    <w:p>
      <w:pPr>
        <w:pStyle w:val="ListParagraph"/>
        <w:numPr>
          <w:ilvl w:val="0"/>
          <w:numId w:val="2"/>
        </w:numPr>
        <w:spacing w:before="40" w:after="40"/>
      </w:pPr>
      <w:r>
        <w:rPr>
          <w:rFonts w:ascii="Arial" w:cs="Arial" w:eastAsia="Arial" w:hAnsi="Arial"/>
          <w:color w:val="444444"/>
          <w:sz w:val="22"/>
          <w:szCs w:val="22"/>
        </w:rPr>
        <w:t xml:space="preserve">Nature-based spiritual programming led by a credentialed, on-site Reiki Master</w:t>
      </w:r>
    </w:p>
    <w:p>
      <w:pPr>
        <w:pStyle w:val="ListParagraph"/>
        <w:numPr>
          <w:ilvl w:val="0"/>
          <w:numId w:val="2"/>
        </w:numPr>
        <w:spacing w:before="40" w:after="40"/>
      </w:pPr>
      <w:r>
        <w:rPr>
          <w:rFonts w:ascii="Arial" w:cs="Arial" w:eastAsia="Arial" w:hAnsi="Arial"/>
          <w:color w:val="444444"/>
          <w:sz w:val="22"/>
          <w:szCs w:val="22"/>
        </w:rPr>
        <w:t xml:space="preserve">Multi-revenue model combining nightly rentals, healing services, and retreat programming</w:t>
      </w:r>
    </w:p>
    <w:p>
      <w:r>
        <w:br w:type="page"/>
      </w:r>
    </w:p>
    <w:p>
      <w:pPr>
        <w:spacing w:before="360" w:after="80"/>
      </w:pPr>
      <w:r>
        <w:rPr>
          <w:rFonts w:ascii="Arial" w:cs="Arial" w:eastAsia="Arial" w:hAnsi="Arial"/>
          <w:b/>
          <w:bCs/>
          <w:color w:val="B8860B"/>
          <w:spacing w:val="60"/>
          <w:sz w:val="18"/>
          <w:szCs w:val="18"/>
        </w:rPr>
        <w:t xml:space="preserve">RISK MITIGATION</w:t>
      </w:r>
    </w:p>
    <w:p>
      <w:pPr>
        <w:pStyle w:val="Heading1"/>
        <w:spacing w:before="0" w:after="160"/>
      </w:pPr>
      <w:r>
        <w:rPr>
          <w:rFonts w:ascii="Arial" w:cs="Arial" w:eastAsia="Arial" w:hAnsi="Arial"/>
          <w:b/>
          <w:bCs/>
          <w:color w:val="3A4A5C"/>
          <w:sz w:val="40"/>
          <w:szCs w:val="40"/>
        </w:rPr>
        <w:t xml:space="preserve">Built-In Safety Factors</w:t>
      </w:r>
    </w:p>
    <w:p>
      <w:pPr>
        <w:pBdr>
          <w:bottom w:val="single" w:color="4F7942" w:sz="6" w:space="1"/>
        </w:pBdr>
        <w:spacing w:before="0" w:after="240"/>
      </w:pPr>
      <w:r>
        <w:t xml:space="preserve"/>
      </w:r>
    </w:p>
    <w:p>
      <w:pPr>
        <w:spacing w:before="0" w:after="160"/>
        <w:jc w:val="both"/>
      </w:pPr>
      <w:r>
        <w:rPr>
          <w:rFonts w:ascii="Arial" w:cs="Arial" w:eastAsia="Arial" w:hAnsi="Arial"/>
          <w:color w:val="444444"/>
          <w:sz w:val="22"/>
          <w:szCs w:val="22"/>
        </w:rPr>
        <w:t xml:space="preserve">Every element of the expansion plan has been designed to limit downside exposure and build on demonstrated, real demand.</w:t>
      </w:r>
    </w:p>
    <w:p>
      <w:pPr>
        <w:spacing w:before="80" w:after="0"/>
      </w:pPr>
      <w:r>
        <w:t xml:space="preserve"/>
      </w:r>
    </w:p>
    <w:p>
      <w:pPr>
        <w:pStyle w:val="Heading2"/>
        <w:spacing w:before="320" w:after="120"/>
      </w:pPr>
      <w:r>
        <w:rPr>
          <w:rFonts w:ascii="Arial" w:cs="Arial" w:eastAsia="Arial" w:hAnsi="Arial"/>
          <w:b/>
          <w:bCs/>
          <w:color w:val="4F7942"/>
          <w:sz w:val="28"/>
          <w:szCs w:val="28"/>
        </w:rPr>
        <w:t xml:space="preserve">Existing Revenue Base</w:t>
      </w:r>
    </w:p>
    <w:p>
      <w:pPr>
        <w:spacing w:before="0" w:after="160"/>
        <w:jc w:val="both"/>
      </w:pPr>
      <w:r>
        <w:rPr>
          <w:rFonts w:ascii="Arial" w:cs="Arial" w:eastAsia="Arial" w:hAnsi="Arial"/>
          <w:color w:val="444444"/>
          <w:sz w:val="22"/>
          <w:szCs w:val="22"/>
        </w:rPr>
        <w:t xml:space="preserve">The property is already generating rental income with a 4.97-star Airbnb rating. This is not a speculative venture — it is an expansion of an operating business. Revenue continues at every stage of the buildout.</w:t>
      </w:r>
    </w:p>
    <w:p>
      <w:pPr>
        <w:pStyle w:val="Heading2"/>
        <w:spacing w:before="320" w:after="120"/>
      </w:pPr>
      <w:r>
        <w:rPr>
          <w:rFonts w:ascii="Arial" w:cs="Arial" w:eastAsia="Arial" w:hAnsi="Arial"/>
          <w:b/>
          <w:bCs/>
          <w:color w:val="4F7942"/>
          <w:sz w:val="28"/>
          <w:szCs w:val="28"/>
        </w:rPr>
        <w:t xml:space="preserve">Proven Demand</w:t>
      </w:r>
    </w:p>
    <w:p>
      <w:pPr>
        <w:spacing w:before="0" w:after="160"/>
        <w:jc w:val="both"/>
      </w:pPr>
      <w:r>
        <w:rPr>
          <w:rFonts w:ascii="Arial" w:cs="Arial" w:eastAsia="Arial" w:hAnsi="Arial"/>
          <w:color w:val="444444"/>
          <w:sz w:val="22"/>
          <w:szCs w:val="22"/>
        </w:rPr>
        <w:t xml:space="preserve">The property generated up to $14,487 in a single year under casual, occasional management — without active marketing, year-round availability, or on-site hosting. Under active management in 2025, it reached $10,290 with significant capacity still untapped. Even during the slow season (November–February), the property recorded 10 reservations. Demand for this location is real and demonstrated.</w:t>
      </w:r>
    </w:p>
    <w:p>
      <w:pPr>
        <w:pStyle w:val="Heading2"/>
        <w:spacing w:before="320" w:after="120"/>
      </w:pPr>
      <w:r>
        <w:rPr>
          <w:rFonts w:ascii="Arial" w:cs="Arial" w:eastAsia="Arial" w:hAnsi="Arial"/>
          <w:b/>
          <w:bCs/>
          <w:color w:val="4F7942"/>
          <w:sz w:val="28"/>
          <w:szCs w:val="28"/>
        </w:rPr>
        <w:t xml:space="preserve">Phased Approach</w:t>
      </w:r>
    </w:p>
    <w:p>
      <w:pPr>
        <w:spacing w:before="0" w:after="160"/>
        <w:jc w:val="both"/>
      </w:pPr>
      <w:r>
        <w:rPr>
          <w:rFonts w:ascii="Arial" w:cs="Arial" w:eastAsia="Arial" w:hAnsi="Arial"/>
          <w:color w:val="444444"/>
          <w:sz w:val="22"/>
          <w:szCs w:val="22"/>
        </w:rPr>
        <w:t xml:space="preserve">Investment scales with demonstrated success at each stage. Phase 1 requires minimal capital ($2,000–$5,000) and begins generating incremental revenue immediately. Each subsequent phase is funded in part by the revenue generated in the prior phase — limiting the amount of capital at risk at any one time.</w:t>
      </w:r>
    </w:p>
    <w:p>
      <w:pPr>
        <w:pStyle w:val="Heading2"/>
        <w:spacing w:before="320" w:after="120"/>
      </w:pPr>
      <w:r>
        <w:rPr>
          <w:rFonts w:ascii="Arial" w:cs="Arial" w:eastAsia="Arial" w:hAnsi="Arial"/>
          <w:b/>
          <w:bCs/>
          <w:color w:val="4F7942"/>
          <w:sz w:val="28"/>
          <w:szCs w:val="28"/>
        </w:rPr>
        <w:t xml:space="preserve">Owner-Operated Advantage</w:t>
      </w:r>
    </w:p>
    <w:p>
      <w:pPr>
        <w:spacing w:before="0" w:after="160"/>
        <w:jc w:val="both"/>
      </w:pPr>
      <w:r>
        <w:rPr>
          <w:rFonts w:ascii="Arial" w:cs="Arial" w:eastAsia="Arial" w:hAnsi="Arial"/>
          <w:color w:val="444444"/>
          <w:sz w:val="22"/>
          <w:szCs w:val="22"/>
        </w:rPr>
        <w:t xml:space="preserve">The owner lives on the property full-time and serves as host, retreat facilitator, and property manager. This eliminates property management fees (typically 15–25% of gross revenue), enables same-day guest response and turnover, and ensures the authentic, personal hospitality that drives the 4.97-star rating.</w:t>
      </w:r>
    </w:p>
    <w:p>
      <w:pPr>
        <w:pStyle w:val="Heading2"/>
        <w:spacing w:before="320" w:after="120"/>
      </w:pPr>
      <w:r>
        <w:rPr>
          <w:rFonts w:ascii="Arial" w:cs="Arial" w:eastAsia="Arial" w:hAnsi="Arial"/>
          <w:b/>
          <w:bCs/>
          <w:color w:val="4F7942"/>
          <w:sz w:val="28"/>
          <w:szCs w:val="28"/>
        </w:rPr>
        <w:t xml:space="preserve">Diversified Income Streams</w:t>
      </w:r>
    </w:p>
    <w:p>
      <w:pPr>
        <w:spacing w:before="0" w:after="160"/>
        <w:jc w:val="both"/>
      </w:pPr>
      <w:r>
        <w:rPr>
          <w:rFonts w:ascii="Arial" w:cs="Arial" w:eastAsia="Arial" w:hAnsi="Arial"/>
          <w:color w:val="444444"/>
          <w:sz w:val="22"/>
          <w:szCs w:val="22"/>
        </w:rPr>
        <w:t xml:space="preserve">The business is not dependent on any single revenue source. Nightly rentals, Reiki sessions, day experiences, retreat programming, and community events each contribute independently — so a soft period in one stream does not collapse the whole operation.</w:t>
      </w:r>
    </w:p>
    <w:p>
      <w:pPr>
        <w:pStyle w:val="Heading2"/>
        <w:spacing w:before="320" w:after="120"/>
      </w:pPr>
      <w:r>
        <w:rPr>
          <w:rFonts w:ascii="Arial" w:cs="Arial" w:eastAsia="Arial" w:hAnsi="Arial"/>
          <w:b/>
          <w:bCs/>
          <w:color w:val="4F7942"/>
          <w:sz w:val="28"/>
          <w:szCs w:val="28"/>
        </w:rPr>
        <w:t xml:space="preserve">Eco-Friendly Infrastructure</w:t>
      </w:r>
    </w:p>
    <w:p>
      <w:pPr>
        <w:spacing w:before="0" w:after="160"/>
        <w:jc w:val="both"/>
      </w:pPr>
      <w:r>
        <w:rPr>
          <w:rFonts w:ascii="Arial" w:cs="Arial" w:eastAsia="Arial" w:hAnsi="Arial"/>
          <w:color w:val="444444"/>
          <w:sz w:val="22"/>
          <w:szCs w:val="22"/>
        </w:rPr>
        <w:t xml:space="preserve">Zome dwellings use bio-ceramic MgO panels rated fireproof (to 2,200°F), waterproof, mold-proof, and pest-proof with a 140 mph wind rating. They assemble in 5–10 days with no heavy machinery and are placed on non-permanent foundations — simplifying the permitting process in Ashe County and reducing construction risk.</w:t>
      </w:r>
    </w:p>
    <w:p>
      <w:pPr>
        <w:pStyle w:val="Heading2"/>
        <w:spacing w:before="320" w:after="120"/>
      </w:pPr>
      <w:r>
        <w:rPr>
          <w:rFonts w:ascii="Arial" w:cs="Arial" w:eastAsia="Arial" w:hAnsi="Arial"/>
          <w:b/>
          <w:bCs/>
          <w:color w:val="4F7942"/>
          <w:sz w:val="28"/>
          <w:szCs w:val="28"/>
        </w:rPr>
        <w:t xml:space="preserve">Transparency Commitment</w:t>
      </w:r>
    </w:p>
    <w:p>
      <w:pPr>
        <w:spacing w:before="0" w:after="160"/>
        <w:jc w:val="both"/>
      </w:pPr>
      <w:r>
        <w:rPr>
          <w:rFonts w:ascii="Arial" w:cs="Arial" w:eastAsia="Arial" w:hAnsi="Arial"/>
          <w:color w:val="444444"/>
          <w:sz w:val="22"/>
          <w:szCs w:val="22"/>
        </w:rPr>
        <w:t xml:space="preserve">All market statistics cited in this document are sourced from published industry research and are noted where approximate or projected. Financial projections will be updated quarterly as real data becomes available. Investors will receive regular, honest communication about performance — including what is working and what needs adjustment.</w:t>
      </w:r>
    </w:p>
    <w:p>
      <w:r>
        <w:br w:type="page"/>
      </w:r>
    </w:p>
    <w:p>
      <w:pPr>
        <w:spacing w:before="360" w:after="80"/>
      </w:pPr>
      <w:r>
        <w:rPr>
          <w:rFonts w:ascii="Arial" w:cs="Arial" w:eastAsia="Arial" w:hAnsi="Arial"/>
          <w:b/>
          <w:bCs/>
          <w:color w:val="B8860B"/>
          <w:spacing w:val="60"/>
          <w:sz w:val="18"/>
          <w:szCs w:val="18"/>
        </w:rPr>
        <w:t xml:space="preserve">INVESTMENT STRUCTURE</w:t>
      </w:r>
    </w:p>
    <w:p>
      <w:pPr>
        <w:pStyle w:val="Heading1"/>
        <w:spacing w:before="0" w:after="160"/>
      </w:pPr>
      <w:r>
        <w:rPr>
          <w:rFonts w:ascii="Arial" w:cs="Arial" w:eastAsia="Arial" w:hAnsi="Arial"/>
          <w:b/>
          <w:bCs/>
          <w:color w:val="3A4A5C"/>
          <w:sz w:val="40"/>
          <w:szCs w:val="40"/>
        </w:rPr>
        <w:t xml:space="preserve">Ways to Partner</w:t>
      </w:r>
    </w:p>
    <w:p>
      <w:pPr>
        <w:pBdr>
          <w:bottom w:val="single" w:color="4F7942" w:sz="6" w:space="1"/>
        </w:pBdr>
        <w:spacing w:before="0" w:after="240"/>
      </w:pPr>
      <w:r>
        <w:t xml:space="preserve"/>
      </w:r>
    </w:p>
    <w:p>
      <w:pPr>
        <w:spacing w:before="0" w:after="160"/>
        <w:jc w:val="both"/>
      </w:pPr>
      <w:r>
        <w:rPr>
          <w:rFonts w:ascii="Arial" w:cs="Arial" w:eastAsia="Arial" w:hAnsi="Arial"/>
          <w:color w:val="444444"/>
          <w:sz w:val="22"/>
          <w:szCs w:val="22"/>
        </w:rPr>
        <w:t xml:space="preserve">The specific investment structure is open for discussion and will be tailored to align with investor goals and preferences. Property acquisition is being pursued separately through owner financing, keeping the retreat business investment distinct from the land purchase.</w:t>
      </w:r>
    </w:p>
    <w:p>
      <w:pPr>
        <w:spacing w:before="120" w:after="0"/>
      </w:pPr>
      <w:r>
        <w:t xml:space="preserve"/>
      </w:r>
    </w:p>
    <w:p>
      <w:pPr>
        <w:pStyle w:val="Heading2"/>
        <w:spacing w:before="320" w:after="120"/>
      </w:pPr>
      <w:r>
        <w:rPr>
          <w:rFonts w:ascii="Arial" w:cs="Arial" w:eastAsia="Arial" w:hAnsi="Arial"/>
          <w:b/>
          <w:bCs/>
          <w:color w:val="3A4A5C"/>
          <w:sz w:val="28"/>
          <w:szCs w:val="28"/>
        </w:rPr>
        <w:t xml:space="preserve">Partnership Options</w:t>
      </w:r>
    </w:p>
    <w:p>
      <w:pPr>
        <w:pStyle w:val="ListParagraph"/>
        <w:numPr>
          <w:ilvl w:val="0"/>
          <w:numId w:val="2"/>
        </w:numPr>
        <w:spacing w:before="40" w:after="40"/>
      </w:pPr>
      <w:r>
        <w:rPr>
          <w:rFonts w:ascii="Arial" w:cs="Arial" w:eastAsia="Arial" w:hAnsi="Arial"/>
          <w:b/>
          <w:bCs/>
          <w:color w:val="3A4A5C"/>
          <w:sz w:val="22"/>
          <w:szCs w:val="22"/>
        </w:rPr>
        <w:t xml:space="preserve">Equity: </w:t>
      </w:r>
      <w:r>
        <w:rPr>
          <w:rFonts w:ascii="Arial" w:cs="Arial" w:eastAsia="Arial" w:hAnsi="Arial"/>
          <w:color w:val="444444"/>
          <w:sz w:val="22"/>
          <w:szCs w:val="22"/>
        </w:rPr>
        <w:t xml:space="preserve">Equity Stake — Own a percentage of the retreat business, sharing in revenue growth and long-term value. Distributions tied to profitability milestones. Formal operating agreement defines rights and responsibilities.</w:t>
      </w:r>
    </w:p>
    <w:p>
      <w:pPr>
        <w:spacing w:before="40" w:after="40"/>
      </w:pPr>
      <w:r>
        <w:t xml:space="preserve"/>
      </w:r>
    </w:p>
    <w:p>
      <w:pPr>
        <w:pStyle w:val="ListParagraph"/>
        <w:numPr>
          <w:ilvl w:val="0"/>
          <w:numId w:val="2"/>
        </w:numPr>
        <w:spacing w:before="40" w:after="40"/>
      </w:pPr>
      <w:r>
        <w:rPr>
          <w:rFonts w:ascii="Arial" w:cs="Arial" w:eastAsia="Arial" w:hAnsi="Arial"/>
          <w:b/>
          <w:bCs/>
          <w:color w:val="3A4A5C"/>
          <w:sz w:val="22"/>
          <w:szCs w:val="22"/>
        </w:rPr>
        <w:t xml:space="preserve">Revenue Share: </w:t>
      </w:r>
      <w:r>
        <w:rPr>
          <w:rFonts w:ascii="Arial" w:cs="Arial" w:eastAsia="Arial" w:hAnsi="Arial"/>
          <w:color w:val="444444"/>
          <w:sz w:val="22"/>
          <w:szCs w:val="22"/>
        </w:rPr>
        <w:t xml:space="preserve">Revenue Share — Receive an agreed percentage of gross or net revenue over a defined period. Can be tied to specific streams (rentals, retreats, healing services). Transparent quarterly reporting as standard.</w:t>
      </w:r>
    </w:p>
    <w:p>
      <w:pPr>
        <w:spacing w:before="40" w:after="40"/>
      </w:pPr>
      <w:r>
        <w:t xml:space="preserve"/>
      </w:r>
    </w:p>
    <w:p>
      <w:pPr>
        <w:pStyle w:val="ListParagraph"/>
        <w:numPr>
          <w:ilvl w:val="0"/>
          <w:numId w:val="2"/>
        </w:numPr>
        <w:spacing w:before="40" w:after="40"/>
      </w:pPr>
      <w:r>
        <w:rPr>
          <w:rFonts w:ascii="Arial" w:cs="Arial" w:eastAsia="Arial" w:hAnsi="Arial"/>
          <w:b/>
          <w:bCs/>
          <w:color w:val="3A4A5C"/>
          <w:sz w:val="22"/>
          <w:szCs w:val="22"/>
        </w:rPr>
        <w:t xml:space="preserve">Loan: </w:t>
      </w:r>
      <w:r>
        <w:rPr>
          <w:rFonts w:ascii="Arial" w:cs="Arial" w:eastAsia="Arial" w:hAnsi="Arial"/>
          <w:color w:val="444444"/>
          <w:sz w:val="22"/>
          <w:szCs w:val="22"/>
        </w:rPr>
        <w:t xml:space="preserve">Loan with Interest — Straightforward loan structure with agreed interest and repayment timeline. Repayment begins when revenue milestones are reached. Option to convert to equity if both parties prefer.</w:t>
      </w:r>
    </w:p>
    <w:p>
      <w:pPr>
        <w:spacing w:before="40" w:after="40"/>
      </w:pPr>
      <w:r>
        <w:t xml:space="preserve"/>
      </w:r>
    </w:p>
    <w:p>
      <w:pPr>
        <w:pStyle w:val="ListParagraph"/>
        <w:numPr>
          <w:ilvl w:val="0"/>
          <w:numId w:val="2"/>
        </w:numPr>
        <w:spacing w:before="40" w:after="40"/>
      </w:pPr>
      <w:r>
        <w:rPr>
          <w:rFonts w:ascii="Arial" w:cs="Arial" w:eastAsia="Arial" w:hAnsi="Arial"/>
          <w:b/>
          <w:bCs/>
          <w:color w:val="3A4A5C"/>
          <w:sz w:val="22"/>
          <w:szCs w:val="22"/>
        </w:rPr>
        <w:t xml:space="preserve">Non-Financial: </w:t>
      </w:r>
      <w:r>
        <w:rPr>
          <w:rFonts w:ascii="Arial" w:cs="Arial" w:eastAsia="Arial" w:hAnsi="Arial"/>
          <w:color w:val="444444"/>
          <w:sz w:val="22"/>
          <w:szCs w:val="22"/>
        </w:rPr>
        <w:t xml:space="preserve">Non-Financial Partnership — Skills, networks, labor, materials, or expertise that contribute meaningfully. Marketing, construction, wellness facilitation, or network connections all have real value here.</w:t>
      </w:r>
    </w:p>
    <w:p>
      <w:pPr>
        <w:spacing w:before="0" w:after="200"/>
      </w:pPr>
      <w:r>
        <w:t xml:space="preserve"/>
      </w:r>
    </w:p>
    <w:p>
      <w:pPr>
        <w:pBdr>
          <w:left w:val="single" w:color="B8860B" w:sz="12" w:space="12"/>
        </w:pBdr>
        <w:spacing w:before="240" w:after="240"/>
        <w:ind w:left="480"/>
      </w:pPr>
      <w:r>
        <w:rPr>
          <w:rFonts w:ascii="Arial" w:cs="Arial" w:eastAsia="Arial" w:hAnsi="Arial"/>
          <w:color w:val="4F7942"/>
          <w:sz w:val="24"/>
          <w:szCs w:val="24"/>
        </w:rPr>
        <w:t xml:space="preserve">The best agreements are built around what each person brings and what they need in return. If you have an idea that doesn't fit neatly into these categories — bring it.</w:t>
      </w:r>
    </w:p>
    <w:p>
      <w:pPr>
        <w:spacing w:before="360" w:after="80"/>
      </w:pPr>
      <w:r>
        <w:rPr>
          <w:rFonts w:ascii="Arial" w:cs="Arial" w:eastAsia="Arial" w:hAnsi="Arial"/>
          <w:b/>
          <w:bCs/>
          <w:color w:val="B8860B"/>
          <w:spacing w:val="60"/>
          <w:sz w:val="18"/>
          <w:szCs w:val="18"/>
        </w:rPr>
        <w:t xml:space="preserve">EXIT STRATEGY</w:t>
      </w:r>
    </w:p>
    <w:p>
      <w:pPr>
        <w:pStyle w:val="Heading1"/>
        <w:spacing w:before="0" w:after="160"/>
      </w:pPr>
      <w:r>
        <w:rPr>
          <w:rFonts w:ascii="Arial" w:cs="Arial" w:eastAsia="Arial" w:hAnsi="Arial"/>
          <w:b/>
          <w:bCs/>
          <w:color w:val="3A4A5C"/>
          <w:sz w:val="40"/>
          <w:szCs w:val="40"/>
        </w:rPr>
        <w:t xml:space="preserve">Path to Return</w:t>
      </w:r>
    </w:p>
    <w:p>
      <w:pPr>
        <w:pBdr>
          <w:bottom w:val="single" w:color="4F7942" w:sz="6" w:space="1"/>
        </w:pBdr>
        <w:spacing w:before="0" w:after="240"/>
      </w:pPr>
      <w:r>
        <w:t xml:space="preserve"/>
      </w:r>
    </w:p>
    <w:p>
      <w:pPr>
        <w:spacing w:before="0" w:after="160"/>
        <w:jc w:val="both"/>
      </w:pPr>
      <w:r>
        <w:rPr>
          <w:rFonts w:ascii="Arial" w:cs="Arial" w:eastAsia="Arial" w:hAnsi="Arial"/>
          <w:color w:val="444444"/>
          <w:sz w:val="22"/>
          <w:szCs w:val="22"/>
        </w:rPr>
        <w:t xml:space="preserve">Investors have multiple clear options for realizing a return on their investment, depending on the structure agreed upon and the performance of the business over time.</w:t>
      </w:r>
    </w:p>
    <w:p>
      <w:pPr>
        <w:spacing w:before="80" w:after="0"/>
      </w:pPr>
      <w:r>
        <w:t xml:space="preserve"/>
      </w:r>
    </w:p>
    <w:p>
      <w:pPr>
        <w:pStyle w:val="ListParagraph"/>
        <w:numPr>
          <w:ilvl w:val="0"/>
          <w:numId w:val="2"/>
        </w:numPr>
        <w:spacing w:before="40" w:after="40"/>
      </w:pPr>
      <w:r>
        <w:rPr>
          <w:rFonts w:ascii="Arial" w:cs="Arial" w:eastAsia="Arial" w:hAnsi="Arial"/>
          <w:color w:val="444444"/>
          <w:sz w:val="22"/>
          <w:szCs w:val="22"/>
        </w:rPr>
        <w:t xml:space="preserve">Sale as Turnkey Business — The property and retreat operation, once established with multiple revenue streams and a strong reputation, can be sold as a turnkey wellness retreat business. Comparable established retreat properties in the Blue Ridge region command a significant premium over undeveloped land.</w:t>
      </w:r>
    </w:p>
    <w:p>
      <w:pPr>
        <w:pStyle w:val="ListParagraph"/>
        <w:numPr>
          <w:ilvl w:val="0"/>
          <w:numId w:val="2"/>
        </w:numPr>
        <w:spacing w:before="40" w:after="40"/>
      </w:pPr>
      <w:r>
        <w:rPr>
          <w:rFonts w:ascii="Arial" w:cs="Arial" w:eastAsia="Arial" w:hAnsi="Arial"/>
          <w:color w:val="444444"/>
          <w:sz w:val="22"/>
          <w:szCs w:val="22"/>
        </w:rPr>
        <w:t xml:space="preserve">Refinance to Return Capital — Once the property has appreciated in value and the business demonstrates consistent revenue, refinancing can return investor principal while the retreat continues operating.</w:t>
      </w:r>
    </w:p>
    <w:p>
      <w:pPr>
        <w:pStyle w:val="ListParagraph"/>
        <w:numPr>
          <w:ilvl w:val="0"/>
          <w:numId w:val="2"/>
        </w:numPr>
        <w:spacing w:before="40" w:after="40"/>
      </w:pPr>
      <w:r>
        <w:rPr>
          <w:rFonts w:ascii="Arial" w:cs="Arial" w:eastAsia="Arial" w:hAnsi="Arial"/>
          <w:color w:val="444444"/>
          <w:sz w:val="22"/>
          <w:szCs w:val="22"/>
        </w:rPr>
        <w:t xml:space="preserve">Ongoing Profit Sharing — Investors who prefer long-term participation can receive ongoing distributions as the business grows and matures across Years 2–5 and beyond.</w:t>
      </w:r>
    </w:p>
    <w:p>
      <w:pPr>
        <w:pStyle w:val="ListParagraph"/>
        <w:numPr>
          <w:ilvl w:val="0"/>
          <w:numId w:val="2"/>
        </w:numPr>
        <w:spacing w:before="40" w:after="40"/>
      </w:pPr>
      <w:r>
        <w:rPr>
          <w:rFonts w:ascii="Arial" w:cs="Arial" w:eastAsia="Arial" w:hAnsi="Arial"/>
          <w:color w:val="444444"/>
          <w:sz w:val="22"/>
          <w:szCs w:val="22"/>
        </w:rPr>
        <w:t xml:space="preserve">Investor Buyout — After a successful proof of concept, the owner may seek to refinance or raise additional capital to buy out early investors at an agreed valuation.</w:t>
      </w:r>
    </w:p>
    <w:p>
      <w:pPr>
        <w:spacing w:before="240" w:after="0"/>
      </w:pPr>
      <w:r>
        <w:t xml:space="preserve"/>
      </w:r>
    </w:p>
    <w:p>
      <w:pPr>
        <w:pBdr>
          <w:bottom w:val="single" w:color="C8D5C4" w:sz="4" w:space="1"/>
        </w:pBdr>
        <w:spacing w:before="240" w:after="480"/>
        <w:jc w:val="center"/>
      </w:pPr>
      <w:r>
        <w:rPr>
          <w:rFonts w:ascii="Arial" w:cs="Arial" w:eastAsia="Arial" w:hAnsi="Arial"/>
          <w:sz w:val="22"/>
          <w:szCs w:val="22"/>
        </w:rPr>
        <w:t xml:space="preserve"/>
      </w:r>
    </w:p>
    <w:p>
      <w:pPr>
        <w:spacing w:before="0" w:after="160"/>
        <w:jc w:val="center"/>
      </w:pPr>
      <w:r>
        <w:rPr>
          <w:rFonts w:ascii="Arial" w:cs="Arial" w:eastAsia="Arial" w:hAnsi="Arial"/>
          <w:b/>
          <w:bCs/>
          <w:color w:val="4F7942"/>
          <w:sz w:val="32"/>
          <w:szCs w:val="32"/>
        </w:rPr>
        <w:t xml:space="preserve">Ready to Begin the Conversation?</w:t>
      </w:r>
    </w:p>
    <w:p>
      <w:pPr>
        <w:spacing w:before="0" w:after="80"/>
        <w:jc w:val="center"/>
      </w:pPr>
      <w:r>
        <w:rPr>
          <w:rFonts w:ascii="Arial" w:cs="Arial" w:eastAsia="Arial" w:hAnsi="Arial"/>
          <w:color w:val="3A4A5C"/>
          <w:sz w:val="22"/>
          <w:szCs w:val="22"/>
        </w:rPr>
        <w:t xml:space="preserve">7featherswellness@proton.me  ·  336-267-6897</w:t>
      </w:r>
    </w:p>
    <w:p>
      <w:pPr>
        <w:spacing w:before="0" w:after="480"/>
        <w:jc w:val="center"/>
      </w:pPr>
      <w:r>
        <w:rPr>
          <w:rFonts w:ascii="Arial" w:cs="Arial" w:eastAsia="Arial" w:hAnsi="Arial"/>
          <w:color w:val="888888"/>
          <w:sz w:val="18"/>
          <w:szCs w:val="18"/>
        </w:rPr>
        <w:t xml:space="preserve">Call or text welcome  ·  Email preferred for initial introductions</w:t>
      </w:r>
    </w:p>
    <w:p>
      <w:pPr>
        <w:spacing w:before="0" w:after="0"/>
        <w:jc w:val="center"/>
      </w:pPr>
      <w:r>
        <w:rPr>
          <w:rFonts w:ascii="Arial" w:cs="Arial" w:eastAsia="Arial" w:hAnsi="Arial"/>
          <w:color w:val="B8860B"/>
          <w:sz w:val="22"/>
          <w:szCs w:val="22"/>
        </w:rPr>
        <w:t xml:space="preserve">A place of healing, belonging, and sacred return.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160"/>
      <w:outlineLvl w:val="0"/>
    </w:pPr>
    <w:rPr>
      <w:rFonts w:ascii="Arial" w:cs="Arial" w:eastAsia="Arial" w:hAnsi="Arial"/>
      <w:b/>
      <w:bCs/>
      <w:color w:val="3A4A5C"/>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3A4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2026-02-19T22:31:45.350Z</dcterms:created>
  <dcterms:modified xsi:type="dcterms:W3CDTF">2026-02-19T22:31:45.351Z</dcterms:modified>
</cp:coreProperties>
</file>

<file path=docProps/custom.xml><?xml version="1.0" encoding="utf-8"?>
<Properties xmlns="http://schemas.openxmlformats.org/officeDocument/2006/custom-properties" xmlns:vt="http://schemas.openxmlformats.org/officeDocument/2006/docPropsVTypes"/>
</file>