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CHARTE GRAPHIQUE – KSY GROUP</w:t>
      </w:r>
    </w:p>
    <w:p>
      <w:pPr>
        <w:pStyle w:val="Heading2"/>
      </w:pPr>
      <w:r>
        <w:t>1. ADN DE MARQUE</w:t>
      </w:r>
    </w:p>
    <w:p>
      <w:r>
        <w:t>KSY GROUP est un groupe structurant, multi-activités, avec une vision long terme. La marque repose sur l’autorité silencieuse, la crédibilité institutionnelle et la maîtrise.</w:t>
      </w:r>
    </w:p>
    <w:p>
      <w:pPr>
        <w:pStyle w:val="Heading2"/>
      </w:pPr>
      <w:r>
        <w:t>2. POSITIONNEMENT</w:t>
      </w:r>
    </w:p>
    <w:p>
      <w:r>
        <w:t>KSY GROUP structure, pilote et développe des activités à forte valeur. Le commerce est un levier, le groupe est l’identité.</w:t>
      </w:r>
    </w:p>
    <w:p>
      <w:pPr>
        <w:pStyle w:val="Heading2"/>
      </w:pPr>
      <w:r>
        <w:t>3. LOGOTYPE</w:t>
      </w:r>
    </w:p>
    <w:p>
      <w:r>
        <w:t>Version principale : monogramme KSY + mention GROUP.</w:t>
        <w:br/>
        <w:t>Version secondaire : monogramme seul pour avatars et supports compacts.</w:t>
        <w:br/>
        <w:t>Interdictions : déformation, changement de couleurs, effets décoratifs.</w:t>
      </w:r>
    </w:p>
    <w:p>
      <w:pPr>
        <w:pStyle w:val="Heading2"/>
      </w:pPr>
      <w:r>
        <w:t>4. COULEURS OFFICIELLES</w:t>
      </w:r>
    </w:p>
    <w:p>
      <w:r>
        <w:t>Bleu nuit institutionnel : HEX #0B1F3B | RGB 11-31-59 | CMJN 100-75-35-30</w:t>
        <w:br/>
        <w:t>Or mat premium : HEX #C9A24D | RGB 201-162-77 | CMJN 20-35-80-10</w:t>
        <w:br/>
        <w:t>Noir : #000000 | Blanc : #FFFFFF</w:t>
      </w:r>
    </w:p>
    <w:p>
      <w:pPr>
        <w:pStyle w:val="Heading2"/>
      </w:pPr>
      <w:r>
        <w:t>5. TYPOGRAPHIES</w:t>
      </w:r>
    </w:p>
    <w:p>
      <w:r>
        <w:t>Typographie principale : Montserrat / Inter / Poppins.</w:t>
        <w:br/>
        <w:t>Typographie secondaire : Roboto / Open Sans.</w:t>
      </w:r>
    </w:p>
    <w:p>
      <w:pPr>
        <w:pStyle w:val="Heading2"/>
      </w:pPr>
      <w:r>
        <w:t>6. RÈGLES D’UTILISATION</w:t>
      </w:r>
    </w:p>
    <w:p>
      <w:r>
        <w:t>Zone de protection autour du logo.</w:t>
        <w:br/>
        <w:t>Taille minimale impression : 25 mm.</w:t>
        <w:br/>
        <w:t>Taille minimale digital : 120 px.</w:t>
      </w:r>
    </w:p>
    <w:p>
      <w:pPr>
        <w:pStyle w:val="Heading2"/>
      </w:pPr>
      <w:r>
        <w:t>7. UTILISATION PAR SUPPORT</w:t>
      </w:r>
    </w:p>
    <w:p>
      <w:r>
        <w:t>Impression : version CMJN, fond blanc ou bleu nuit.</w:t>
        <w:br/>
        <w:t>Digital : version RGB.</w:t>
        <w:br/>
        <w:t>Réseaux sociaux : monogramme seul en photo de profil.</w:t>
      </w:r>
    </w:p>
    <w:p>
      <w:pPr>
        <w:pStyle w:val="Heading2"/>
      </w:pPr>
      <w:r>
        <w:t>8. TON VISUEL</w:t>
      </w:r>
    </w:p>
    <w:p>
      <w:r>
        <w:t>Privilégier sobriété, lignes droites, photos institutionnelles.</w:t>
        <w:br/>
        <w:t>Éviter couleurs flashy et visuels trop émotionnels.</w:t>
      </w:r>
    </w:p>
    <w:p>
      <w:pPr>
        <w:pStyle w:val="Heading2"/>
      </w:pPr>
      <w:r>
        <w:t>9. BASELINE (OPTIONNELLE)</w:t>
      </w:r>
    </w:p>
    <w:p>
      <w:r>
        <w:t>KSY GROUP — Structurer pour durer</w:t>
        <w:br/>
        <w:t>KSY GROUP — La force de l’organisation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