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302" w:rsidRDefault="0016002F" w:rsidP="00B8609E">
      <w:pPr>
        <w:jc w:val="right"/>
        <w:rPr>
          <w:rFonts w:ascii="Verdana" w:hAnsi="Verdana"/>
          <w:sz w:val="20"/>
        </w:rPr>
      </w:pPr>
      <w:r w:rsidRPr="00F00A4B">
        <w:rPr>
          <w:rFonts w:ascii="Verdana" w:hAnsi="Verdana" w:cs="Arial"/>
          <w:sz w:val="20"/>
          <w:szCs w:val="20"/>
        </w:rPr>
        <w:tab/>
      </w:r>
      <w:r w:rsidRPr="00F00A4B">
        <w:rPr>
          <w:rFonts w:ascii="Verdana" w:hAnsi="Verdana" w:cs="Arial"/>
          <w:sz w:val="20"/>
          <w:szCs w:val="20"/>
        </w:rPr>
        <w:tab/>
      </w:r>
      <w:r w:rsidRPr="00F00A4B">
        <w:rPr>
          <w:rFonts w:ascii="Verdana" w:hAnsi="Verdana" w:cs="Arial"/>
          <w:sz w:val="20"/>
          <w:szCs w:val="20"/>
        </w:rPr>
        <w:tab/>
      </w:r>
      <w:r w:rsidRPr="00F00A4B">
        <w:rPr>
          <w:rFonts w:ascii="Verdana" w:hAnsi="Verdana" w:cs="Arial"/>
          <w:sz w:val="20"/>
          <w:szCs w:val="20"/>
        </w:rPr>
        <w:tab/>
      </w:r>
      <w:r w:rsidRPr="00F00A4B">
        <w:rPr>
          <w:rFonts w:ascii="Verdana" w:hAnsi="Verdana" w:cs="Arial"/>
          <w:sz w:val="20"/>
          <w:szCs w:val="20"/>
        </w:rPr>
        <w:tab/>
      </w:r>
      <w:r w:rsidRPr="00F00A4B">
        <w:rPr>
          <w:rFonts w:ascii="Verdana" w:hAnsi="Verdana" w:cs="Arial"/>
          <w:sz w:val="20"/>
          <w:szCs w:val="20"/>
        </w:rPr>
        <w:tab/>
      </w:r>
      <w:r w:rsidRPr="00F00A4B">
        <w:rPr>
          <w:rFonts w:ascii="Verdana" w:hAnsi="Verdana" w:cs="Arial"/>
          <w:sz w:val="20"/>
          <w:szCs w:val="20"/>
        </w:rPr>
        <w:tab/>
      </w:r>
      <w:r w:rsidR="002A1DEB">
        <w:rPr>
          <w:rFonts w:ascii="Verdana" w:hAnsi="Verdana" w:cs="Arial"/>
          <w:sz w:val="20"/>
          <w:szCs w:val="20"/>
        </w:rPr>
        <w:t xml:space="preserve"> </w:t>
      </w:r>
      <w:r w:rsidR="002A1DEB">
        <w:rPr>
          <w:rFonts w:ascii="Verdana" w:hAnsi="Verdana" w:cs="Arial"/>
          <w:sz w:val="20"/>
          <w:szCs w:val="20"/>
        </w:rPr>
        <w:tab/>
        <w:t xml:space="preserve">       </w:t>
      </w:r>
      <w:r w:rsidR="00B8609E">
        <w:rPr>
          <w:rFonts w:ascii="Verdana" w:hAnsi="Verdana" w:cs="Arial"/>
          <w:sz w:val="20"/>
          <w:szCs w:val="20"/>
        </w:rPr>
        <w:t xml:space="preserve">                </w:t>
      </w:r>
      <w:r w:rsidR="00FC1302">
        <w:rPr>
          <w:rFonts w:ascii="Verdana" w:hAnsi="Verdana"/>
          <w:sz w:val="20"/>
        </w:rPr>
        <w:t>@Fecha</w:t>
      </w:r>
    </w:p>
    <w:p w:rsidR="00D56212" w:rsidRPr="00F00A4B" w:rsidRDefault="00D56212" w:rsidP="00B8609E">
      <w:pPr>
        <w:tabs>
          <w:tab w:val="left" w:pos="4820"/>
        </w:tabs>
        <w:jc w:val="right"/>
        <w:rPr>
          <w:rFonts w:ascii="Verdana" w:hAnsi="Verdana" w:cs="Arial"/>
          <w:sz w:val="20"/>
          <w:szCs w:val="20"/>
        </w:rPr>
      </w:pPr>
    </w:p>
    <w:p w:rsidR="00A40BCB" w:rsidRPr="00F00A4B" w:rsidRDefault="00A40BCB" w:rsidP="00B8609E">
      <w:pPr>
        <w:pStyle w:val="Sinespaciado"/>
        <w:jc w:val="both"/>
        <w:rPr>
          <w:rFonts w:ascii="Verdana" w:hAnsi="Verdana" w:cs="Arial"/>
          <w:b/>
          <w:sz w:val="20"/>
          <w:szCs w:val="20"/>
        </w:rPr>
      </w:pPr>
      <w:r w:rsidRPr="00F00A4B">
        <w:rPr>
          <w:rFonts w:ascii="Verdana" w:hAnsi="Verdana" w:cs="Arial"/>
          <w:b/>
          <w:sz w:val="20"/>
          <w:szCs w:val="20"/>
        </w:rPr>
        <w:t>SEÑORES</w:t>
      </w:r>
    </w:p>
    <w:p w:rsidR="00A40BCB" w:rsidRPr="00F00A4B" w:rsidRDefault="00E53094" w:rsidP="00B8609E">
      <w:pPr>
        <w:pStyle w:val="Sinespaciado"/>
        <w:jc w:val="both"/>
        <w:rPr>
          <w:rFonts w:ascii="Verdana" w:hAnsi="Verdana" w:cs="Arial"/>
          <w:b/>
          <w:sz w:val="20"/>
          <w:szCs w:val="20"/>
        </w:rPr>
      </w:pPr>
      <w:r w:rsidRPr="00F00A4B">
        <w:rPr>
          <w:rFonts w:ascii="Verdana" w:hAnsi="Verdana" w:cs="Arial"/>
          <w:b/>
          <w:sz w:val="20"/>
          <w:szCs w:val="20"/>
        </w:rPr>
        <w:t>(</w:t>
      </w:r>
      <w:r w:rsidRPr="00F00A4B">
        <w:rPr>
          <w:rFonts w:ascii="Verdana" w:hAnsi="Verdana" w:cs="Arial"/>
          <w:b/>
          <w:sz w:val="20"/>
          <w:szCs w:val="20"/>
          <w:highlight w:val="yellow"/>
        </w:rPr>
        <w:t>NOMBRE</w:t>
      </w:r>
      <w:r w:rsidRPr="00F00A4B">
        <w:rPr>
          <w:rFonts w:ascii="Verdana" w:hAnsi="Verdana" w:cs="Arial"/>
          <w:b/>
          <w:sz w:val="20"/>
          <w:szCs w:val="20"/>
        </w:rPr>
        <w:t>)</w:t>
      </w:r>
    </w:p>
    <w:p w:rsidR="00E53094" w:rsidRPr="00F00A4B" w:rsidRDefault="00E53094" w:rsidP="00B8609E">
      <w:pPr>
        <w:pStyle w:val="Sinespaciado"/>
        <w:jc w:val="both"/>
        <w:rPr>
          <w:rFonts w:ascii="Verdana" w:hAnsi="Verdana" w:cs="Arial"/>
          <w:b/>
          <w:sz w:val="20"/>
          <w:szCs w:val="20"/>
        </w:rPr>
      </w:pPr>
      <w:r w:rsidRPr="00F00A4B">
        <w:rPr>
          <w:rFonts w:ascii="Verdana" w:hAnsi="Verdana" w:cs="Arial"/>
          <w:b/>
          <w:sz w:val="20"/>
          <w:szCs w:val="20"/>
        </w:rPr>
        <w:t>(</w:t>
      </w:r>
      <w:r w:rsidRPr="00F00A4B">
        <w:rPr>
          <w:rFonts w:ascii="Verdana" w:hAnsi="Verdana" w:cs="Arial"/>
          <w:b/>
          <w:sz w:val="20"/>
          <w:szCs w:val="20"/>
          <w:highlight w:val="yellow"/>
        </w:rPr>
        <w:t>DIRECCION</w:t>
      </w:r>
      <w:r w:rsidRPr="00F00A4B">
        <w:rPr>
          <w:rFonts w:ascii="Verdana" w:hAnsi="Verdana" w:cs="Arial"/>
          <w:b/>
          <w:sz w:val="20"/>
          <w:szCs w:val="20"/>
        </w:rPr>
        <w:t>)</w:t>
      </w:r>
    </w:p>
    <w:p w:rsidR="00E53094" w:rsidRPr="00F00A4B" w:rsidRDefault="00E53094" w:rsidP="00B8609E">
      <w:pPr>
        <w:pStyle w:val="Sinespaciado"/>
        <w:jc w:val="both"/>
        <w:rPr>
          <w:rFonts w:ascii="Verdana" w:hAnsi="Verdana" w:cs="Arial"/>
          <w:b/>
          <w:sz w:val="20"/>
          <w:szCs w:val="20"/>
        </w:rPr>
      </w:pPr>
      <w:r w:rsidRPr="00F00A4B">
        <w:rPr>
          <w:rFonts w:ascii="Verdana" w:hAnsi="Verdana" w:cs="Arial"/>
          <w:b/>
          <w:sz w:val="20"/>
          <w:szCs w:val="20"/>
        </w:rPr>
        <w:t>(</w:t>
      </w:r>
      <w:r w:rsidRPr="00F00A4B">
        <w:rPr>
          <w:rFonts w:ascii="Verdana" w:hAnsi="Verdana" w:cs="Arial"/>
          <w:b/>
          <w:sz w:val="20"/>
          <w:szCs w:val="20"/>
          <w:highlight w:val="yellow"/>
        </w:rPr>
        <w:t>DISTRITO</w:t>
      </w:r>
      <w:r w:rsidRPr="00F00A4B">
        <w:rPr>
          <w:rFonts w:ascii="Verdana" w:hAnsi="Verdana" w:cs="Arial"/>
          <w:b/>
          <w:sz w:val="20"/>
          <w:szCs w:val="20"/>
        </w:rPr>
        <w:t>)</w:t>
      </w:r>
      <w:bookmarkStart w:id="0" w:name="_GoBack"/>
      <w:bookmarkEnd w:id="0"/>
    </w:p>
    <w:p w:rsidR="00A40BCB" w:rsidRPr="00F00A4B" w:rsidRDefault="000422DB" w:rsidP="00B8609E">
      <w:pPr>
        <w:pStyle w:val="Sinespaciado"/>
        <w:jc w:val="both"/>
        <w:rPr>
          <w:rFonts w:ascii="Verdana" w:hAnsi="Verdana" w:cs="Arial"/>
          <w:b/>
          <w:sz w:val="20"/>
          <w:szCs w:val="20"/>
        </w:rPr>
      </w:pPr>
      <w:r w:rsidRPr="00F00A4B">
        <w:rPr>
          <w:rFonts w:ascii="Verdana" w:hAnsi="Verdana" w:cs="Arial"/>
          <w:b/>
          <w:sz w:val="20"/>
          <w:szCs w:val="20"/>
        </w:rPr>
        <w:t xml:space="preserve"> </w:t>
      </w:r>
    </w:p>
    <w:p w:rsidR="0016002F" w:rsidRPr="00F00A4B" w:rsidRDefault="0016002F" w:rsidP="00B8609E">
      <w:pPr>
        <w:pStyle w:val="Sinespaciado"/>
        <w:jc w:val="both"/>
        <w:rPr>
          <w:rFonts w:ascii="Verdana" w:hAnsi="Verdana" w:cs="Arial"/>
          <w:sz w:val="20"/>
          <w:szCs w:val="20"/>
        </w:rPr>
      </w:pPr>
    </w:p>
    <w:p w:rsidR="008254F8" w:rsidRPr="00F00A4B" w:rsidRDefault="008254F8" w:rsidP="00B8609E">
      <w:pPr>
        <w:pStyle w:val="Sinespaciado"/>
        <w:jc w:val="both"/>
        <w:rPr>
          <w:rFonts w:ascii="Verdana" w:hAnsi="Verdana" w:cs="Arial"/>
          <w:sz w:val="20"/>
          <w:szCs w:val="20"/>
        </w:rPr>
      </w:pPr>
    </w:p>
    <w:p w:rsidR="0016002F" w:rsidRPr="00F00A4B" w:rsidRDefault="0016002F" w:rsidP="00B8609E">
      <w:pPr>
        <w:pStyle w:val="Sinespaciado"/>
        <w:jc w:val="both"/>
        <w:rPr>
          <w:rFonts w:ascii="Verdana" w:hAnsi="Verdana" w:cs="Arial"/>
          <w:sz w:val="20"/>
          <w:szCs w:val="20"/>
        </w:rPr>
      </w:pPr>
      <w:r w:rsidRPr="00F00A4B">
        <w:rPr>
          <w:rFonts w:ascii="Verdana" w:hAnsi="Verdana" w:cs="Arial"/>
          <w:sz w:val="20"/>
          <w:szCs w:val="20"/>
        </w:rPr>
        <w:t>Les escribe la ASOCIACIÓN PERUANA DE AUTORES Y COMPOSITORES – APDAYC, entidad debidamente autorizada por INDECOPI como Sociedad de Gestión Colectiva cuya finalidad es defender los derechos patrimoniales de los autores y compositores. Asimismo APDAYC cuenta con contratos de reciprocidad con otras Sociedades de Gestión Colectiva y es parte de la Confederación Internacional de Autores y Compositores – CISAC.</w:t>
      </w:r>
    </w:p>
    <w:p w:rsidR="0016002F" w:rsidRPr="00F00A4B" w:rsidRDefault="0016002F" w:rsidP="00B8609E">
      <w:pPr>
        <w:pStyle w:val="Sinespaciado"/>
        <w:jc w:val="both"/>
        <w:rPr>
          <w:rFonts w:ascii="Verdana" w:hAnsi="Verdana" w:cs="Arial"/>
          <w:sz w:val="20"/>
          <w:szCs w:val="20"/>
        </w:rPr>
      </w:pPr>
    </w:p>
    <w:p w:rsidR="0016002F" w:rsidRPr="00F00A4B" w:rsidRDefault="0016002F" w:rsidP="00B8609E">
      <w:pPr>
        <w:pStyle w:val="Sinespaciado"/>
        <w:jc w:val="both"/>
        <w:rPr>
          <w:rFonts w:ascii="Verdana" w:hAnsi="Verdana" w:cs="Arial"/>
          <w:b/>
          <w:sz w:val="20"/>
          <w:szCs w:val="20"/>
          <w:u w:val="single"/>
        </w:rPr>
      </w:pPr>
      <w:r w:rsidRPr="00F00A4B">
        <w:rPr>
          <w:rFonts w:ascii="Verdana" w:hAnsi="Verdana" w:cs="Arial"/>
          <w:sz w:val="20"/>
          <w:szCs w:val="20"/>
        </w:rPr>
        <w:t>Conforme al artículo 37 del citado Decreto Legislativo 822 – Ley sobre el Derecho de Autor, al amparo del Derecho Constitucional a la creación intelectual y reconocimiento patrimonial que este genere, determina al usuario de música la exigencia de recabar la AUTORIZACIÓN PREVIA Y POR ESCRITO para la comunicación pública de obras musicales que pertenecen a los titulares de los derechos de autor. Lo contrario significa incurrir en una infracción administrativa sancionable con una multa de hasta 180 UIT, así como un Delito previsto en los artículo 217 y siguientes del Código Penal sancionado con pena privativa de la libertad de 2 y hasta 6 años.</w:t>
      </w:r>
    </w:p>
    <w:p w:rsidR="0016002F" w:rsidRPr="00F00A4B" w:rsidRDefault="0016002F" w:rsidP="00B8609E">
      <w:pPr>
        <w:pStyle w:val="Sinespaciado"/>
        <w:jc w:val="both"/>
        <w:rPr>
          <w:rFonts w:ascii="Verdana" w:hAnsi="Verdana" w:cs="Arial"/>
          <w:sz w:val="20"/>
          <w:szCs w:val="20"/>
        </w:rPr>
      </w:pPr>
    </w:p>
    <w:p w:rsidR="0016002F" w:rsidRPr="00F00A4B" w:rsidRDefault="0003271D" w:rsidP="00B8609E">
      <w:pPr>
        <w:pStyle w:val="Sinespaciado"/>
        <w:jc w:val="both"/>
        <w:rPr>
          <w:rFonts w:ascii="Verdana" w:hAnsi="Verdana" w:cs="Arial"/>
          <w:sz w:val="20"/>
          <w:szCs w:val="20"/>
        </w:rPr>
      </w:pPr>
      <w:r w:rsidRPr="00F00A4B">
        <w:rPr>
          <w:rFonts w:ascii="Verdana" w:hAnsi="Verdana" w:cs="Arial"/>
          <w:sz w:val="20"/>
          <w:szCs w:val="20"/>
        </w:rPr>
        <w:t xml:space="preserve">Teniendo en cuenta que </w:t>
      </w:r>
      <w:r w:rsidR="00E53094" w:rsidRPr="00F00A4B">
        <w:rPr>
          <w:rFonts w:ascii="Verdana" w:hAnsi="Verdana" w:cs="Arial"/>
          <w:sz w:val="20"/>
          <w:szCs w:val="20"/>
        </w:rPr>
        <w:t>la emisora Radio (</w:t>
      </w:r>
      <w:r w:rsidR="00E53094" w:rsidRPr="00F00A4B">
        <w:rPr>
          <w:rFonts w:ascii="Verdana" w:hAnsi="Verdana" w:cs="Arial"/>
          <w:sz w:val="20"/>
          <w:szCs w:val="20"/>
          <w:highlight w:val="yellow"/>
        </w:rPr>
        <w:t>…</w:t>
      </w:r>
      <w:r w:rsidR="00E53094" w:rsidRPr="00F00A4B">
        <w:rPr>
          <w:rFonts w:ascii="Verdana" w:hAnsi="Verdana" w:cs="Arial"/>
          <w:sz w:val="20"/>
          <w:szCs w:val="20"/>
        </w:rPr>
        <w:t>) (</w:t>
      </w:r>
      <w:r w:rsidR="00E53094" w:rsidRPr="00F00A4B">
        <w:rPr>
          <w:rFonts w:ascii="Verdana" w:hAnsi="Verdana" w:cs="Arial"/>
          <w:sz w:val="20"/>
          <w:szCs w:val="20"/>
          <w:highlight w:val="yellow"/>
        </w:rPr>
        <w:t>…</w:t>
      </w:r>
      <w:r w:rsidR="00E53094" w:rsidRPr="00F00A4B">
        <w:rPr>
          <w:rFonts w:ascii="Verdana" w:hAnsi="Verdana" w:cs="Arial"/>
          <w:sz w:val="20"/>
          <w:szCs w:val="20"/>
        </w:rPr>
        <w:t>) FM</w:t>
      </w:r>
      <w:r w:rsidR="00582CC9" w:rsidRPr="00F00A4B">
        <w:rPr>
          <w:rFonts w:ascii="Verdana" w:hAnsi="Verdana" w:cs="Arial"/>
          <w:sz w:val="20"/>
          <w:szCs w:val="20"/>
        </w:rPr>
        <w:t xml:space="preserve">, del cual son propietarios, conductores y/o administradores, </w:t>
      </w:r>
      <w:r w:rsidRPr="00F00A4B">
        <w:rPr>
          <w:rFonts w:ascii="Verdana" w:hAnsi="Verdana" w:cs="Arial"/>
          <w:sz w:val="20"/>
          <w:szCs w:val="20"/>
        </w:rPr>
        <w:t xml:space="preserve"> ha iniciado actividades desde el </w:t>
      </w:r>
      <w:r w:rsidR="00E53094" w:rsidRPr="00F00A4B">
        <w:rPr>
          <w:rFonts w:ascii="Verdana" w:hAnsi="Verdana" w:cs="Arial"/>
          <w:sz w:val="20"/>
          <w:szCs w:val="20"/>
        </w:rPr>
        <w:t>(</w:t>
      </w:r>
      <w:r w:rsidR="00E53094" w:rsidRPr="00F00A4B">
        <w:rPr>
          <w:rFonts w:ascii="Verdana" w:hAnsi="Verdana" w:cs="Arial"/>
          <w:sz w:val="20"/>
          <w:szCs w:val="20"/>
          <w:highlight w:val="yellow"/>
        </w:rPr>
        <w:t>…</w:t>
      </w:r>
      <w:proofErr w:type="gramStart"/>
      <w:r w:rsidR="00E53094" w:rsidRPr="00F00A4B">
        <w:rPr>
          <w:rFonts w:ascii="Verdana" w:hAnsi="Verdana" w:cs="Arial"/>
          <w:sz w:val="20"/>
          <w:szCs w:val="20"/>
        </w:rPr>
        <w:t xml:space="preserve">) </w:t>
      </w:r>
      <w:r w:rsidRPr="00F00A4B">
        <w:rPr>
          <w:rFonts w:ascii="Verdana" w:hAnsi="Verdana" w:cs="Arial"/>
          <w:sz w:val="20"/>
          <w:szCs w:val="20"/>
        </w:rPr>
        <w:t>,</w:t>
      </w:r>
      <w:proofErr w:type="gramEnd"/>
      <w:r w:rsidRPr="00F00A4B">
        <w:rPr>
          <w:rFonts w:ascii="Verdana" w:hAnsi="Verdana" w:cs="Arial"/>
          <w:sz w:val="20"/>
          <w:szCs w:val="20"/>
        </w:rPr>
        <w:t xml:space="preserve"> de acuerdo al portal de SUNAT, </w:t>
      </w:r>
      <w:r w:rsidR="00E27DE3" w:rsidRPr="00F00A4B">
        <w:rPr>
          <w:rFonts w:ascii="Verdana" w:hAnsi="Verdana" w:cs="Arial"/>
          <w:sz w:val="20"/>
          <w:szCs w:val="20"/>
        </w:rPr>
        <w:t xml:space="preserve">es </w:t>
      </w:r>
      <w:r w:rsidRPr="00F00A4B">
        <w:rPr>
          <w:rFonts w:ascii="Verdana" w:hAnsi="Verdana" w:cs="Arial"/>
          <w:sz w:val="20"/>
          <w:szCs w:val="20"/>
        </w:rPr>
        <w:t>necesaria la actualización de la autorización por la comunicación pública de obras musicales qu</w:t>
      </w:r>
      <w:r w:rsidR="00E53094" w:rsidRPr="00F00A4B">
        <w:rPr>
          <w:rFonts w:ascii="Verdana" w:hAnsi="Verdana" w:cs="Arial"/>
          <w:sz w:val="20"/>
          <w:szCs w:val="20"/>
        </w:rPr>
        <w:t>e realiza en el local indicado, más aún cuando nuestro tarifario para el año 201</w:t>
      </w:r>
      <w:r w:rsidR="00F00A4B" w:rsidRPr="00F00A4B">
        <w:rPr>
          <w:rFonts w:ascii="Verdana" w:hAnsi="Verdana" w:cs="Arial"/>
          <w:sz w:val="20"/>
          <w:szCs w:val="20"/>
        </w:rPr>
        <w:t>4</w:t>
      </w:r>
      <w:r w:rsidR="00E53094" w:rsidRPr="00F00A4B">
        <w:rPr>
          <w:rFonts w:ascii="Verdana" w:hAnsi="Verdana" w:cs="Arial"/>
          <w:sz w:val="20"/>
          <w:szCs w:val="20"/>
        </w:rPr>
        <w:t xml:space="preserve"> se encuentra vigente desde el 03 de febrero 2014. </w:t>
      </w:r>
    </w:p>
    <w:p w:rsidR="0016002F" w:rsidRPr="00F00A4B" w:rsidRDefault="0016002F" w:rsidP="00B8609E">
      <w:pPr>
        <w:pStyle w:val="Sinespaciado"/>
        <w:jc w:val="both"/>
        <w:rPr>
          <w:rFonts w:ascii="Verdana" w:hAnsi="Verdana" w:cs="Arial"/>
          <w:sz w:val="20"/>
          <w:szCs w:val="20"/>
        </w:rPr>
      </w:pPr>
    </w:p>
    <w:p w:rsidR="0016002F" w:rsidRPr="00F00A4B" w:rsidRDefault="0016002F" w:rsidP="00B8609E">
      <w:pPr>
        <w:pStyle w:val="Sinespaciado"/>
        <w:jc w:val="both"/>
        <w:rPr>
          <w:rFonts w:ascii="Verdana" w:hAnsi="Verdana" w:cs="Arial"/>
          <w:sz w:val="20"/>
          <w:szCs w:val="20"/>
        </w:rPr>
      </w:pPr>
      <w:r w:rsidRPr="00F00A4B">
        <w:rPr>
          <w:rFonts w:ascii="Verdana" w:hAnsi="Verdana" w:cs="Arial"/>
          <w:sz w:val="20"/>
          <w:szCs w:val="20"/>
        </w:rPr>
        <w:t>Por lo expuesto, acudan dentro del plazo de 48 horas a nuestra oficina ubicada en</w:t>
      </w:r>
      <w:r w:rsidR="003D5571" w:rsidRPr="00F00A4B">
        <w:rPr>
          <w:rFonts w:ascii="Verdana" w:hAnsi="Verdana" w:cs="Arial"/>
          <w:sz w:val="20"/>
          <w:szCs w:val="20"/>
        </w:rPr>
        <w:t>…………………..</w:t>
      </w:r>
      <w:r w:rsidR="00E53094" w:rsidRPr="00F00A4B">
        <w:rPr>
          <w:rFonts w:ascii="Verdana" w:hAnsi="Verdana" w:cs="Arial"/>
          <w:sz w:val="20"/>
          <w:szCs w:val="20"/>
          <w:highlight w:val="yellow"/>
        </w:rPr>
        <w:t xml:space="preserve">, </w:t>
      </w:r>
      <w:proofErr w:type="gramStart"/>
      <w:r w:rsidR="00E53094" w:rsidRPr="00F00A4B">
        <w:rPr>
          <w:rFonts w:ascii="Verdana" w:hAnsi="Verdana" w:cs="Arial"/>
          <w:sz w:val="20"/>
          <w:szCs w:val="20"/>
          <w:highlight w:val="yellow"/>
        </w:rPr>
        <w:t xml:space="preserve">Distrito </w:t>
      </w:r>
      <w:r w:rsidR="003D5571" w:rsidRPr="00F00A4B">
        <w:rPr>
          <w:rFonts w:ascii="Verdana" w:hAnsi="Verdana" w:cs="Arial"/>
          <w:sz w:val="20"/>
          <w:szCs w:val="20"/>
          <w:highlight w:val="yellow"/>
        </w:rPr>
        <w:t>…</w:t>
      </w:r>
      <w:proofErr w:type="gramEnd"/>
      <w:r w:rsidR="003D5571" w:rsidRPr="00F00A4B">
        <w:rPr>
          <w:rFonts w:ascii="Verdana" w:hAnsi="Verdana" w:cs="Arial"/>
          <w:sz w:val="20"/>
          <w:szCs w:val="20"/>
          <w:highlight w:val="yellow"/>
        </w:rPr>
        <w:t>………………</w:t>
      </w:r>
      <w:r w:rsidR="00E53094" w:rsidRPr="00F00A4B">
        <w:rPr>
          <w:rFonts w:ascii="Verdana" w:hAnsi="Verdana" w:cs="Arial"/>
          <w:sz w:val="20"/>
          <w:szCs w:val="20"/>
          <w:highlight w:val="yellow"/>
        </w:rPr>
        <w:t xml:space="preserve">, Provincia y Departamento de </w:t>
      </w:r>
      <w:r w:rsidR="003D5571" w:rsidRPr="00F00A4B">
        <w:rPr>
          <w:rFonts w:ascii="Verdana" w:hAnsi="Verdana" w:cs="Arial"/>
          <w:sz w:val="20"/>
          <w:szCs w:val="20"/>
        </w:rPr>
        <w:t>…………..</w:t>
      </w:r>
      <w:r w:rsidR="00E53094" w:rsidRPr="00F00A4B">
        <w:rPr>
          <w:rFonts w:ascii="Verdana" w:hAnsi="Verdana" w:cs="Arial"/>
          <w:sz w:val="20"/>
          <w:szCs w:val="20"/>
        </w:rPr>
        <w:t xml:space="preserve"> </w:t>
      </w:r>
      <w:r w:rsidRPr="00F00A4B">
        <w:rPr>
          <w:rFonts w:ascii="Verdana" w:hAnsi="Verdana" w:cs="Arial"/>
          <w:sz w:val="20"/>
          <w:szCs w:val="20"/>
        </w:rPr>
        <w:t xml:space="preserve">y/o comunicarse al teléfono </w:t>
      </w:r>
      <w:r w:rsidR="00E53094" w:rsidRPr="00F00A4B">
        <w:rPr>
          <w:rFonts w:ascii="Verdana" w:hAnsi="Verdana" w:cs="Arial"/>
          <w:sz w:val="20"/>
          <w:szCs w:val="20"/>
        </w:rPr>
        <w:t>5126130 anexos 119 - 128</w:t>
      </w:r>
      <w:r w:rsidRPr="00F00A4B">
        <w:rPr>
          <w:rFonts w:ascii="Verdana" w:hAnsi="Verdana" w:cs="Arial"/>
          <w:sz w:val="20"/>
          <w:szCs w:val="20"/>
        </w:rPr>
        <w:t xml:space="preserve">, </w:t>
      </w:r>
      <w:r w:rsidR="00BF678D" w:rsidRPr="00F00A4B">
        <w:rPr>
          <w:rFonts w:ascii="Verdana" w:hAnsi="Verdana" w:cs="Arial"/>
          <w:sz w:val="20"/>
          <w:szCs w:val="20"/>
        </w:rPr>
        <w:t>para actualizar la autorización por la comunicación pública de obras musicales.</w:t>
      </w:r>
      <w:r w:rsidRPr="00F00A4B">
        <w:rPr>
          <w:rFonts w:ascii="Verdana" w:hAnsi="Verdana" w:cs="Arial"/>
          <w:sz w:val="20"/>
          <w:szCs w:val="20"/>
        </w:rPr>
        <w:t xml:space="preserve"> Caso contrario, </w:t>
      </w:r>
      <w:r w:rsidR="006E4AC3" w:rsidRPr="00F00A4B">
        <w:rPr>
          <w:rFonts w:ascii="Verdana" w:hAnsi="Verdana" w:cs="Arial"/>
          <w:sz w:val="20"/>
          <w:szCs w:val="20"/>
        </w:rPr>
        <w:t xml:space="preserve">iniciaremos las acciones legales que correspondan. </w:t>
      </w:r>
    </w:p>
    <w:p w:rsidR="0016002F" w:rsidRPr="00F00A4B" w:rsidRDefault="0016002F" w:rsidP="00B8609E">
      <w:pPr>
        <w:pStyle w:val="Sinespaciado"/>
        <w:jc w:val="both"/>
        <w:rPr>
          <w:rFonts w:ascii="Verdana" w:hAnsi="Verdana" w:cs="Arial"/>
          <w:sz w:val="20"/>
          <w:szCs w:val="20"/>
        </w:rPr>
      </w:pPr>
    </w:p>
    <w:p w:rsidR="0016002F" w:rsidRPr="00F00A4B" w:rsidRDefault="0016002F" w:rsidP="00B8609E">
      <w:pPr>
        <w:pStyle w:val="Sinespaciado"/>
        <w:jc w:val="both"/>
        <w:rPr>
          <w:rFonts w:ascii="Verdana" w:hAnsi="Verdana" w:cs="Arial"/>
          <w:sz w:val="20"/>
          <w:szCs w:val="20"/>
        </w:rPr>
      </w:pPr>
      <w:r w:rsidRPr="00F00A4B">
        <w:rPr>
          <w:rFonts w:ascii="Verdana" w:hAnsi="Verdana" w:cs="Arial"/>
          <w:sz w:val="20"/>
          <w:szCs w:val="20"/>
        </w:rPr>
        <w:t>Atentamente,</w:t>
      </w:r>
    </w:p>
    <w:p w:rsidR="0016002F" w:rsidRPr="00F00A4B" w:rsidRDefault="0016002F" w:rsidP="00B8609E">
      <w:pPr>
        <w:pStyle w:val="Sinespaciado"/>
        <w:jc w:val="both"/>
        <w:rPr>
          <w:rFonts w:ascii="Verdana" w:hAnsi="Verdana" w:cs="Arial"/>
          <w:sz w:val="20"/>
          <w:szCs w:val="20"/>
        </w:rPr>
      </w:pPr>
    </w:p>
    <w:p w:rsidR="0016002F" w:rsidRPr="00F00A4B" w:rsidRDefault="0016002F" w:rsidP="00B8609E">
      <w:pPr>
        <w:pStyle w:val="Sinespaciado"/>
        <w:jc w:val="both"/>
        <w:rPr>
          <w:rFonts w:ascii="Verdana" w:hAnsi="Verdana" w:cs="Arial"/>
          <w:sz w:val="20"/>
          <w:szCs w:val="20"/>
        </w:rPr>
      </w:pPr>
    </w:p>
    <w:p w:rsidR="0016002F" w:rsidRPr="00F00A4B" w:rsidRDefault="0016002F" w:rsidP="00B8609E">
      <w:pPr>
        <w:pStyle w:val="Sinespaciado"/>
        <w:ind w:left="1134"/>
        <w:jc w:val="both"/>
        <w:rPr>
          <w:rFonts w:ascii="Verdana" w:hAnsi="Verdana" w:cs="Arial"/>
          <w:sz w:val="20"/>
          <w:szCs w:val="20"/>
        </w:rPr>
      </w:pPr>
    </w:p>
    <w:p w:rsidR="0016002F" w:rsidRPr="00F00A4B" w:rsidRDefault="0016002F" w:rsidP="00B8609E">
      <w:pPr>
        <w:pStyle w:val="Sinespaciado"/>
        <w:ind w:left="1134"/>
        <w:jc w:val="both"/>
        <w:rPr>
          <w:rFonts w:ascii="Verdana" w:hAnsi="Verdana" w:cs="Arial"/>
          <w:sz w:val="20"/>
          <w:szCs w:val="20"/>
        </w:rPr>
      </w:pPr>
    </w:p>
    <w:p w:rsidR="0016002F" w:rsidRPr="00F00A4B" w:rsidRDefault="0016002F" w:rsidP="00B8609E">
      <w:pPr>
        <w:pStyle w:val="Sinespaciado"/>
        <w:ind w:left="1134"/>
        <w:jc w:val="both"/>
        <w:rPr>
          <w:rFonts w:ascii="Verdana" w:hAnsi="Verdana" w:cs="Arial"/>
          <w:b/>
          <w:i/>
          <w:sz w:val="20"/>
          <w:szCs w:val="20"/>
        </w:rPr>
      </w:pPr>
    </w:p>
    <w:sectPr w:rsidR="0016002F" w:rsidRPr="00F00A4B" w:rsidSect="00B8609E">
      <w:pgSz w:w="12240" w:h="15840"/>
      <w:pgMar w:top="1417" w:right="1325" w:bottom="1417"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BCB"/>
    <w:rsid w:val="0003271D"/>
    <w:rsid w:val="000422DB"/>
    <w:rsid w:val="0009513E"/>
    <w:rsid w:val="00130805"/>
    <w:rsid w:val="0016002F"/>
    <w:rsid w:val="00192FC1"/>
    <w:rsid w:val="00236BD7"/>
    <w:rsid w:val="002A1DEB"/>
    <w:rsid w:val="00320BB6"/>
    <w:rsid w:val="003301C3"/>
    <w:rsid w:val="00360BDE"/>
    <w:rsid w:val="00380DDA"/>
    <w:rsid w:val="003C572F"/>
    <w:rsid w:val="003D5571"/>
    <w:rsid w:val="0048136C"/>
    <w:rsid w:val="00582CC9"/>
    <w:rsid w:val="006C78C5"/>
    <w:rsid w:val="006D71D6"/>
    <w:rsid w:val="006E4AC3"/>
    <w:rsid w:val="007662AA"/>
    <w:rsid w:val="008254F8"/>
    <w:rsid w:val="00A14FCC"/>
    <w:rsid w:val="00A20536"/>
    <w:rsid w:val="00A40BCB"/>
    <w:rsid w:val="00B8609E"/>
    <w:rsid w:val="00BD0373"/>
    <w:rsid w:val="00BF678D"/>
    <w:rsid w:val="00C375B3"/>
    <w:rsid w:val="00C63D74"/>
    <w:rsid w:val="00C72F61"/>
    <w:rsid w:val="00CE454B"/>
    <w:rsid w:val="00D56212"/>
    <w:rsid w:val="00E27DE3"/>
    <w:rsid w:val="00E53094"/>
    <w:rsid w:val="00EB1BCC"/>
    <w:rsid w:val="00F00A4B"/>
    <w:rsid w:val="00F45E64"/>
    <w:rsid w:val="00FA2B1E"/>
    <w:rsid w:val="00FC130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40BC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40B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3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296</Words>
  <Characters>1631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Tachi_1</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Peru</dc:creator>
  <cp:lastModifiedBy>proyecto_02</cp:lastModifiedBy>
  <cp:revision>8</cp:revision>
  <cp:lastPrinted>2015-05-08T16:08:00Z</cp:lastPrinted>
  <dcterms:created xsi:type="dcterms:W3CDTF">2014-08-07T16:21:00Z</dcterms:created>
  <dcterms:modified xsi:type="dcterms:W3CDTF">2015-06-12T22:12:00Z</dcterms:modified>
</cp:coreProperties>
</file>