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text" w:horzAnchor="page" w:tblpX="3380" w:tblpY="6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3"/>
      </w:tblGrid>
      <w:tr w:rsidR="00517232" w:rsidRPr="00486D1E" w:rsidTr="00770958">
        <w:trPr>
          <w:trHeight w:val="557"/>
        </w:trPr>
        <w:tc>
          <w:tcPr>
            <w:tcW w:w="6213" w:type="dxa"/>
          </w:tcPr>
          <w:p w:rsidR="00517232" w:rsidRPr="00486D1E" w:rsidRDefault="00517232" w:rsidP="00770958">
            <w:pPr>
              <w:jc w:val="center"/>
              <w:rPr>
                <w:rFonts w:ascii="Arial" w:hAnsi="Arial" w:cs="Arial"/>
                <w:b/>
                <w:sz w:val="24"/>
                <w:szCs w:val="24"/>
              </w:rPr>
            </w:pPr>
            <w:r w:rsidRPr="00486D1E">
              <w:rPr>
                <w:rFonts w:ascii="Arial" w:hAnsi="Arial" w:cs="Arial"/>
                <w:b/>
                <w:sz w:val="24"/>
                <w:szCs w:val="24"/>
              </w:rPr>
              <w:t>CARTA REITERATIVA</w:t>
            </w:r>
          </w:p>
          <w:p w:rsidR="00517232" w:rsidRPr="00486D1E" w:rsidRDefault="00517232" w:rsidP="00517232">
            <w:pPr>
              <w:jc w:val="center"/>
              <w:rPr>
                <w:rFonts w:ascii="Arial" w:hAnsi="Arial" w:cs="Arial"/>
              </w:rPr>
            </w:pPr>
            <w:r w:rsidRPr="00486D1E">
              <w:rPr>
                <w:rFonts w:ascii="Arial" w:hAnsi="Arial" w:cs="Arial"/>
                <w:b/>
                <w:sz w:val="24"/>
                <w:szCs w:val="24"/>
              </w:rPr>
              <w:t>REQUERIMIENTO DE AUTORIZACION PARA EL  USO DE OBRAS MUSICALES</w:t>
            </w:r>
          </w:p>
        </w:tc>
      </w:tr>
    </w:tbl>
    <w:p w:rsidR="00252BCD" w:rsidRPr="00486D1E" w:rsidRDefault="00D31244" w:rsidP="00CF4EAF">
      <w:pPr>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19.1pt;width:50.25pt;height:69.75pt;z-index:251659264;mso-position-horizontal-relative:text;mso-position-vertical-relative:text">
            <v:imagedata r:id="rId5" o:title="LogoApdaycReducido"/>
            <w10:wrap type="square"/>
          </v:shape>
        </w:pict>
      </w:r>
      <w:r w:rsidR="00517232" w:rsidRPr="00486D1E">
        <w:rPr>
          <w:rFonts w:ascii="Arial" w:hAnsi="Arial" w:cs="Arial"/>
        </w:rPr>
        <w:tab/>
      </w:r>
      <w:r w:rsidR="00517232" w:rsidRPr="00486D1E">
        <w:rPr>
          <w:rFonts w:ascii="Arial" w:hAnsi="Arial" w:cs="Arial"/>
        </w:rPr>
        <w:tab/>
      </w:r>
      <w:r w:rsidR="00517232" w:rsidRPr="00486D1E">
        <w:rPr>
          <w:rFonts w:ascii="Arial" w:hAnsi="Arial" w:cs="Arial"/>
        </w:rPr>
        <w:tab/>
      </w:r>
      <w:r w:rsidR="00517232" w:rsidRPr="00486D1E">
        <w:rPr>
          <w:rFonts w:ascii="Arial" w:hAnsi="Arial" w:cs="Arial"/>
        </w:rPr>
        <w:tab/>
      </w:r>
      <w:r w:rsidR="00517232" w:rsidRPr="00486D1E">
        <w:rPr>
          <w:rFonts w:ascii="Arial" w:hAnsi="Arial" w:cs="Arial"/>
        </w:rPr>
        <w:tab/>
      </w:r>
      <w:r w:rsidR="00517232" w:rsidRPr="00486D1E">
        <w:rPr>
          <w:rFonts w:ascii="Arial" w:hAnsi="Arial" w:cs="Arial"/>
        </w:rPr>
        <w:tab/>
      </w:r>
      <w:r w:rsidR="00517232" w:rsidRPr="00486D1E">
        <w:rPr>
          <w:rFonts w:ascii="Arial" w:hAnsi="Arial" w:cs="Arial"/>
        </w:rPr>
        <w:tab/>
      </w:r>
      <w:r w:rsidR="00517232" w:rsidRPr="00486D1E">
        <w:rPr>
          <w:rFonts w:ascii="Arial" w:hAnsi="Arial" w:cs="Arial"/>
        </w:rPr>
        <w:tab/>
      </w:r>
      <w:r w:rsidR="00517232" w:rsidRPr="00486D1E">
        <w:rPr>
          <w:rFonts w:ascii="Arial" w:hAnsi="Arial" w:cs="Arial"/>
        </w:rPr>
        <w:tab/>
      </w:r>
    </w:p>
    <w:p w:rsidR="00CF4EAF" w:rsidRDefault="00CF4EAF" w:rsidP="009745AC">
      <w:pPr>
        <w:jc w:val="right"/>
        <w:rPr>
          <w:rFonts w:ascii="Arial" w:hAnsi="Arial" w:cs="Arial"/>
          <w:sz w:val="20"/>
          <w:szCs w:val="20"/>
        </w:rPr>
      </w:pPr>
    </w:p>
    <w:p w:rsidR="00CF4EAF" w:rsidRDefault="00CF4EAF" w:rsidP="009745AC">
      <w:pPr>
        <w:jc w:val="right"/>
        <w:rPr>
          <w:rFonts w:ascii="Arial" w:hAnsi="Arial" w:cs="Arial"/>
          <w:sz w:val="20"/>
          <w:szCs w:val="20"/>
        </w:rPr>
      </w:pPr>
    </w:p>
    <w:p w:rsidR="00CF4EAF" w:rsidRDefault="00CF4EAF" w:rsidP="009745AC">
      <w:pPr>
        <w:jc w:val="right"/>
        <w:rPr>
          <w:rFonts w:ascii="Arial" w:hAnsi="Arial" w:cs="Arial"/>
          <w:sz w:val="20"/>
          <w:szCs w:val="20"/>
        </w:rPr>
      </w:pPr>
    </w:p>
    <w:p w:rsidR="00517232" w:rsidRPr="00486D1E" w:rsidRDefault="00B87244" w:rsidP="009745AC">
      <w:pPr>
        <w:jc w:val="right"/>
        <w:rPr>
          <w:rFonts w:ascii="Arial" w:hAnsi="Arial" w:cs="Arial"/>
          <w:sz w:val="20"/>
          <w:szCs w:val="20"/>
        </w:rPr>
      </w:pPr>
      <w:r>
        <w:rPr>
          <w:rFonts w:ascii="Arial" w:hAnsi="Arial" w:cs="Arial"/>
          <w:sz w:val="20"/>
          <w:szCs w:val="20"/>
        </w:rPr>
        <w:t>@</w:t>
      </w:r>
      <w:r w:rsidR="00C357E1" w:rsidRPr="00C357E1">
        <w:rPr>
          <w:rFonts w:ascii="Arial" w:hAnsi="Arial" w:cs="Arial"/>
          <w:sz w:val="20"/>
          <w:szCs w:val="20"/>
        </w:rPr>
        <w:t>Date</w:t>
      </w:r>
    </w:p>
    <w:p w:rsidR="00517232" w:rsidRPr="00486D1E" w:rsidRDefault="00517232" w:rsidP="00517232">
      <w:pPr>
        <w:rPr>
          <w:rFonts w:ascii="Arial" w:hAnsi="Arial" w:cs="Arial"/>
          <w:sz w:val="20"/>
          <w:szCs w:val="20"/>
        </w:rPr>
      </w:pPr>
    </w:p>
    <w:p w:rsidR="00517232" w:rsidRPr="00486D1E" w:rsidRDefault="00DC5FE1" w:rsidP="00517232">
      <w:pPr>
        <w:tabs>
          <w:tab w:val="left" w:pos="2745"/>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CARTA Nº    </w:t>
      </w:r>
      <w:r w:rsidR="00517232" w:rsidRPr="007D4870">
        <w:rPr>
          <w:rFonts w:ascii="Arial" w:hAnsi="Arial" w:cs="Arial"/>
          <w:b/>
          <w:sz w:val="20"/>
          <w:szCs w:val="20"/>
        </w:rPr>
        <w:t xml:space="preserve">Numero </w:t>
      </w:r>
      <w:r w:rsidR="007D4870" w:rsidRPr="007D4870">
        <w:rPr>
          <w:rFonts w:ascii="Arial" w:hAnsi="Arial" w:cs="Arial"/>
          <w:b/>
          <w:sz w:val="20"/>
          <w:szCs w:val="20"/>
        </w:rPr>
        <w:t>- 2</w:t>
      </w:r>
      <w:r w:rsidR="00517232" w:rsidRPr="00486D1E">
        <w:rPr>
          <w:rFonts w:ascii="Arial" w:hAnsi="Arial" w:cs="Arial"/>
          <w:sz w:val="20"/>
          <w:szCs w:val="20"/>
        </w:rPr>
        <w:t xml:space="preserve">    </w:t>
      </w:r>
    </w:p>
    <w:p w:rsidR="00517232" w:rsidRPr="00486D1E" w:rsidRDefault="00517232" w:rsidP="00517232">
      <w:pPr>
        <w:rPr>
          <w:rFonts w:ascii="Arial" w:hAnsi="Arial" w:cs="Arial"/>
          <w:sz w:val="20"/>
          <w:szCs w:val="20"/>
        </w:rPr>
      </w:pPr>
    </w:p>
    <w:p w:rsidR="00416489" w:rsidRPr="00486D1E" w:rsidRDefault="00517232">
      <w:pPr>
        <w:rPr>
          <w:rFonts w:ascii="Arial" w:hAnsi="Arial" w:cs="Arial"/>
          <w:b/>
          <w:sz w:val="20"/>
          <w:szCs w:val="20"/>
        </w:rPr>
      </w:pPr>
      <w:r w:rsidRPr="00486D1E">
        <w:rPr>
          <w:rFonts w:ascii="Arial" w:hAnsi="Arial" w:cs="Arial"/>
          <w:b/>
          <w:sz w:val="20"/>
          <w:szCs w:val="20"/>
        </w:rPr>
        <w:t xml:space="preserve">Señor(es): </w:t>
      </w:r>
    </w:p>
    <w:p w:rsidR="00517232" w:rsidRDefault="00517232">
      <w:pPr>
        <w:rPr>
          <w:rFonts w:ascii="Arial" w:hAnsi="Arial" w:cs="Arial"/>
          <w:b/>
          <w:sz w:val="20"/>
          <w:szCs w:val="20"/>
        </w:rPr>
      </w:pPr>
      <w:r w:rsidRPr="00486D1E">
        <w:rPr>
          <w:rFonts w:ascii="Arial" w:hAnsi="Arial" w:cs="Arial"/>
          <w:b/>
          <w:sz w:val="20"/>
          <w:szCs w:val="20"/>
        </w:rPr>
        <w:t>@</w:t>
      </w:r>
      <w:proofErr w:type="spellStart"/>
      <w:r w:rsidR="00DC5FE1">
        <w:rPr>
          <w:rFonts w:ascii="Arial" w:hAnsi="Arial" w:cs="Arial"/>
          <w:b/>
          <w:sz w:val="20"/>
          <w:szCs w:val="20"/>
        </w:rPr>
        <w:t>Repre</w:t>
      </w:r>
      <w:proofErr w:type="spellEnd"/>
    </w:p>
    <w:p w:rsidR="00C72974" w:rsidRPr="00486D1E" w:rsidRDefault="00C72974">
      <w:pPr>
        <w:rPr>
          <w:rFonts w:ascii="Arial" w:hAnsi="Arial" w:cs="Arial"/>
          <w:b/>
          <w:sz w:val="20"/>
          <w:szCs w:val="20"/>
        </w:rPr>
      </w:pPr>
    </w:p>
    <w:p w:rsidR="00517232" w:rsidRPr="00486D1E" w:rsidRDefault="00517232">
      <w:pPr>
        <w:rPr>
          <w:rFonts w:ascii="Arial" w:hAnsi="Arial" w:cs="Arial"/>
          <w:b/>
          <w:sz w:val="20"/>
          <w:szCs w:val="20"/>
        </w:rPr>
      </w:pPr>
      <w:r w:rsidRPr="00486D1E">
        <w:rPr>
          <w:rFonts w:ascii="Arial" w:hAnsi="Arial" w:cs="Arial"/>
          <w:b/>
          <w:sz w:val="20"/>
          <w:szCs w:val="20"/>
        </w:rPr>
        <w:t>De nuestra consideración:</w:t>
      </w:r>
    </w:p>
    <w:p w:rsidR="00517232" w:rsidRPr="00486D1E" w:rsidRDefault="00517232" w:rsidP="00486D1E">
      <w:pPr>
        <w:jc w:val="both"/>
        <w:rPr>
          <w:rFonts w:ascii="Arial" w:hAnsi="Arial" w:cs="Arial"/>
          <w:sz w:val="20"/>
          <w:szCs w:val="20"/>
        </w:rPr>
      </w:pPr>
      <w:r w:rsidRPr="00486D1E">
        <w:rPr>
          <w:rFonts w:ascii="Arial" w:hAnsi="Arial" w:cs="Arial"/>
          <w:sz w:val="20"/>
          <w:szCs w:val="20"/>
        </w:rPr>
        <w:t>Sirva la presente para saludarlo y a su vez, atendiendo a l</w:t>
      </w:r>
      <w:r w:rsidR="00DC5FE1">
        <w:rPr>
          <w:rFonts w:ascii="Arial" w:hAnsi="Arial" w:cs="Arial"/>
          <w:sz w:val="20"/>
          <w:szCs w:val="20"/>
        </w:rPr>
        <w:t xml:space="preserve">o informado mediante Carta  Nº </w:t>
      </w:r>
      <w:r w:rsidR="00DC5FE1" w:rsidRPr="00DC5FE1">
        <w:rPr>
          <w:rFonts w:ascii="Arial" w:hAnsi="Arial" w:cs="Arial"/>
          <w:b/>
          <w:sz w:val="20"/>
          <w:szCs w:val="20"/>
        </w:rPr>
        <w:t>Numero</w:t>
      </w:r>
      <w:r w:rsidR="007A4922">
        <w:rPr>
          <w:rFonts w:ascii="Arial" w:hAnsi="Arial" w:cs="Arial"/>
          <w:b/>
          <w:sz w:val="20"/>
          <w:szCs w:val="20"/>
        </w:rPr>
        <w:t xml:space="preserve"> - 1</w:t>
      </w:r>
      <w:r w:rsidRPr="00486D1E">
        <w:rPr>
          <w:rFonts w:ascii="Arial" w:hAnsi="Arial" w:cs="Arial"/>
          <w:sz w:val="20"/>
          <w:szCs w:val="20"/>
        </w:rPr>
        <w:t xml:space="preserve"> de fecha @Fecha en la que se le ilustra sobre los alcances del D. leg. 822, ley sobre Derechos de Autor, lo requerimos para que, en cumplimiento de lo establecido en el Art. 37 de la acotada ley, proceda a recabar la autorización para difundir lícitamente la comunicación pública del repertorio musical que protegemos y administramos, en las instalaciones de su local comercial que conduce denominado </w:t>
      </w:r>
      <w:r w:rsidRPr="00DC5FE1">
        <w:rPr>
          <w:rFonts w:ascii="Arial" w:hAnsi="Arial" w:cs="Arial"/>
          <w:b/>
          <w:sz w:val="20"/>
          <w:szCs w:val="20"/>
        </w:rPr>
        <w:t>@Local</w:t>
      </w:r>
      <w:r w:rsidRPr="00486D1E">
        <w:rPr>
          <w:rFonts w:ascii="Arial" w:hAnsi="Arial" w:cs="Arial"/>
          <w:sz w:val="20"/>
          <w:szCs w:val="20"/>
        </w:rPr>
        <w:t>.</w:t>
      </w:r>
    </w:p>
    <w:p w:rsidR="00517232" w:rsidRPr="00486D1E" w:rsidRDefault="00517232" w:rsidP="00486D1E">
      <w:pPr>
        <w:jc w:val="both"/>
        <w:rPr>
          <w:rFonts w:ascii="Arial" w:hAnsi="Arial" w:cs="Arial"/>
          <w:sz w:val="20"/>
          <w:szCs w:val="20"/>
        </w:rPr>
      </w:pPr>
      <w:r w:rsidRPr="00486D1E">
        <w:rPr>
          <w:rFonts w:ascii="Arial" w:hAnsi="Arial" w:cs="Arial"/>
          <w:sz w:val="20"/>
          <w:szCs w:val="20"/>
        </w:rPr>
        <w:t xml:space="preserve">Como bien fuera informado oportunamente, la apuesta a disposición de la obra bajo la modalidad de comunicación al público no faculta a terceros la explotación de esta, mediante el uso indiscriminado y gratuito, es por ello que la ley determina la necesidad de recabar la licencia de autorización, </w:t>
      </w:r>
      <w:r w:rsidRPr="00DD18B1">
        <w:rPr>
          <w:rFonts w:ascii="Arial" w:hAnsi="Arial" w:cs="Arial"/>
          <w:b/>
          <w:sz w:val="20"/>
          <w:szCs w:val="20"/>
        </w:rPr>
        <w:t>PREVIA Y FORMAL</w:t>
      </w:r>
      <w:r w:rsidRPr="00486D1E">
        <w:rPr>
          <w:rFonts w:ascii="Arial" w:hAnsi="Arial" w:cs="Arial"/>
          <w:sz w:val="20"/>
          <w:szCs w:val="20"/>
        </w:rPr>
        <w:t xml:space="preserve"> que requiere en el diario Oficial el Peruano, en los términos de lo previsto en el Art. 153 literal “e” “y” “f” del Decreto Legislativo 822.</w:t>
      </w:r>
    </w:p>
    <w:p w:rsidR="00517232" w:rsidRPr="00486D1E" w:rsidRDefault="00517232" w:rsidP="00486D1E">
      <w:pPr>
        <w:jc w:val="both"/>
        <w:rPr>
          <w:rFonts w:ascii="Arial" w:hAnsi="Arial" w:cs="Arial"/>
          <w:sz w:val="20"/>
          <w:szCs w:val="20"/>
        </w:rPr>
      </w:pPr>
      <w:r w:rsidRPr="00486D1E">
        <w:rPr>
          <w:rFonts w:ascii="Arial" w:hAnsi="Arial" w:cs="Arial"/>
          <w:sz w:val="20"/>
          <w:szCs w:val="20"/>
        </w:rPr>
        <w:t xml:space="preserve">En el sentido, el no contar con la mencionada AUTORIZACION constituye infracción a la ley sobre Derecho de Autor, y el delito penal prescrito y sancionado en el Art. 217 del Código penal, por lo cual lo requerimos una vez más, se apersone a nuestra oficinas, sitio: </w:t>
      </w:r>
      <w:r w:rsidRPr="00DD18B1">
        <w:rPr>
          <w:rFonts w:ascii="Arial" w:hAnsi="Arial" w:cs="Arial"/>
          <w:b/>
          <w:sz w:val="20"/>
          <w:szCs w:val="20"/>
        </w:rPr>
        <w:t>@</w:t>
      </w:r>
      <w:r w:rsidR="00DC5FE1" w:rsidRPr="00DD18B1">
        <w:rPr>
          <w:rFonts w:ascii="Arial" w:hAnsi="Arial" w:cs="Arial"/>
          <w:b/>
          <w:sz w:val="20"/>
          <w:szCs w:val="20"/>
        </w:rPr>
        <w:t>Oficinas</w:t>
      </w:r>
      <w:r w:rsidRPr="00486D1E">
        <w:rPr>
          <w:rFonts w:ascii="Arial" w:hAnsi="Arial" w:cs="Arial"/>
          <w:sz w:val="20"/>
          <w:szCs w:val="20"/>
        </w:rPr>
        <w:t xml:space="preserve"> a recabar la autorización respectiva, solo así podrás continuar válidamente utilizando obras musicales en las instalaciones de su local.  </w:t>
      </w:r>
    </w:p>
    <w:p w:rsidR="00491DBB" w:rsidRPr="00486D1E" w:rsidRDefault="00491DBB" w:rsidP="00486D1E">
      <w:pPr>
        <w:jc w:val="both"/>
        <w:rPr>
          <w:rFonts w:ascii="Arial" w:hAnsi="Arial" w:cs="Arial"/>
          <w:sz w:val="20"/>
          <w:szCs w:val="20"/>
        </w:rPr>
      </w:pPr>
      <w:r w:rsidRPr="00486D1E">
        <w:rPr>
          <w:rFonts w:ascii="Arial" w:hAnsi="Arial" w:cs="Arial"/>
          <w:sz w:val="20"/>
          <w:szCs w:val="20"/>
        </w:rPr>
        <w:t>Sin otro en particular, quedamos de Ud.</w:t>
      </w:r>
    </w:p>
    <w:p w:rsidR="00491DBB" w:rsidRPr="00486D1E" w:rsidRDefault="00491DBB" w:rsidP="00486D1E">
      <w:pPr>
        <w:jc w:val="both"/>
        <w:rPr>
          <w:rFonts w:ascii="Arial" w:hAnsi="Arial" w:cs="Arial"/>
          <w:sz w:val="20"/>
          <w:szCs w:val="20"/>
        </w:rPr>
      </w:pPr>
      <w:r w:rsidRPr="00486D1E">
        <w:rPr>
          <w:rFonts w:ascii="Arial" w:hAnsi="Arial" w:cs="Arial"/>
          <w:sz w:val="20"/>
          <w:szCs w:val="20"/>
        </w:rPr>
        <w:t>Atentamente.</w:t>
      </w:r>
    </w:p>
    <w:p w:rsidR="00D31244" w:rsidRDefault="00D31244" w:rsidP="00486D1E">
      <w:pPr>
        <w:jc w:val="both"/>
        <w:rPr>
          <w:rFonts w:ascii="Arial" w:hAnsi="Arial" w:cs="Arial"/>
          <w:b/>
          <w:sz w:val="20"/>
          <w:szCs w:val="20"/>
        </w:rPr>
      </w:pPr>
      <w:bookmarkStart w:id="0" w:name="_GoBack"/>
      <w:bookmarkEnd w:id="0"/>
    </w:p>
    <w:p w:rsidR="00D31244" w:rsidRDefault="00D31244" w:rsidP="00486D1E">
      <w:pPr>
        <w:jc w:val="both"/>
        <w:rPr>
          <w:rFonts w:ascii="Arial" w:hAnsi="Arial" w:cs="Arial"/>
          <w:b/>
          <w:sz w:val="20"/>
          <w:szCs w:val="20"/>
        </w:rPr>
      </w:pPr>
      <w:r>
        <w:rPr>
          <w:rFonts w:ascii="Arial" w:hAnsi="Arial" w:cs="Arial"/>
          <w:b/>
          <w:noProof/>
          <w:sz w:val="20"/>
          <w:szCs w:val="20"/>
          <w:lang w:eastAsia="es-PE"/>
        </w:rPr>
        <mc:AlternateContent>
          <mc:Choice Requires="wps">
            <w:drawing>
              <wp:anchor distT="0" distB="0" distL="114300" distR="114300" simplePos="0" relativeHeight="251660288" behindDoc="0" locked="0" layoutInCell="1" allowOverlap="1" wp14:anchorId="6733393A" wp14:editId="33274B99">
                <wp:simplePos x="0" y="0"/>
                <wp:positionH relativeFrom="column">
                  <wp:posOffset>13335</wp:posOffset>
                </wp:positionH>
                <wp:positionV relativeFrom="paragraph">
                  <wp:posOffset>1270</wp:posOffset>
                </wp:positionV>
                <wp:extent cx="1876425" cy="0"/>
                <wp:effectExtent l="0" t="0" r="9525" b="19050"/>
                <wp:wrapNone/>
                <wp:docPr id="1" name="1 Conector recto"/>
                <wp:cNvGraphicFramePr/>
                <a:graphic xmlns:a="http://schemas.openxmlformats.org/drawingml/2006/main">
                  <a:graphicData uri="http://schemas.microsoft.com/office/word/2010/wordprocessingShape">
                    <wps:wsp>
                      <wps:cNvCnPr/>
                      <wps:spPr>
                        <a:xfrm flipV="1">
                          <a:off x="0" y="0"/>
                          <a:ext cx="1876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 Conector recto"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pt" to="148.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" strokecolor="black [3213]"/>
            </w:pict>
          </mc:Fallback>
        </mc:AlternateContent>
      </w:r>
    </w:p>
    <w:p w:rsidR="00DA179F" w:rsidRPr="00486D1E" w:rsidRDefault="00491DBB" w:rsidP="00486D1E">
      <w:pPr>
        <w:jc w:val="both"/>
        <w:rPr>
          <w:rFonts w:ascii="Arial" w:hAnsi="Arial" w:cs="Arial"/>
          <w:sz w:val="18"/>
          <w:szCs w:val="18"/>
          <w:u w:val="single"/>
        </w:rPr>
      </w:pPr>
      <w:r w:rsidRPr="00486D1E">
        <w:rPr>
          <w:rFonts w:ascii="Arial" w:hAnsi="Arial" w:cs="Arial"/>
          <w:sz w:val="18"/>
          <w:szCs w:val="18"/>
        </w:rPr>
        <w:t>Art</w:t>
      </w:r>
      <w:r w:rsidR="00A87FC9" w:rsidRPr="00486D1E">
        <w:rPr>
          <w:rFonts w:ascii="Arial" w:hAnsi="Arial" w:cs="Arial"/>
          <w:sz w:val="18"/>
          <w:szCs w:val="18"/>
        </w:rPr>
        <w:t>.</w:t>
      </w:r>
      <w:r w:rsidRPr="00486D1E">
        <w:rPr>
          <w:rFonts w:ascii="Arial" w:hAnsi="Arial" w:cs="Arial"/>
          <w:sz w:val="18"/>
          <w:szCs w:val="18"/>
        </w:rPr>
        <w:t xml:space="preserve"> </w:t>
      </w:r>
      <w:r w:rsidR="00A87FC9" w:rsidRPr="00486D1E">
        <w:rPr>
          <w:rFonts w:ascii="Arial" w:hAnsi="Arial" w:cs="Arial"/>
          <w:sz w:val="18"/>
          <w:szCs w:val="18"/>
        </w:rPr>
        <w:t>37.</w:t>
      </w:r>
      <w:r w:rsidRPr="00486D1E">
        <w:rPr>
          <w:rFonts w:ascii="Arial" w:hAnsi="Arial" w:cs="Arial"/>
          <w:sz w:val="18"/>
          <w:szCs w:val="18"/>
        </w:rPr>
        <w:t xml:space="preserve">- </w:t>
      </w:r>
      <w:r w:rsidR="00A87FC9" w:rsidRPr="00486D1E">
        <w:rPr>
          <w:rFonts w:ascii="Arial" w:hAnsi="Arial" w:cs="Arial"/>
          <w:sz w:val="18"/>
          <w:szCs w:val="18"/>
        </w:rPr>
        <w:t>“</w:t>
      </w:r>
      <w:r w:rsidRPr="00486D1E">
        <w:rPr>
          <w:rFonts w:ascii="Arial" w:hAnsi="Arial" w:cs="Arial"/>
          <w:sz w:val="18"/>
          <w:szCs w:val="18"/>
        </w:rPr>
        <w:t>Siempre que la ley no dispusiera expresamente lo contrario, es ilícita toda reproducción, comunicación, distribución o cualquier otra modalidad de explotación de la obra total o parcial, que se realice sin el consentimiento previo y escrito del titular del derecho de autor.</w:t>
      </w:r>
    </w:p>
    <w:p w:rsidR="00A87FC9" w:rsidRPr="00486D1E" w:rsidRDefault="00A87FC9" w:rsidP="00486D1E">
      <w:pPr>
        <w:jc w:val="both"/>
        <w:rPr>
          <w:rFonts w:ascii="Arial" w:hAnsi="Arial" w:cs="Arial"/>
          <w:sz w:val="18"/>
          <w:szCs w:val="18"/>
        </w:rPr>
      </w:pPr>
      <w:r w:rsidRPr="00486D1E">
        <w:rPr>
          <w:rFonts w:ascii="Arial" w:hAnsi="Arial" w:cs="Arial"/>
          <w:sz w:val="18"/>
          <w:szCs w:val="18"/>
        </w:rPr>
        <w:t>Art. 153 Las entidades de gestión están obligadas a:</w:t>
      </w:r>
    </w:p>
    <w:p w:rsidR="00026FF3" w:rsidRPr="00486D1E" w:rsidRDefault="00A87FC9" w:rsidP="00486D1E">
      <w:pPr>
        <w:jc w:val="both"/>
        <w:rPr>
          <w:rFonts w:ascii="Arial" w:hAnsi="Arial" w:cs="Arial"/>
          <w:sz w:val="18"/>
          <w:szCs w:val="18"/>
        </w:rPr>
      </w:pPr>
      <w:r w:rsidRPr="00486D1E">
        <w:rPr>
          <w:rFonts w:ascii="Arial" w:hAnsi="Arial" w:cs="Arial"/>
          <w:sz w:val="18"/>
          <w:szCs w:val="18"/>
        </w:rPr>
        <w:t>…e.- “Las tarifas a cobrar por parte de las entidades de gestión deberán ser razonables y equitativas, las cuales determinaran la remuneración exigida por la utilización de su repertorio sea perteneciente a titulares nacionales o extranjeros, residentes o no en el país, las cuales deberán aplicar el principio de la remuneración proporcional a los ingresos obtenidos con la explotación de dicho repertorio, salvo los casos de remuneración fija permitidos por la ley, y podrían prever reducción para las utilización de la obra y prestaciones sin finalidad lucrativa</w:t>
      </w:r>
      <w:r w:rsidR="00026FF3" w:rsidRPr="00486D1E">
        <w:rPr>
          <w:rFonts w:ascii="Arial" w:hAnsi="Arial" w:cs="Arial"/>
          <w:sz w:val="18"/>
          <w:szCs w:val="18"/>
        </w:rPr>
        <w:t xml:space="preserve"> realizada por personas jurídicas o entidades culturales que carezcan de esta finalidad”.</w:t>
      </w:r>
    </w:p>
    <w:p w:rsidR="00026FF3" w:rsidRPr="00486D1E" w:rsidRDefault="00026FF3" w:rsidP="00486D1E">
      <w:pPr>
        <w:jc w:val="both"/>
        <w:rPr>
          <w:rFonts w:ascii="Arial" w:hAnsi="Arial" w:cs="Arial"/>
          <w:sz w:val="18"/>
          <w:szCs w:val="18"/>
        </w:rPr>
      </w:pPr>
      <w:r w:rsidRPr="00486D1E">
        <w:rPr>
          <w:rFonts w:ascii="Arial" w:hAnsi="Arial" w:cs="Arial"/>
          <w:sz w:val="18"/>
          <w:szCs w:val="18"/>
        </w:rPr>
        <w:t xml:space="preserve">f. “Mantener a disposición del </w:t>
      </w:r>
      <w:r w:rsidR="00252BCD" w:rsidRPr="00486D1E">
        <w:rPr>
          <w:rFonts w:ascii="Arial" w:hAnsi="Arial" w:cs="Arial"/>
          <w:sz w:val="18"/>
          <w:szCs w:val="18"/>
        </w:rPr>
        <w:t>público</w:t>
      </w:r>
      <w:r w:rsidRPr="00486D1E">
        <w:rPr>
          <w:rFonts w:ascii="Arial" w:hAnsi="Arial" w:cs="Arial"/>
          <w:sz w:val="18"/>
          <w:szCs w:val="18"/>
        </w:rPr>
        <w:t>, las tarifas generales y sus modificaciones. Las cuales, a fin de que surtan efecto deberán ser publicadas en el diario oficial El Peruano y en un diario de amplia circulación nacional, con una anticipación no menor de treinta días calendarios, a la fecha de su entrada en vigor.”…</w:t>
      </w:r>
    </w:p>
    <w:p w:rsidR="00491DBB" w:rsidRPr="00486D1E" w:rsidRDefault="00026FF3" w:rsidP="00486D1E">
      <w:pPr>
        <w:jc w:val="both"/>
        <w:rPr>
          <w:rFonts w:ascii="Arial" w:hAnsi="Arial" w:cs="Arial"/>
        </w:rPr>
      </w:pPr>
      <w:r w:rsidRPr="00486D1E">
        <w:rPr>
          <w:rFonts w:ascii="Arial" w:hAnsi="Arial" w:cs="Arial"/>
          <w:sz w:val="18"/>
          <w:szCs w:val="18"/>
        </w:rPr>
        <w:t>EMP. 002</w:t>
      </w:r>
      <w:r w:rsidR="00A87FC9" w:rsidRPr="00486D1E">
        <w:rPr>
          <w:rFonts w:ascii="Arial" w:hAnsi="Arial" w:cs="Arial"/>
          <w:sz w:val="18"/>
          <w:szCs w:val="18"/>
        </w:rPr>
        <w:t xml:space="preserve"> </w:t>
      </w:r>
      <w:r w:rsidR="00491DBB" w:rsidRPr="00486D1E">
        <w:rPr>
          <w:rFonts w:ascii="Arial" w:hAnsi="Arial" w:cs="Arial"/>
        </w:rPr>
        <w:t xml:space="preserve"> </w:t>
      </w:r>
    </w:p>
    <w:sectPr w:rsidR="00491DBB" w:rsidRPr="00486D1E" w:rsidSect="00C72974">
      <w:pgSz w:w="11906" w:h="16838"/>
      <w:pgMar w:top="426" w:right="991"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1D"/>
    <w:rsid w:val="00026FF3"/>
    <w:rsid w:val="001562AB"/>
    <w:rsid w:val="00252BCD"/>
    <w:rsid w:val="003800A7"/>
    <w:rsid w:val="00416489"/>
    <w:rsid w:val="00486D1E"/>
    <w:rsid w:val="00491DBB"/>
    <w:rsid w:val="00517232"/>
    <w:rsid w:val="007A4922"/>
    <w:rsid w:val="007D4870"/>
    <w:rsid w:val="0089170E"/>
    <w:rsid w:val="009745AC"/>
    <w:rsid w:val="00A87FC9"/>
    <w:rsid w:val="00B87244"/>
    <w:rsid w:val="00C357E1"/>
    <w:rsid w:val="00C72974"/>
    <w:rsid w:val="00CA0A1D"/>
    <w:rsid w:val="00CF4EAF"/>
    <w:rsid w:val="00D31244"/>
    <w:rsid w:val="00DA179F"/>
    <w:rsid w:val="00DC5FE1"/>
    <w:rsid w:val="00DD18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2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7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91DBB"/>
    <w:rPr>
      <w:sz w:val="16"/>
      <w:szCs w:val="16"/>
    </w:rPr>
  </w:style>
  <w:style w:type="paragraph" w:styleId="Textocomentario">
    <w:name w:val="annotation text"/>
    <w:basedOn w:val="Normal"/>
    <w:link w:val="TextocomentarioCar"/>
    <w:uiPriority w:val="99"/>
    <w:semiHidden/>
    <w:unhideWhenUsed/>
    <w:rsid w:val="00491D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1DBB"/>
    <w:rPr>
      <w:sz w:val="20"/>
      <w:szCs w:val="20"/>
    </w:rPr>
  </w:style>
  <w:style w:type="paragraph" w:styleId="Asuntodelcomentario">
    <w:name w:val="annotation subject"/>
    <w:basedOn w:val="Textocomentario"/>
    <w:next w:val="Textocomentario"/>
    <w:link w:val="AsuntodelcomentarioCar"/>
    <w:uiPriority w:val="99"/>
    <w:semiHidden/>
    <w:unhideWhenUsed/>
    <w:rsid w:val="00491DBB"/>
    <w:rPr>
      <w:b/>
      <w:bCs/>
    </w:rPr>
  </w:style>
  <w:style w:type="character" w:customStyle="1" w:styleId="AsuntodelcomentarioCar">
    <w:name w:val="Asunto del comentario Car"/>
    <w:basedOn w:val="TextocomentarioCar"/>
    <w:link w:val="Asuntodelcomentario"/>
    <w:uiPriority w:val="99"/>
    <w:semiHidden/>
    <w:rsid w:val="00491DBB"/>
    <w:rPr>
      <w:b/>
      <w:bCs/>
      <w:sz w:val="20"/>
      <w:szCs w:val="20"/>
    </w:rPr>
  </w:style>
  <w:style w:type="paragraph" w:styleId="Textodeglobo">
    <w:name w:val="Balloon Text"/>
    <w:basedOn w:val="Normal"/>
    <w:link w:val="TextodegloboCar"/>
    <w:uiPriority w:val="99"/>
    <w:semiHidden/>
    <w:unhideWhenUsed/>
    <w:rsid w:val="00491D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D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2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7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91DBB"/>
    <w:rPr>
      <w:sz w:val="16"/>
      <w:szCs w:val="16"/>
    </w:rPr>
  </w:style>
  <w:style w:type="paragraph" w:styleId="Textocomentario">
    <w:name w:val="annotation text"/>
    <w:basedOn w:val="Normal"/>
    <w:link w:val="TextocomentarioCar"/>
    <w:uiPriority w:val="99"/>
    <w:semiHidden/>
    <w:unhideWhenUsed/>
    <w:rsid w:val="00491D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1DBB"/>
    <w:rPr>
      <w:sz w:val="20"/>
      <w:szCs w:val="20"/>
    </w:rPr>
  </w:style>
  <w:style w:type="paragraph" w:styleId="Asuntodelcomentario">
    <w:name w:val="annotation subject"/>
    <w:basedOn w:val="Textocomentario"/>
    <w:next w:val="Textocomentario"/>
    <w:link w:val="AsuntodelcomentarioCar"/>
    <w:uiPriority w:val="99"/>
    <w:semiHidden/>
    <w:unhideWhenUsed/>
    <w:rsid w:val="00491DBB"/>
    <w:rPr>
      <w:b/>
      <w:bCs/>
    </w:rPr>
  </w:style>
  <w:style w:type="character" w:customStyle="1" w:styleId="AsuntodelcomentarioCar">
    <w:name w:val="Asunto del comentario Car"/>
    <w:basedOn w:val="TextocomentarioCar"/>
    <w:link w:val="Asuntodelcomentario"/>
    <w:uiPriority w:val="99"/>
    <w:semiHidden/>
    <w:rsid w:val="00491DBB"/>
    <w:rPr>
      <w:b/>
      <w:bCs/>
      <w:sz w:val="20"/>
      <w:szCs w:val="20"/>
    </w:rPr>
  </w:style>
  <w:style w:type="paragraph" w:styleId="Textodeglobo">
    <w:name w:val="Balloon Text"/>
    <w:basedOn w:val="Normal"/>
    <w:link w:val="TextodegloboCar"/>
    <w:uiPriority w:val="99"/>
    <w:semiHidden/>
    <w:unhideWhenUsed/>
    <w:rsid w:val="00491D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proyecto_02</dc:creator>
  <cp:keywords/>
  <dc:description/>
  <cp:lastModifiedBy>proyecto_02</cp:lastModifiedBy>
  <cp:revision>21</cp:revision>
  <dcterms:created xsi:type="dcterms:W3CDTF">2015-03-25T17:35:00Z</dcterms:created>
  <dcterms:modified xsi:type="dcterms:W3CDTF">2015-05-07T21:31:00Z</dcterms:modified>
</cp:coreProperties>
</file>