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SEVYN8 INTELLIGENCE &amp; ANALYTICS PLATFORM</w:t>
      </w:r>
    </w:p>
    <w:p>
      <w:pPr>
        <w:pStyle w:val="BodyText"/>
      </w:pPr>
      <w:r>
        <w:t xml:space="preserve">Complete System Specification</w:t>
      </w:r>
    </w:p>
    <w:p>
      <w:pPr>
        <w:pStyle w:val="BodyText"/>
      </w:pPr>
      <w:r>
        <w:t xml:space="preserve">61 Modules • 24 Admin Console Screens • 11 Analytical Screens • 1 Platform Wizard</w:t>
      </w:r>
    </w:p>
    <w:p>
      <w:pPr>
        <w:pStyle w:val="BodyText"/>
      </w:pPr>
      <w:r>
        <w:t xml:space="preserve">Sevyn8 Private Limited</w:t>
      </w:r>
    </w:p>
    <w:p>
      <w:pPr>
        <w:pStyle w:val="BodyText"/>
      </w:pPr>
      <w:r>
        <w:t xml:space="preserve">Version 2.1 — April 2026</w:t>
      </w:r>
    </w:p>
    <w:p>
      <w:pPr>
        <w:pStyle w:val="BodyText"/>
      </w:pPr>
      <w:r>
        <w:rPr>
          <w:bCs/>
          <w:b/>
        </w:rPr>
        <w:t xml:space="preserve">CONFIDENTIAL</w:t>
      </w:r>
    </w:p>
    <w:p>
      <w:pPr>
        <w:pStyle w:val="BodyText"/>
      </w:pPr>
      <w:r>
        <w:rPr>
          <w:bCs/>
          <w:b/>
        </w:rPr>
        <w:t xml:space="preserve">Design Parameters</w:t>
      </w:r>
    </w:p>
    <w:p>
      <w:pPr>
        <w:pStyle w:val="BodyText"/>
      </w:pPr>
      <w:r>
        <w:t xml:space="preserve">GCP Primary (Cloud SQL, BigQuery, GCS, Pub/Sub, GKE Autopilot, Vertex AI)</w:t>
      </w:r>
    </w:p>
    <w:p>
      <w:pPr>
        <w:pStyle w:val="BodyText"/>
      </w:pPr>
      <w:r>
        <w:t xml:space="preserve">PostgreSQL 15+ with bi-temporal columns, Row-Level Security, pgvector</w:t>
      </w:r>
    </w:p>
    <w:p>
      <w:pPr>
        <w:pStyle w:val="BodyText"/>
      </w:pPr>
      <w:r>
        <w:t xml:space="preserve">Hybrid Tenant Isolation (Shared+RLS for Standard, Dedicated for Enterprise)</w:t>
      </w:r>
    </w:p>
    <w:p>
      <w:pPr>
        <w:pStyle w:val="BodyText"/>
      </w:pPr>
      <w:r>
        <w:t xml:space="preserve">Retail-First Vertical (Omnichannel: POS + CRM + Loyalty + Inventory + E-commerce)</w:t>
      </w:r>
    </w:p>
    <w:p>
      <w:pPr>
        <w:pStyle w:val="BodyText"/>
      </w:pPr>
      <w:r>
        <w:t xml:space="preserve">5-Level Store Hierarchy (Chain → Region → City → Store → Zone/Department)</w:t>
      </w:r>
    </w:p>
    <w:p>
      <w:pPr>
        <w:pStyle w:val="BodyText"/>
      </w:pPr>
      <w:r>
        <w:t xml:space="preserve">Both Analytics Funnels (Store Performance + Customer Lifecycle)</w:t>
      </w:r>
    </w:p>
    <w:p>
      <w:pPr>
        <w:pStyle w:val="BodyText"/>
      </w:pPr>
      <w:r>
        <w:t xml:space="preserve">DPDP &amp; GDPR Compliant (24 compliance gaps addressed, 6 privacy modules)</w:t>
      </w:r>
    </w:p>
    <w:p>
      <w:pPr>
        <w:pStyle w:val="BodyText"/>
      </w:pPr>
      <w:r>
        <w:t xml:space="preserve">White-Label Ready (3 tiers: Standard, Professional, Enterprise)</w:t>
      </w:r>
    </w:p>
    <w:p>
      <w:pPr>
        <w:pStyle w:val="BodyText"/>
      </w:pPr>
      <w:r>
        <w:t xml:space="preserve">3–10 Tenants at Launch, 50–500 Users</w:t>
      </w:r>
    </w:p>
    <w:p>
      <w:pPr>
        <w:pStyle w:val="BodyText"/>
      </w:pPr>
      <w:r>
        <w:rPr>
          <w:bCs/>
          <w:b/>
        </w:rPr>
        <w:t xml:space="preserve">DOCUMENT STRUCTURE</w:t>
      </w:r>
    </w:p>
    <w:p>
      <w:pPr>
        <w:pStyle w:val="BodyText"/>
      </w:pPr>
      <w:r>
        <w:rPr>
          <w:bCs/>
          <w:b/>
        </w:rPr>
        <w:t xml:space="preserve">Part I: Foundation Layer (F01–F05)</w:t>
      </w:r>
    </w:p>
    <w:p>
      <w:pPr>
        <w:pStyle w:val="BodyText"/>
      </w:pPr>
      <w:r>
        <w:t xml:space="preserve">Multi-tenancy, temporal engine, configuration, schema evolution</w:t>
      </w:r>
    </w:p>
    <w:p>
      <w:pPr>
        <w:pStyle w:val="BodyText"/>
      </w:pPr>
      <w:r>
        <w:rPr>
          <w:bCs/>
          <w:b/>
        </w:rPr>
        <w:t xml:space="preserve">Part II: Data Platform Layer (D01–D06)</w:t>
      </w:r>
    </w:p>
    <w:p>
      <w:pPr>
        <w:pStyle w:val="BodyText"/>
      </w:pPr>
      <w:r>
        <w:t xml:space="preserve">Canonical data model with full retail ontology, mapping, quality, lineage, storage</w:t>
      </w:r>
    </w:p>
    <w:p>
      <w:pPr>
        <w:pStyle w:val="BodyText"/>
      </w:pPr>
      <w:r>
        <w:rPr>
          <w:bCs/>
          <w:b/>
        </w:rPr>
        <w:t xml:space="preserve">Part III: Identity &amp; Ingestion (I01–I03, G01–G02)</w:t>
      </w:r>
    </w:p>
    <w:p>
      <w:pPr>
        <w:pStyle w:val="BodyText"/>
      </w:pPr>
      <w:r>
        <w:t xml:space="preserve">Probabilistic identity resolution, universal ingestion gateway, structured data pipeline</w:t>
      </w:r>
    </w:p>
    <w:p>
      <w:pPr>
        <w:pStyle w:val="BodyText"/>
      </w:pPr>
      <w:r>
        <w:rPr>
          <w:bCs/>
          <w:b/>
        </w:rPr>
        <w:t xml:space="preserve">Part IV: Phase 0+1 Remaining (20 modules)</w:t>
      </w:r>
    </w:p>
    <w:p>
      <w:pPr>
        <w:pStyle w:val="BodyText"/>
      </w:pPr>
      <w:r>
        <w:t xml:space="preserve">Security (AC01–AC04), streaming (S01), industry config (IC01–IC02), AI core (A05–A06), integration (O01), observability (OB01–OB03), edge (ED01), resilience (RE01), privacy (PR01, PR03, PR05, PR06), testing (T01)</w:t>
      </w:r>
    </w:p>
    <w:p>
      <w:pPr>
        <w:pStyle w:val="BodyText"/>
      </w:pPr>
      <w:r>
        <w:rPr>
          <w:bCs/>
          <w:b/>
        </w:rPr>
        <w:t xml:space="preserve">Part V: Phase 2+3+4 (23 modules)</w:t>
      </w:r>
    </w:p>
    <w:p>
      <w:pPr>
        <w:pStyle w:val="BodyText"/>
      </w:pPr>
      <w:r>
        <w:t xml:space="preserve">Feature Store (A01), Algorithm Registry (A02), Decision Orchestration (A03), Model Lifecycle (A04), Explainability (A07), Simulation (A08), Embeddings (E01–E02), Video/Audio (G04–G05), IoT (G06), Cross-Modal (S02), HITL (FB01–FB03), Alerts (O02), Caching (O03), DSAR (PR02), DPIA (PR04), Edge Buffer (ED02), Federated Learning (ED03), SDK (DX01)</w:t>
      </w:r>
    </w:p>
    <w:p>
      <w:pPr>
        <w:pStyle w:val="BodyText"/>
      </w:pPr>
      <w:r>
        <w:rPr>
          <w:bCs/>
          <w:b/>
        </w:rPr>
        <w:t xml:space="preserve">Part VI: Analytical Experience Layer</w:t>
      </w:r>
    </w:p>
    <w:p>
      <w:pPr>
        <w:pStyle w:val="BodyText"/>
      </w:pPr>
      <w:r>
        <w:t xml:space="preserve">UX01 Screen Composition Engine + 10 Customer-Facing Analytical Screens (CX-01 to CX-10) + O04 Integration &amp; Action Hub</w:t>
      </w:r>
    </w:p>
    <w:p>
      <w:pPr>
        <w:pStyle w:val="BodyText"/>
      </w:pPr>
      <w:r>
        <w:rPr>
          <w:bCs/>
          <w:b/>
        </w:rPr>
        <w:t xml:space="preserve">Part VII: Admin Console Screens (NEW in v2)</w:t>
      </w:r>
    </w:p>
    <w:p>
      <w:pPr>
        <w:pStyle w:val="BodyText"/>
      </w:pPr>
      <w:r>
        <w:t xml:space="preserve">S01–S24 — the complete tenant administration layer, from tenant health through compliance operations, powering every admin workflow in Cortex. 24 screens.</w:t>
      </w:r>
    </w:p>
    <w:p>
      <w:pPr>
        <w:pStyle w:val="BodyText"/>
      </w:pPr>
      <w:r>
        <w:rPr>
          <w:bCs/>
          <w:b/>
        </w:rPr>
        <w:t xml:space="preserve">Part VIII: Vertical Extensions &amp; Platform Wizards (NEW in v2)</w:t>
      </w:r>
    </w:p>
    <w:p>
      <w:pPr>
        <w:pStyle w:val="BodyText"/>
      </w:pPr>
      <w:r>
        <w:t xml:space="preserve">CX-DD-01 Shelf &amp; Planogram Intelligence (Display Data vertical extension screen)</w:t>
      </w:r>
    </w:p>
    <w:p>
      <w:pPr>
        <w:pStyle w:val="BodyText"/>
      </w:pPr>
      <w:r>
        <w:t xml:space="preserve">W01 Tenant Onboarding Wizard (first-time-use flow for every new tenant)</w:t>
      </w:r>
    </w:p>
    <w:p>
      <w:pPr>
        <w:pStyle w:val="BodyText"/>
      </w:pPr>
      <w:r>
        <w:rPr>
          <w:bCs/>
          <w:b/>
        </w:rPr>
        <w:t xml:space="preserve">Total: 61 modules + 24 Admin Console screens + 11 Analytical screens + 1 Platform Wizard, with 360+ numbered functional requirements, data models, API surfaces, and acceptance criteria.</w:t>
      </w:r>
    </w:p>
    <w:p>
      <w:r>
        <w:br w:type="page"/>
      </w:r>
    </w:p>
    <w:p>
      <w:pPr>
        <w:pStyle w:val="TOCHeading"/>
      </w:pPr>
      <w:r>
        <w:t>Table of Contents</w:t>
      </w:r>
    </w:p>
    <w:sdt>
      <w:sdtPr>
        <w:docPartObj>
          <w:docPartGallery w:val="Table of Contents"/>
          <w:docPartUnique/>
        </w:docPartObj>
      </w:sdtPr>
      <w:sdtContent>
        <w:p>
          <w:pPr>
            <w:pStyle w:val="TOC1"/>
            <w:tabs>
              <w:tab w:val="right" w:leader="dot" w:pos="9350"/>
            </w:tabs>
            <w:rPr>
              <w:noProof/>
            </w:rPr>
          </w:pPr>
          <w:r>
            <w:fldChar w:fldCharType="begin" w:dirty="true"/>
          </w:r>
          <w:r>
            <w:instrText xml:space="preserve"> TOC \o "1-2" \h \z \u </w:instrText>
          </w:r>
          <w:r>
            <w:fldChar w:fldCharType="separate"/>
          </w:r>
          <w:r>
            <w:rPr>
              <w:noProof/>
            </w:rPr>
            <w:t>Right-click here and choose "Update Field" to populate the table of contents.</w:t>
          </w:r>
          <w:r>
            <w:fldChar w:fldCharType="end"/>
          </w:r>
        </w:p>
      </w:sdtContent>
    </w:sdt>
    <w:p>
      <w:r>
        <w:br w:type="page"/>
      </w:r>
    </w:p>
    <w:p>
      <w:pPr>
        <w:pStyle w:val="BodyText"/>
      </w:pPr>
      <w:r>
        <w:rPr>
          <w:bCs/>
          <w:b/>
        </w:rPr>
        <w:t xml:space="preserve">PART I</w:t>
      </w:r>
    </w:p>
    <w:p>
      <w:pPr>
        <w:pStyle w:val="BodyText"/>
      </w:pPr>
      <w:r>
        <w:t xml:space="preserve">Foundation Layer — F01 through F05</w:t>
      </w:r>
    </w:p>
    <w:p>
      <w:pPr>
        <w:pStyle w:val="BodyText"/>
      </w:pPr>
      <w:r>
        <w:rPr>
          <w:bCs/>
          <w:b/>
        </w:rPr>
        <w:t xml:space="preserve">Detailed Module Specifications</w:t>
      </w:r>
    </w:p>
    <w:p>
      <w:pPr>
        <w:pStyle w:val="BodyText"/>
      </w:pPr>
      <w:r>
        <w:t xml:space="preserve">Foundation Layer (F01–F05)</w:t>
      </w:r>
    </w:p>
    <w:p>
      <w:pPr>
        <w:pStyle w:val="BodyText"/>
      </w:pPr>
      <w:r>
        <w:t xml:space="preserve">Sevyn8 Intelligence &amp; Analytics Platform</w:t>
      </w:r>
    </w:p>
    <w:p>
      <w:pPr>
        <w:pStyle w:val="BodyText"/>
      </w:pPr>
      <w:r>
        <w:t xml:space="preserve">Version 1.0 — April 2026 — CONFIDENTIAL</w:t>
      </w:r>
    </w:p>
    <w:p>
      <w:pPr>
        <w:pStyle w:val="BodyText"/>
      </w:pPr>
      <w:r>
        <w:t xml:space="preserve">Design Parameters: GCP Primary • PostgreSQL 15+ • Hybrid Tenant Isolation • Retail-First • 3–10 Tenants at Launch • Canonical namespace: retail.* prefix for all retail entities (retail.Customer, retail.Store, retail.Product, retail.Transaction)</w:t>
      </w:r>
    </w:p>
    <w:bookmarkStart w:id="20" w:name="design-decisions-log"/>
    <w:p>
      <w:pPr>
        <w:pStyle w:val="Heading1"/>
      </w:pPr>
      <w:r>
        <w:t xml:space="preserve">Design Decisions Log</w:t>
      </w:r>
    </w:p>
    <w:p>
      <w:pPr>
        <w:pStyle w:val="FirstParagraph"/>
      </w:pPr>
      <w:r>
        <w:t xml:space="preserve">The following foundational decisions were confirmed by the product owner and apply across all Foundation modules:</w:t>
      </w:r>
    </w:p>
    <w:tbl>
      <w:tblPr>
        <w:tblStyle w:val="Table"/>
        <w:tblW w:type="pct" w:w="4966"/>
        <w:tblLook w:firstRow="0" w:lastRow="0" w:firstColumn="0" w:lastColumn="0" w:noHBand="0" w:noVBand="0" w:val="0000"/>
        <w:jc w:val="start"/>
      </w:tblPr>
      <w:tblGrid>
        <w:gridCol w:w="619"/>
        <w:gridCol w:w="7246"/>
      </w:tblGrid>
      <w:tr>
        <w:tc>
          <w:tcPr/>
          <w:p>
            <w:pPr>
              <w:pStyle w:val="Compact"/>
              <w:jc w:val="left"/>
            </w:pPr>
            <w:r>
              <w:rPr>
                <w:bCs/>
                <w:b/>
              </w:rPr>
              <w:t xml:space="preserve">Decision</w:t>
            </w:r>
          </w:p>
        </w:tc>
        <w:tc>
          <w:tcPr/>
          <w:p>
            <w:pPr>
              <w:pStyle w:val="Compact"/>
              <w:jc w:val="left"/>
            </w:pPr>
            <w:r>
              <w:rPr>
                <w:bCs/>
                <w:b/>
              </w:rPr>
              <w:t xml:space="preserve">Choice &amp; Rationale</w:t>
            </w:r>
          </w:p>
        </w:tc>
      </w:tr>
      <w:tr>
        <w:tc>
          <w:tcPr/>
          <w:p>
            <w:pPr>
              <w:pStyle w:val="Compact"/>
              <w:jc w:val="left"/>
            </w:pPr>
            <w:r>
              <w:rPr>
                <w:bCs/>
                <w:b/>
              </w:rPr>
              <w:t xml:space="preserve">Primary Cloud</w:t>
            </w:r>
          </w:p>
        </w:tc>
        <w:tc>
          <w:tcPr/>
          <w:p>
            <w:pPr>
              <w:pStyle w:val="Compact"/>
              <w:jc w:val="left"/>
            </w:pPr>
            <w:r>
              <w:t xml:space="preserve">GCP — aligns with existing DIS/BigQuery architecture. GKE Autopilot for compute, Cloud SQL for relational, GCS for blob, Pub/Sub for messaging, BigQuery for analytical Gold layer.</w:t>
            </w:r>
          </w:p>
        </w:tc>
      </w:tr>
      <w:tr>
        <w:tc>
          <w:tcPr/>
          <w:p>
            <w:pPr>
              <w:pStyle w:val="Compact"/>
              <w:jc w:val="left"/>
            </w:pPr>
            <w:r>
              <w:rPr>
                <w:bCs/>
                <w:b/>
              </w:rPr>
              <w:t xml:space="preserve">Database Engine</w:t>
            </w:r>
          </w:p>
        </w:tc>
        <w:tc>
          <w:tcPr/>
          <w:p>
            <w:pPr>
              <w:pStyle w:val="Compact"/>
              <w:jc w:val="left"/>
            </w:pPr>
            <w:r>
              <w:t xml:space="preserve">PostgreSQL 15+ — recommended by architect. Reasons: native bi-temporal range types, pgvector for embeddings, native Row-Level Security for hybrid isolation, JSONB for flexible config/theme storage, AlloyDB upgrade path. Cloud SQL PostgreSQL for initial deployment.</w:t>
            </w:r>
          </w:p>
        </w:tc>
      </w:tr>
      <w:tr>
        <w:tc>
          <w:tcPr/>
          <w:p>
            <w:pPr>
              <w:pStyle w:val="Compact"/>
              <w:jc w:val="left"/>
            </w:pPr>
            <w:r>
              <w:rPr>
                <w:bCs/>
                <w:b/>
              </w:rPr>
              <w:t xml:space="preserve">Tenant Isolation</w:t>
            </w:r>
          </w:p>
        </w:tc>
        <w:tc>
          <w:tcPr/>
          <w:p>
            <w:pPr>
              <w:pStyle w:val="Compact"/>
              <w:jc w:val="left"/>
            </w:pPr>
            <w:r>
              <w:t xml:space="preserve">Hybrid — shared schema with Row-Level Security for Standard tenants, dedicated Cloud SQL instance for Enterprise tenants. Schema design must support both modes transparently.</w:t>
            </w:r>
          </w:p>
        </w:tc>
      </w:tr>
      <w:tr>
        <w:tc>
          <w:tcPr/>
          <w:p>
            <w:pPr>
              <w:pStyle w:val="Compact"/>
              <w:jc w:val="left"/>
            </w:pPr>
            <w:r>
              <w:rPr>
                <w:bCs/>
                <w:b/>
              </w:rPr>
              <w:t xml:space="preserve">Initial Scale</w:t>
            </w:r>
          </w:p>
        </w:tc>
        <w:tc>
          <w:tcPr/>
          <w:p>
            <w:pPr>
              <w:pStyle w:val="Compact"/>
              <w:jc w:val="left"/>
            </w:pPr>
            <w:r>
              <w:t xml:space="preserve">3–10 tenants, 50–500 users in first 6 months.</w:t>
            </w:r>
          </w:p>
        </w:tc>
      </w:tr>
      <w:tr>
        <w:tc>
          <w:tcPr/>
          <w:p>
            <w:pPr>
              <w:pStyle w:val="Compact"/>
              <w:jc w:val="left"/>
            </w:pPr>
            <w:r>
              <w:rPr>
                <w:bCs/>
                <w:b/>
              </w:rPr>
              <w:t xml:space="preserve">First Vertical</w:t>
            </w:r>
          </w:p>
        </w:tc>
        <w:tc>
          <w:tcPr/>
          <w:p>
            <w:pPr>
              <w:pStyle w:val="Compact"/>
              <w:jc w:val="left"/>
            </w:pPr>
            <w:r>
              <w:t xml:space="preserve">Retail (The Body Shop / Quest Retail pattern). Ontology, KPIs, connectors, and compliance rules designed for retail first.</w:t>
            </w:r>
          </w:p>
        </w:tc>
      </w:tr>
      <w:tr>
        <w:tc>
          <w:tcPr/>
          <w:p>
            <w:pPr>
              <w:pStyle w:val="Compact"/>
              <w:jc w:val="left"/>
            </w:pPr>
            <w:r>
              <w:rPr>
                <w:bCs/>
                <w:b/>
              </w:rPr>
              <w:t xml:space="preserve">Region</w:t>
            </w:r>
          </w:p>
        </w:tc>
        <w:tc>
          <w:tcPr/>
          <w:p>
            <w:pPr>
              <w:pStyle w:val="Compact"/>
              <w:jc w:val="left"/>
            </w:pPr>
            <w:r>
              <w:t xml:space="preserve">asia-south1 (Mumbai) primary, asia-south2 (Delhi) for DR.</w:t>
            </w:r>
          </w:p>
        </w:tc>
      </w:tr>
    </w:tbl>
    <w:bookmarkEnd w:id="20"/>
    <w:bookmarkStart w:id="35" w:name="f01-multi-tenancy-infrastructure"/>
    <w:p>
      <w:pPr>
        <w:pStyle w:val="Heading1"/>
      </w:pPr>
      <w:r>
        <w:t xml:space="preserve">F01 — Multi-Tenancy Infrastructure</w:t>
      </w:r>
    </w:p>
    <w:tbl>
      <w:tblPr>
        <w:tblStyle w:val="Table"/>
        <w:tblW w:type="pct" w:w="4930"/>
        <w:tblLook w:firstRow="0" w:lastRow="0" w:firstColumn="0" w:lastColumn="0" w:noHBand="0" w:noVBand="0" w:val="0000"/>
        <w:jc w:val="start"/>
      </w:tblPr>
      <w:tblGrid>
        <w:gridCol w:w="1227"/>
        <w:gridCol w:w="6581"/>
      </w:tblGrid>
      <w:t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rPr>
                <w:bCs/>
                <w:b/>
              </w:rPr>
              <w:t xml:space="preserve">Module ID</w:t>
            </w:r>
          </w:p>
        </w:tc>
        <w:tc>
          <w:tcPr/>
          <w:p>
            <w:pPr>
              <w:pStyle w:val="Compact"/>
              <w:jc w:val="left"/>
            </w:pPr>
            <w:r>
              <w:t xml:space="preserve">F01</w:t>
            </w:r>
          </w:p>
        </w:tc>
      </w:tr>
      <w:tr>
        <w:tc>
          <w:tcPr/>
          <w:p>
            <w:pPr>
              <w:pStyle w:val="Compact"/>
              <w:jc w:val="left"/>
            </w:pPr>
            <w:r>
              <w:rPr>
                <w:bCs/>
                <w:b/>
              </w:rPr>
              <w:t xml:space="preserve">Phase</w:t>
            </w:r>
          </w:p>
        </w:tc>
        <w:tc>
          <w:tcPr/>
          <w:p>
            <w:pPr>
              <w:pStyle w:val="Compact"/>
              <w:jc w:val="left"/>
            </w:pPr>
            <w:r>
              <w:t xml:space="preserve">0 (Core Foundation)</w:t>
            </w:r>
          </w:p>
        </w:tc>
      </w:tr>
      <w:tr>
        <w:tc>
          <w:tcPr/>
          <w:p>
            <w:pPr>
              <w:pStyle w:val="Compact"/>
              <w:jc w:val="left"/>
            </w:pPr>
            <w:r>
              <w:rPr>
                <w:bCs/>
                <w:b/>
              </w:rPr>
              <w:t xml:space="preserve">Complexity</w:t>
            </w:r>
          </w:p>
        </w:tc>
        <w:tc>
          <w:tcPr/>
          <w:p>
            <w:pPr>
              <w:pStyle w:val="Compact"/>
              <w:jc w:val="left"/>
            </w:pPr>
            <w:r>
              <w:t xml:space="preserve">High</w:t>
            </w:r>
          </w:p>
        </w:tc>
      </w:tr>
      <w:tr>
        <w:tc>
          <w:tcPr/>
          <w:p>
            <w:pPr>
              <w:pStyle w:val="Compact"/>
              <w:jc w:val="left"/>
            </w:pPr>
            <w:r>
              <w:rPr>
                <w:bCs/>
                <w:b/>
              </w:rPr>
              <w:t xml:space="preserve">Dependencies</w:t>
            </w:r>
          </w:p>
        </w:tc>
        <w:tc>
          <w:tcPr/>
          <w:p>
            <w:pPr>
              <w:pStyle w:val="Compact"/>
              <w:jc w:val="left"/>
            </w:pPr>
            <w:r>
              <w:t xml:space="preserve">None (root module)</w:t>
            </w:r>
          </w:p>
        </w:tc>
      </w:tr>
      <w:tr>
        <w:tc>
          <w:tcPr/>
          <w:p>
            <w:pPr>
              <w:pStyle w:val="Compact"/>
              <w:jc w:val="left"/>
            </w:pPr>
            <w:r>
              <w:rPr>
                <w:bCs/>
                <w:b/>
              </w:rPr>
              <w:t xml:space="preserve">Depended On By</w:t>
            </w:r>
          </w:p>
        </w:tc>
        <w:tc>
          <w:tcPr/>
          <w:p>
            <w:pPr>
              <w:pStyle w:val="Compact"/>
              <w:jc w:val="left"/>
            </w:pPr>
            <w:r>
              <w:t xml:space="preserve">F02, F03, F04, I01, D01, D06, G01, AC01, AC02, AC03, ED01, O01, OB01, OB02, PR03, PR05 (most modules depend on F01)</w:t>
            </w:r>
          </w:p>
        </w:tc>
      </w:tr>
      <w:tr>
        <w:tc>
          <w:tcPr/>
          <w:p>
            <w:pPr>
              <w:pStyle w:val="Compact"/>
              <w:jc w:val="left"/>
            </w:pPr>
            <w:r>
              <w:rPr>
                <w:bCs/>
                <w:b/>
              </w:rPr>
              <w:t xml:space="preserve">Owner</w:t>
            </w:r>
          </w:p>
        </w:tc>
        <w:tc>
          <w:tcPr/>
          <w:p>
            <w:pPr>
              <w:pStyle w:val="Compact"/>
              <w:jc w:val="left"/>
            </w:pPr>
            <w:r>
              <w:t xml:space="preserve">Platform Engineering Lead</w:t>
            </w:r>
          </w:p>
        </w:tc>
      </w:tr>
    </w:tbl>
    <w:bookmarkStart w:id="21" w:name="purpose"/>
    <w:p>
      <w:pPr>
        <w:pStyle w:val="Heading2"/>
      </w:pPr>
      <w:r>
        <w:t xml:space="preserve">1.1 Purpose</w:t>
      </w:r>
    </w:p>
    <w:p>
      <w:pPr>
        <w:pStyle w:val="FirstParagraph"/>
      </w:pPr>
      <w:r>
        <w:t xml:space="preserve">F01 is the foundational infrastructure layer that provides logical and physical tenant isolation across all platform services. Every module in the system runs within the multi-tenancy context established by F01. It is responsible for tenant provisioning at the infrastructure level, data isolation, compute isolation, encryption key management, and resource quota enforcement.</w:t>
      </w:r>
    </w:p>
    <w:p>
      <w:pPr>
        <w:pStyle w:val="BodyText"/>
      </w:pPr>
      <w:r>
        <w:t xml:space="preserve">F01 does NOT manage tenant lifecycle (that is F02) or tenant configuration (that is F04). F01 is purely infrastructure — it provides the isolation primitives that other modules consume.</w:t>
      </w:r>
    </w:p>
    <w:bookmarkEnd w:id="21"/>
    <w:bookmarkStart w:id="28" w:name="functional-requirements"/>
    <w:p>
      <w:pPr>
        <w:pStyle w:val="Heading2"/>
      </w:pPr>
      <w:r>
        <w:t xml:space="preserve">1.2 Functional Requirements</w:t>
      </w:r>
    </w:p>
    <w:bookmarkStart w:id="22" w:name="tenant-context-propagation"/>
    <w:p>
      <w:pPr>
        <w:pStyle w:val="Heading3"/>
      </w:pPr>
      <w:r>
        <w:t xml:space="preserve">1.2.1 Tenant Context Propagation</w:t>
      </w:r>
    </w:p>
    <w:p>
      <w:pPr>
        <w:pStyle w:val="FirstParagraph"/>
      </w:pPr>
      <w:r>
        <w:rPr>
          <w:bCs/>
          <w:b/>
        </w:rPr>
        <w:t xml:space="preserve">F01-FR-001</w:t>
      </w:r>
      <w:r>
        <w:t xml:space="preserve"> </w:t>
      </w:r>
      <w:r>
        <w:t xml:space="preserve">Every API request, service-to-service call, database query, cache operation, message queue publish, and log entry MUST carry a tenant_id in its execution context. No operation may execute without a resolved tenant context.</w:t>
      </w:r>
    </w:p>
    <w:p>
      <w:pPr>
        <w:pStyle w:val="BodyText"/>
      </w:pPr>
      <w:r>
        <w:rPr>
          <w:bCs/>
          <w:b/>
        </w:rPr>
        <w:t xml:space="preserve">F01-FR-002</w:t>
      </w:r>
      <w:r>
        <w:t xml:space="preserve"> </w:t>
      </w:r>
      <w:r>
        <w:t xml:space="preserve">Tenant context SHALL be propagated using OpenTelemetry Baggage across all gRPC and HTTP service-to-service calls. The baggage key shall be 'sevyn8.tenant_id'.</w:t>
      </w:r>
    </w:p>
    <w:p>
      <w:pPr>
        <w:pStyle w:val="BodyText"/>
      </w:pPr>
      <w:r>
        <w:rPr>
          <w:bCs/>
          <w:b/>
        </w:rPr>
        <w:t xml:space="preserve">F01-FR-003</w:t>
      </w:r>
      <w:r>
        <w:t xml:space="preserve"> </w:t>
      </w:r>
      <w:r>
        <w:t xml:space="preserve">The system SHALL resolve tenant_id from one of the following sources, in priority order: (a) JWT claim 'tenant_id' in authenticated user session, (b) API header 'X-Tenant-ID' for service-to-service calls, (c) subdomain extraction from request host (e.g., 'acme' from 'acme.platform.sevyn8.com'), (d) custom domain lookup from the domain_registry table.</w:t>
      </w:r>
    </w:p>
    <w:p>
      <w:pPr>
        <w:pStyle w:val="BodyText"/>
      </w:pPr>
      <w:r>
        <w:rPr>
          <w:bCs/>
          <w:b/>
        </w:rPr>
        <w:t xml:space="preserve">F01-FR-004</w:t>
      </w:r>
      <w:r>
        <w:t xml:space="preserve"> </w:t>
      </w:r>
      <w:r>
        <w:t xml:space="preserve">If tenant context cannot be resolved, the request SHALL be rejected with HTTP 401 (unauthenticated) or HTTP 403 (forbidden). No fallback to a default tenant.</w:t>
      </w:r>
    </w:p>
    <w:p>
      <w:pPr>
        <w:pStyle w:val="BodyText"/>
      </w:pPr>
      <w:r>
        <w:rPr>
          <w:bCs/>
          <w:b/>
        </w:rPr>
        <w:t xml:space="preserve">F01-FR-005</w:t>
      </w:r>
      <w:r>
        <w:t xml:space="preserve"> </w:t>
      </w:r>
      <w:r>
        <w:t xml:space="preserve">Tenant context SHALL be immutable once resolved for a request lifecycle. No middleware or service may change the tenant_id mid-request.</w:t>
      </w:r>
    </w:p>
    <w:bookmarkEnd w:id="22"/>
    <w:bookmarkStart w:id="23" w:name="database-isolation-hybrid-model"/>
    <w:p>
      <w:pPr>
        <w:pStyle w:val="Heading3"/>
      </w:pPr>
      <w:r>
        <w:t xml:space="preserve">1.2.2 Database Isolation (Hybrid Model)</w:t>
      </w:r>
    </w:p>
    <w:p>
      <w:pPr>
        <w:pStyle w:val="FirstParagraph"/>
      </w:pPr>
      <w:r>
        <w:rPr>
          <w:bCs/>
          <w:b/>
        </w:rPr>
        <w:t xml:space="preserve">F01-FR-010</w:t>
      </w:r>
      <w:r>
        <w:t xml:space="preserve"> </w:t>
      </w:r>
      <w:r>
        <w:t xml:space="preserve">The platform SHALL support two database isolation modes, selectable per tenant at provisioning time:</w:t>
      </w:r>
    </w:p>
    <w:p>
      <w:pPr>
        <w:pStyle w:val="BodyText"/>
      </w:pPr>
      <w:r>
        <w:t xml:space="preserve">Mode A — Shared Instance with RLS: Tenant data stored in shared PostgreSQL schemas on a shared Cloud SQL instance. Row-Level Security policies enforce that queries return only the requesting tenant’s data. All tables containing tenant-scoped data MUST have a non-nullable tenant_id column with an RLS policy attached.</w:t>
      </w:r>
    </w:p>
    <w:p>
      <w:pPr>
        <w:pStyle w:val="BodyText"/>
      </w:pPr>
      <w:r>
        <w:t xml:space="preserve">Mode B — Dedicated Instance: Tenant data stored in a dedicated Cloud SQL PostgreSQL instance. The instance is provisioned, managed, and monitored independently. Connection routing directs the tenant’s requests to their dedicated instance.</w:t>
      </w:r>
    </w:p>
    <w:p>
      <w:pPr>
        <w:pStyle w:val="BodyText"/>
      </w:pPr>
      <w:r>
        <w:rPr>
          <w:bCs/>
          <w:b/>
        </w:rPr>
        <w:t xml:space="preserve">F01-FR-011</w:t>
      </w:r>
      <w:r>
        <w:t xml:space="preserve"> </w:t>
      </w:r>
      <w:r>
        <w:t xml:space="preserve">The Tenant Data Accessor (TDA) SHALL be an abstraction layer that all application services use to obtain database connections. The TDA resolves the tenant_id from the request context, determines the isolation mode for that tenant, and returns a connection to the correct database instance/schema with RLS context set.</w:t>
      </w:r>
    </w:p>
    <w:p>
      <w:pPr>
        <w:pStyle w:val="BodyText"/>
      </w:pPr>
      <w:r>
        <w:rPr>
          <w:bCs/>
          <w:b/>
        </w:rPr>
        <w:t xml:space="preserve">F01-FR-012</w:t>
      </w:r>
      <w:r>
        <w:t xml:space="preserve"> </w:t>
      </w:r>
      <w:r>
        <w:t xml:space="preserve">For Mode A (shared + RLS), the TDA SHALL execute 'SET app.current_tenant = :tenant_id' on every connection checkout, and the RLS policy on every tenant-scoped table SHALL filter on 'current_setting(app.current_tenant)'. This ensures that even if application code omits a WHERE clause, the database returns only the correct tenant’s data.</w:t>
      </w:r>
    </w:p>
    <w:p>
      <w:pPr>
        <w:pStyle w:val="BodyText"/>
      </w:pPr>
      <w:r>
        <w:rPr>
          <w:bCs/>
          <w:b/>
        </w:rPr>
        <w:t xml:space="preserve">F01-FR-013</w:t>
      </w:r>
      <w:r>
        <w:t xml:space="preserve"> </w:t>
      </w:r>
      <w:r>
        <w:t xml:space="preserve">For Mode B (dedicated), the TDA SHALL maintain a connection pool per dedicated instance, keyed by tenant_id. Connection pool size SHALL be configurable per tenant (default: 10 connections, max: 50).</w:t>
      </w:r>
    </w:p>
    <w:p>
      <w:pPr>
        <w:pStyle w:val="BodyText"/>
      </w:pPr>
      <w:r>
        <w:rPr>
          <w:bCs/>
          <w:b/>
        </w:rPr>
        <w:t xml:space="preserve">F01-FR-014</w:t>
      </w:r>
      <w:r>
        <w:t xml:space="preserve"> </w:t>
      </w:r>
      <w:r>
        <w:t xml:space="preserve">A tenant MAY be migrated from Mode A to Mode B without data loss or downtime. The migration process SHALL: (a) provision a new dedicated instance, (b) replicate the tenant’s data from shared to dedicated using logical replication, (c) switch the TDA routing to the new instance, (d) verify data consistency, (e) remove the tenant’s data from the shared instance. Target migration time: &lt;4 hours for tenants with &lt;10M rows.</w:t>
      </w:r>
    </w:p>
    <w:p>
      <w:pPr>
        <w:pStyle w:val="BlockText"/>
      </w:pPr>
      <w:r>
        <w:rPr>
          <w:iCs/>
          <w:i/>
        </w:rPr>
        <w:t xml:space="preserve">⚠ QUESTION FOR SEEMA: Do you want the ability to migrate tenants from Mode B back to Mode A (dedicated back to shared)? This is unusual but might be needed if an Enterprise tenant downgrades. It adds complexity to the migration tooling.</w:t>
      </w:r>
    </w:p>
    <w:bookmarkEnd w:id="23"/>
    <w:bookmarkStart w:id="24" w:name="compute-isolation"/>
    <w:p>
      <w:pPr>
        <w:pStyle w:val="Heading3"/>
      </w:pPr>
      <w:r>
        <w:t xml:space="preserve">1.2.3 Compute Isolation</w:t>
      </w:r>
    </w:p>
    <w:p>
      <w:pPr>
        <w:pStyle w:val="FirstParagraph"/>
      </w:pPr>
      <w:r>
        <w:rPr>
          <w:bCs/>
          <w:b/>
        </w:rPr>
        <w:t xml:space="preserve">F01-FR-020</w:t>
      </w:r>
      <w:r>
        <w:t xml:space="preserve"> </w:t>
      </w:r>
      <w:r>
        <w:t xml:space="preserve">The platform SHALL run on GKE Autopilot in the asia-south1 (Mumbai) region. Autopilot is chosen over Standard GKE to reduce operational burden at the 3–10 tenant scale.</w:t>
      </w:r>
    </w:p>
    <w:p>
      <w:pPr>
        <w:pStyle w:val="BodyText"/>
      </w:pPr>
      <w:r>
        <w:rPr>
          <w:bCs/>
          <w:b/>
        </w:rPr>
        <w:t xml:space="preserve">F01-FR-021</w:t>
      </w:r>
      <w:r>
        <w:t xml:space="preserve"> </w:t>
      </w:r>
      <w:r>
        <w:t xml:space="preserve">Each tenant SHALL be assigned a Kubernetes namespace: 'tenant-{tenant_id}'. All tenant-scoped workloads (custom algorithm execution, sandbox environments) SHALL run in the tenant’s namespace. Platform services (shared services like the ingestion gateway, API gateway, mapping engine) SHALL run in the 'platform' namespace.</w:t>
      </w:r>
    </w:p>
    <w:p>
      <w:pPr>
        <w:pStyle w:val="BodyText"/>
      </w:pPr>
      <w:r>
        <w:rPr>
          <w:bCs/>
          <w:b/>
        </w:rPr>
        <w:t xml:space="preserve">F01-FR-022</w:t>
      </w:r>
      <w:r>
        <w:t xml:space="preserve"> </w:t>
      </w:r>
      <w:r>
        <w:t xml:space="preserve">Kubernetes Network Policies SHALL enforce that pods in tenant namespace 'tenant-A' cannot communicate with pods in tenant namespace 'tenant-B'. Tenant namespaces may communicate with the 'platform' namespace only.</w:t>
      </w:r>
    </w:p>
    <w:p>
      <w:pPr>
        <w:pStyle w:val="BodyText"/>
      </w:pPr>
      <w:r>
        <w:rPr>
          <w:bCs/>
          <w:b/>
        </w:rPr>
        <w:t xml:space="preserve">F01-FR-023</w:t>
      </w:r>
      <w:r>
        <w:t xml:space="preserve"> </w:t>
      </w:r>
      <w:r>
        <w:t xml:space="preserve">Resource Quotas SHALL be applied per tenant namespace: CPU limit, memory limit, storage limit, pod count limit. Defaults: 4 vCPU, 8 GB RAM, 20 GB ephemeral storage, 20 pods. Configurable by Super Admin per tenant.</w:t>
      </w:r>
    </w:p>
    <w:p>
      <w:pPr>
        <w:pStyle w:val="BodyText"/>
      </w:pPr>
      <w:r>
        <w:rPr>
          <w:bCs/>
          <w:b/>
        </w:rPr>
        <w:t xml:space="preserve">F01-FR-024</w:t>
      </w:r>
      <w:r>
        <w:t xml:space="preserve"> </w:t>
      </w:r>
      <w:r>
        <w:t xml:space="preserve">For Enterprise tenants requiring dedicated compute, GKE node pools with tenant-specific taints and tolerations SHALL be provisioned. Tenant workloads are scheduled only on their dedicated nodes via node affinity rules.</w:t>
      </w:r>
    </w:p>
    <w:bookmarkEnd w:id="24"/>
    <w:bookmarkStart w:id="25" w:name="encryption-key-management"/>
    <w:p>
      <w:pPr>
        <w:pStyle w:val="Heading3"/>
      </w:pPr>
      <w:r>
        <w:t xml:space="preserve">1.2.4 Encryption &amp; Key Management</w:t>
      </w:r>
    </w:p>
    <w:p>
      <w:pPr>
        <w:pStyle w:val="FirstParagraph"/>
      </w:pPr>
      <w:r>
        <w:rPr>
          <w:bCs/>
          <w:b/>
        </w:rPr>
        <w:t xml:space="preserve">F01-FR-030</w:t>
      </w:r>
      <w:r>
        <w:t xml:space="preserve"> </w:t>
      </w:r>
      <w:r>
        <w:t xml:space="preserve">All data at rest SHALL be encrypted using Google Cloud KMS with envelope encryption. Each tenant SHALL have a dedicated Data Encryption Key (DEK). DEKs are wrapped by a platform-level Key Encryption Key (KEK) stored in Cloud KMS.</w:t>
      </w:r>
    </w:p>
    <w:p>
      <w:pPr>
        <w:pStyle w:val="BodyText"/>
      </w:pPr>
      <w:r>
        <w:rPr>
          <w:bCs/>
          <w:b/>
        </w:rPr>
        <w:t xml:space="preserve">F01-FR-031</w:t>
      </w:r>
      <w:r>
        <w:t xml:space="preserve"> </w:t>
      </w:r>
      <w:r>
        <w:t xml:space="preserve">DEKs SHALL be rotated automatically every 90 days. KEKs SHALL be rotated annually. Rotation SHALL be transparent — no application code changes, no downtime, no data re-encryption required (Cloud KMS handles this natively).</w:t>
      </w:r>
    </w:p>
    <w:p>
      <w:pPr>
        <w:pStyle w:val="BodyText"/>
      </w:pPr>
      <w:r>
        <w:rPr>
          <w:bCs/>
          <w:b/>
        </w:rPr>
        <w:t xml:space="preserve">F01-FR-032</w:t>
      </w:r>
      <w:r>
        <w:t xml:space="preserve"> </w:t>
      </w:r>
      <w:r>
        <w:t xml:space="preserve">All data in transit SHALL use TLS 1.3. Internal service-to-service communication SHALL use mTLS via GKE’s built-in Istio service mesh or Anthos Service Mesh.</w:t>
      </w:r>
    </w:p>
    <w:p>
      <w:pPr>
        <w:pStyle w:val="BodyText"/>
      </w:pPr>
      <w:r>
        <w:rPr>
          <w:bCs/>
          <w:b/>
        </w:rPr>
        <w:t xml:space="preserve">F01-FR-033</w:t>
      </w:r>
      <w:r>
        <w:t xml:space="preserve"> </w:t>
      </w:r>
      <w:r>
        <w:t xml:space="preserve">The encryption key for each tenant SHALL be stored in a key_registry table: tenant_id, kms_key_resource_name, created_at, last_rotated_at, status (ACTIVE/ROTATING/DISABLED).</w:t>
      </w:r>
    </w:p>
    <w:bookmarkEnd w:id="25"/>
    <w:bookmarkStart w:id="26" w:name="blob-storage-isolation"/>
    <w:p>
      <w:pPr>
        <w:pStyle w:val="Heading3"/>
      </w:pPr>
      <w:r>
        <w:t xml:space="preserve">1.2.5 Blob Storage Isolation</w:t>
      </w:r>
    </w:p>
    <w:p>
      <w:pPr>
        <w:pStyle w:val="FirstParagraph"/>
      </w:pPr>
      <w:r>
        <w:rPr>
          <w:bCs/>
          <w:b/>
        </w:rPr>
        <w:t xml:space="preserve">F01-FR-040</w:t>
      </w:r>
      <w:r>
        <w:t xml:space="preserve"> </w:t>
      </w:r>
      <w:r>
        <w:t xml:space="preserve">Raw data files (CSVs, documents, video, audio) SHALL be stored in Google Cloud Storage with tenant-prefixed paths: gs://sevyn8-{env}-data/{tenant_id}/bronze/{source_id}/{date}/{file}. The bucket is shared; isolation is enforced by IAM Conditions scoped to the tenant prefix.</w:t>
      </w:r>
    </w:p>
    <w:p>
      <w:pPr>
        <w:pStyle w:val="BodyText"/>
      </w:pPr>
      <w:r>
        <w:rPr>
          <w:bCs/>
          <w:b/>
        </w:rPr>
        <w:t xml:space="preserve">F01-FR-041</w:t>
      </w:r>
      <w:r>
        <w:t xml:space="preserve"> </w:t>
      </w:r>
      <w:r>
        <w:t xml:space="preserve">For Enterprise tenants with dedicated storage requirements, a separate GCS bucket SHALL be provisioned: gs://sevyn8-{env}-{tenant_id}-data/. The bucket SHALL have tenant-specific CMEK encryption.</w:t>
      </w:r>
    </w:p>
    <w:p>
      <w:pPr>
        <w:pStyle w:val="BodyText"/>
      </w:pPr>
      <w:r>
        <w:rPr>
          <w:bCs/>
          <w:b/>
        </w:rPr>
        <w:t xml:space="preserve">F01-FR-042</w:t>
      </w:r>
      <w:r>
        <w:t xml:space="preserve"> </w:t>
      </w:r>
      <w:r>
        <w:t xml:space="preserve">All direct access to GCS objects SHALL use Signed URLs with a maximum validity of 1 hour. No service account with broad bucket access SHALL be exposed to application code.</w:t>
      </w:r>
    </w:p>
    <w:p>
      <w:pPr>
        <w:pStyle w:val="BodyText"/>
      </w:pPr>
      <w:r>
        <w:rPr>
          <w:bCs/>
          <w:b/>
        </w:rPr>
        <w:t xml:space="preserve">F01-FR-043</w:t>
      </w:r>
      <w:r>
        <w:t xml:space="preserve"> </w:t>
      </w:r>
      <w:r>
        <w:t xml:space="preserve">GCS lifecycle policies SHALL be configured per-tenant based on their data retention policy: hot (Standard storage, 0–90 days), warm (Nearline, 90–365 days), cold (Coldline, 1–5 years), archive (Archive, &gt;5 years). Default: transition to Nearline at 90 days, Coldline at 1 year.</w:t>
      </w:r>
    </w:p>
    <w:bookmarkEnd w:id="26"/>
    <w:bookmarkStart w:id="27" w:name="X267ddff3c06e1fcf9f1db334b21954660f6ea46"/>
    <w:p>
      <w:pPr>
        <w:pStyle w:val="Heading3"/>
      </w:pPr>
      <w:r>
        <w:t xml:space="preserve">1.2.6 Resource Quotas &amp; Noisy Neighbor Protection</w:t>
      </w:r>
    </w:p>
    <w:p>
      <w:pPr>
        <w:pStyle w:val="FirstParagraph"/>
      </w:pPr>
      <w:r>
        <w:rPr>
          <w:bCs/>
          <w:b/>
        </w:rPr>
        <w:t xml:space="preserve">F01-FR-050</w:t>
      </w:r>
      <w:r>
        <w:t xml:space="preserve"> </w:t>
      </w:r>
      <w:r>
        <w:t xml:space="preserve">Each tenant SHALL have configurable resource quotas across five dimensions: database connections (default: 20), API requests per minute (default: 600), storage volume (default: 50 GB), compute budget per day (default: 100 vCPU-minutes), and ingestion volume per day (default: 1 GB).</w:t>
      </w:r>
    </w:p>
    <w:p>
      <w:pPr>
        <w:pStyle w:val="BodyText"/>
      </w:pPr>
      <w:r>
        <w:rPr>
          <w:bCs/>
          <w:b/>
        </w:rPr>
        <w:t xml:space="preserve">F01-FR-051</w:t>
      </w:r>
      <w:r>
        <w:t xml:space="preserve"> </w:t>
      </w:r>
      <w:r>
        <w:t xml:space="preserve">Quota enforcement SHALL have three tiers: soft limit (80% — alert tenant admin), hard limit (100% — queue excess requests, process during off-peak), absolute limit (150% — reject requests with HTTP 429 and Retry-After header).</w:t>
      </w:r>
    </w:p>
    <w:p>
      <w:pPr>
        <w:pStyle w:val="BodyText"/>
      </w:pPr>
      <w:r>
        <w:rPr>
          <w:bCs/>
          <w:b/>
        </w:rPr>
        <w:t xml:space="preserve">F01-FR-052</w:t>
      </w:r>
      <w:r>
        <w:t xml:space="preserve"> </w:t>
      </w:r>
      <w:r>
        <w:t xml:space="preserve">Cloud SQL query execution time SHALL be limited per tenant using statement_timeout. Default: 30 seconds for interactive queries, 300 seconds for batch/report queries. Queries exceeding the limit are killed with a logged event.</w:t>
      </w:r>
    </w:p>
    <w:p>
      <w:pPr>
        <w:pStyle w:val="BodyText"/>
      </w:pPr>
      <w:r>
        <w:rPr>
          <w:bCs/>
          <w:b/>
        </w:rPr>
        <w:t xml:space="preserve">F01-FR-053</w:t>
      </w:r>
      <w:r>
        <w:t xml:space="preserve"> </w:t>
      </w:r>
      <w:r>
        <w:t xml:space="preserve">BigQuery queries SHALL use per-tenant custom cost controls (maximum bytes billed) to prevent a single tenant’s analytical query from consuming disproportionate slots. Default: 10 GB per query, 100 GB per day.</w:t>
      </w:r>
    </w:p>
    <w:bookmarkEnd w:id="27"/>
    <w:bookmarkEnd w:id="28"/>
    <w:bookmarkStart w:id="29" w:name="non-functional-requirements"/>
    <w:p>
      <w:pPr>
        <w:pStyle w:val="Heading2"/>
      </w:pPr>
      <w:r>
        <w:t xml:space="preserve">1.3 Non-Functional Requirements</w:t>
      </w:r>
    </w:p>
    <w:tbl>
      <w:tblPr>
        <w:tblStyle w:val="Table"/>
        <w:tblW w:type="pct" w:w="4935"/>
        <w:tblLook w:firstRow="0" w:lastRow="0" w:firstColumn="0" w:lastColumn="0" w:noHBand="0" w:noVBand="0" w:val="0000"/>
        <w:jc w:val="start"/>
      </w:tblPr>
      <w:tblGrid>
        <w:gridCol w:w="2043"/>
        <w:gridCol w:w="2503"/>
        <w:gridCol w:w="3270"/>
      </w:tblGrid>
      <w:tr>
        <w:tc>
          <w:tcPr/>
          <w:p>
            <w:pPr>
              <w:pStyle w:val="Compact"/>
              <w:jc w:val="left"/>
            </w:pPr>
            <w:r>
              <w:rPr>
                <w:bCs/>
                <w:b/>
              </w:rPr>
              <w:t xml:space="preserve">Requirement</w:t>
            </w:r>
          </w:p>
        </w:tc>
        <w:tc>
          <w:tcPr/>
          <w:p>
            <w:pPr>
              <w:pStyle w:val="Compact"/>
              <w:jc w:val="left"/>
            </w:pPr>
            <w:r>
              <w:rPr>
                <w:bCs/>
                <w:b/>
              </w:rPr>
              <w:t xml:space="preserve">Target</w:t>
            </w:r>
          </w:p>
        </w:tc>
        <w:tc>
          <w:tcPr/>
          <w:p>
            <w:pPr>
              <w:pStyle w:val="Compact"/>
              <w:jc w:val="left"/>
            </w:pPr>
            <w:r>
              <w:rPr>
                <w:bCs/>
                <w:b/>
              </w:rPr>
              <w:t xml:space="preserve">Measurement</w:t>
            </w:r>
          </w:p>
        </w:tc>
      </w:tr>
      <w:tr>
        <w:tc>
          <w:tcPr/>
          <w:p>
            <w:pPr>
              <w:pStyle w:val="Compact"/>
              <w:jc w:val="left"/>
            </w:pPr>
            <w:r>
              <w:rPr>
                <w:bCs/>
                <w:b/>
              </w:rPr>
              <w:t xml:space="preserve">Tenant context resolution latency</w:t>
            </w:r>
          </w:p>
        </w:tc>
        <w:tc>
          <w:tcPr/>
          <w:p>
            <w:pPr>
              <w:pStyle w:val="Compact"/>
              <w:jc w:val="left"/>
            </w:pPr>
            <w:r>
              <w:t xml:space="preserve">&lt;5ms (p99)</w:t>
            </w:r>
          </w:p>
        </w:tc>
        <w:tc>
          <w:tcPr/>
          <w:p>
            <w:pPr>
              <w:pStyle w:val="Compact"/>
              <w:jc w:val="left"/>
            </w:pPr>
            <w:r>
              <w:t xml:space="preserve">Measure from request receipt to tenant_id resolved</w:t>
            </w:r>
          </w:p>
        </w:tc>
      </w:tr>
      <w:tr>
        <w:tc>
          <w:tcPr/>
          <w:p>
            <w:pPr>
              <w:pStyle w:val="Compact"/>
              <w:jc w:val="left"/>
            </w:pPr>
            <w:r>
              <w:rPr>
                <w:bCs/>
                <w:b/>
              </w:rPr>
              <w:t xml:space="preserve">TDA connection checkout latency</w:t>
            </w:r>
          </w:p>
        </w:tc>
        <w:tc>
          <w:tcPr/>
          <w:p>
            <w:pPr>
              <w:pStyle w:val="Compact"/>
              <w:jc w:val="left"/>
            </w:pPr>
            <w:r>
              <w:t xml:space="preserve">&lt;10ms (p99, Mode A), &lt;20ms (p99, Mode B)</w:t>
            </w:r>
          </w:p>
        </w:tc>
        <w:tc>
          <w:tcPr/>
          <w:p>
            <w:pPr>
              <w:pStyle w:val="Compact"/>
              <w:jc w:val="left"/>
            </w:pPr>
            <w:r>
              <w:t xml:space="preserve">Measure from connection request to usable connection returned</w:t>
            </w:r>
          </w:p>
        </w:tc>
      </w:tr>
      <w:tr>
        <w:tc>
          <w:tcPr/>
          <w:p>
            <w:pPr>
              <w:pStyle w:val="Compact"/>
              <w:jc w:val="left"/>
            </w:pPr>
            <w:r>
              <w:rPr>
                <w:bCs/>
                <w:b/>
              </w:rPr>
              <w:t xml:space="preserve">Tenant provisioning time</w:t>
            </w:r>
          </w:p>
        </w:tc>
        <w:tc>
          <w:tcPr/>
          <w:p>
            <w:pPr>
              <w:pStyle w:val="Compact"/>
              <w:jc w:val="left"/>
            </w:pPr>
            <w:r>
              <w:t xml:space="preserve">&lt;5 minutes (Mode A), &lt;30 minutes (Mode B)</w:t>
            </w:r>
          </w:p>
        </w:tc>
        <w:tc>
          <w:tcPr/>
          <w:p>
            <w:pPr>
              <w:pStyle w:val="Compact"/>
              <w:jc w:val="left"/>
            </w:pPr>
            <w:r>
              <w:t xml:space="preserve">Measure from API call to tenant-ready confirmation</w:t>
            </w:r>
          </w:p>
        </w:tc>
      </w:tr>
      <w:tr>
        <w:tc>
          <w:tcPr/>
          <w:p>
            <w:pPr>
              <w:pStyle w:val="Compact"/>
              <w:jc w:val="left"/>
            </w:pPr>
            <w:r>
              <w:rPr>
                <w:bCs/>
                <w:b/>
              </w:rPr>
              <w:t xml:space="preserve">Cross-tenant data leakage</w:t>
            </w:r>
          </w:p>
        </w:tc>
        <w:tc>
          <w:tcPr/>
          <w:p>
            <w:pPr>
              <w:pStyle w:val="Compact"/>
              <w:jc w:val="left"/>
            </w:pPr>
            <w:r>
              <w:t xml:space="preserve">Zero tolerance</w:t>
            </w:r>
          </w:p>
        </w:tc>
        <w:tc>
          <w:tcPr/>
          <w:p>
            <w:pPr>
              <w:pStyle w:val="Compact"/>
              <w:jc w:val="left"/>
            </w:pPr>
            <w:r>
              <w:t xml:space="preserve">Automated isolation tests on every deployment</w:t>
            </w:r>
          </w:p>
        </w:tc>
      </w:tr>
      <w:tr>
        <w:tc>
          <w:tcPr/>
          <w:p>
            <w:pPr>
              <w:pStyle w:val="Compact"/>
              <w:jc w:val="left"/>
            </w:pPr>
            <w:r>
              <w:rPr>
                <w:bCs/>
                <w:b/>
              </w:rPr>
              <w:t xml:space="preserve">Encryption coverage</w:t>
            </w:r>
          </w:p>
        </w:tc>
        <w:tc>
          <w:tcPr/>
          <w:p>
            <w:pPr>
              <w:pStyle w:val="Compact"/>
              <w:jc w:val="left"/>
            </w:pPr>
            <w:r>
              <w:t xml:space="preserve">100% of data at rest and in transit</w:t>
            </w:r>
          </w:p>
        </w:tc>
        <w:tc>
          <w:tcPr/>
          <w:p>
            <w:pPr>
              <w:pStyle w:val="Compact"/>
              <w:jc w:val="left"/>
            </w:pPr>
            <w:r>
              <w:t xml:space="preserve">Monthly audit scan</w:t>
            </w:r>
          </w:p>
        </w:tc>
      </w:tr>
      <w:tr>
        <w:tc>
          <w:tcPr/>
          <w:p>
            <w:pPr>
              <w:pStyle w:val="Compact"/>
              <w:jc w:val="left"/>
            </w:pPr>
            <w:r>
              <w:rPr>
                <w:bCs/>
                <w:b/>
              </w:rPr>
              <w:t xml:space="preserve">Availability</w:t>
            </w:r>
          </w:p>
        </w:tc>
        <w:tc>
          <w:tcPr/>
          <w:p>
            <w:pPr>
              <w:pStyle w:val="Compact"/>
              <w:jc w:val="left"/>
            </w:pPr>
            <w:r>
              <w:t xml:space="preserve">99.9% (shared infra), 99.95% (dedicated infra)</w:t>
            </w:r>
          </w:p>
        </w:tc>
        <w:tc>
          <w:tcPr/>
          <w:p>
            <w:pPr>
              <w:pStyle w:val="Compact"/>
              <w:jc w:val="left"/>
            </w:pPr>
            <w:r>
              <w:t xml:space="preserve">GCP SLA + application-level monitoring</w:t>
            </w:r>
          </w:p>
        </w:tc>
      </w:tr>
    </w:tbl>
    <w:bookmarkEnd w:id="29"/>
    <w:bookmarkStart w:id="31" w:name="data-model"/>
    <w:p>
      <w:pPr>
        <w:pStyle w:val="Heading2"/>
      </w:pPr>
      <w:r>
        <w:t xml:space="preserve">1.4 Data Model</w:t>
      </w:r>
    </w:p>
    <w:bookmarkStart w:id="30" w:name="X6871aae3d019932e6c864ee11595eeea9411aac"/>
    <w:p>
      <w:pPr>
        <w:pStyle w:val="Heading3"/>
      </w:pPr>
      <w:r>
        <w:t xml:space="preserve">1.4.1 Control Plane Tables (shared, not tenant-scoped)</w:t>
      </w:r>
    </w:p>
    <w:p>
      <w:pPr>
        <w:pStyle w:val="FirstParagraph"/>
      </w:pPr>
      <w:r>
        <w:t xml:space="preserve">These tables live in a dedicated 'control_plane' schema on the shared Cloud SQL instance. They are NOT subject to RLS — they are platform-level tables accessed only by platform services.</w:t>
      </w:r>
    </w:p>
    <w:tbl>
      <w:tblPr>
        <w:tblStyle w:val="Table"/>
        <w:tblW w:type="pct" w:w="4940"/>
        <w:tblLook w:firstRow="0" w:lastRow="0" w:firstColumn="0" w:lastColumn="0" w:noHBand="0" w:noVBand="0" w:val="0000"/>
        <w:jc w:val="start"/>
      </w:tblPr>
      <w:tblGrid>
        <w:gridCol w:w="1037"/>
        <w:gridCol w:w="1131"/>
        <w:gridCol w:w="707"/>
        <w:gridCol w:w="4950"/>
      </w:tblGrid>
      <w:tr>
        <w:tc>
          <w:tcPr/>
          <w:p>
            <w:pPr>
              <w:pStyle w:val="Compact"/>
              <w:jc w:val="left"/>
            </w:pPr>
            <w:r>
              <w:rPr>
                <w:bCs/>
                <w:b/>
              </w:rPr>
              <w:t xml:space="preserve">Table</w:t>
            </w:r>
          </w:p>
        </w:tc>
        <w:tc>
          <w:tcPr/>
          <w:p>
            <w:pPr>
              <w:pStyle w:val="Compact"/>
              <w:jc w:val="left"/>
            </w:pPr>
            <w:r>
              <w:rPr>
                <w:bCs/>
                <w:b/>
              </w:rPr>
              <w:t xml:space="preserve">Column</w:t>
            </w:r>
          </w:p>
        </w:tc>
        <w:tc>
          <w:tcPr/>
          <w:p>
            <w:pPr>
              <w:pStyle w:val="Compact"/>
              <w:jc w:val="left"/>
            </w:pPr>
            <w:r>
              <w:rPr>
                <w:bCs/>
                <w:b/>
              </w:rPr>
              <w:t xml:space="preserve">Type</w:t>
            </w:r>
          </w:p>
        </w:tc>
        <w:tc>
          <w:tcPr/>
          <w:p>
            <w:pPr>
              <w:pStyle w:val="Compact"/>
              <w:jc w:val="left"/>
            </w:pPr>
            <w:r>
              <w:rPr>
                <w:bCs/>
                <w:b/>
              </w:rPr>
              <w:t xml:space="preserve">Description</w:t>
            </w:r>
          </w:p>
        </w:tc>
      </w:tr>
      <w:tr>
        <w:tc>
          <w:tcPr/>
          <w:p>
            <w:pPr>
              <w:pStyle w:val="Compact"/>
              <w:jc w:val="left"/>
            </w:pPr>
            <w:r>
              <w:rPr>
                <w:bCs/>
                <w:b/>
              </w:rPr>
              <w:t xml:space="preserve">tenants</w:t>
            </w:r>
          </w:p>
        </w:tc>
        <w:tc>
          <w:tcPr/>
          <w:p>
            <w:pPr>
              <w:pStyle w:val="Compact"/>
              <w:jc w:val="left"/>
            </w:pPr>
            <w:r>
              <w:t xml:space="preserve">tenant_id</w:t>
            </w:r>
          </w:p>
        </w:tc>
        <w:tc>
          <w:tcPr/>
          <w:p>
            <w:pPr>
              <w:pStyle w:val="Compact"/>
              <w:jc w:val="left"/>
            </w:pPr>
            <w:r>
              <w:t xml:space="preserve">UUID (PK)</w:t>
            </w:r>
          </w:p>
        </w:tc>
        <w:tc>
          <w:tcPr/>
          <w:p>
            <w:pPr>
              <w:pStyle w:val="Compact"/>
              <w:jc w:val="left"/>
            </w:pPr>
            <w:r>
              <w:t xml:space="preserve">Globally unique tenant identifier. Generated at provisioning. Immutable.</w:t>
            </w:r>
          </w:p>
        </w:tc>
      </w:tr>
      <w:tr>
        <w:tc>
          <w:tcPr/>
          <w:p>
            <w:pPr>
              <w:pStyle w:val="Compact"/>
            </w:pPr>
          </w:p>
        </w:tc>
        <w:tc>
          <w:tcPr/>
          <w:p>
            <w:pPr>
              <w:pStyle w:val="Compact"/>
              <w:jc w:val="left"/>
            </w:pPr>
            <w:r>
              <w:t xml:space="preserve">name</w:t>
            </w:r>
          </w:p>
        </w:tc>
        <w:tc>
          <w:tcPr/>
          <w:p>
            <w:pPr>
              <w:pStyle w:val="Compact"/>
              <w:jc w:val="left"/>
            </w:pPr>
            <w:r>
              <w:t xml:space="preserve">VARCHAR(255)</w:t>
            </w:r>
          </w:p>
        </w:tc>
        <w:tc>
          <w:tcPr/>
          <w:p>
            <w:pPr>
              <w:pStyle w:val="Compact"/>
              <w:jc w:val="left"/>
            </w:pPr>
            <w:r>
              <w:t xml:space="preserve">Human-readable tenant name (e.g., 'Quest Retail').</w:t>
            </w:r>
          </w:p>
        </w:tc>
      </w:tr>
      <w:tr>
        <w:tc>
          <w:tcPr/>
          <w:p>
            <w:pPr>
              <w:pStyle w:val="Compact"/>
            </w:pPr>
          </w:p>
        </w:tc>
        <w:tc>
          <w:tcPr/>
          <w:p>
            <w:pPr>
              <w:pStyle w:val="Compact"/>
              <w:jc w:val="left"/>
            </w:pPr>
            <w:r>
              <w:t xml:space="preserve">slug</w:t>
            </w:r>
          </w:p>
        </w:tc>
        <w:tc>
          <w:tcPr/>
          <w:p>
            <w:pPr>
              <w:pStyle w:val="Compact"/>
              <w:jc w:val="left"/>
            </w:pPr>
            <w:r>
              <w:t xml:space="preserve">VARCHAR(63)</w:t>
            </w:r>
          </w:p>
        </w:tc>
        <w:tc>
          <w:tcPr/>
          <w:p>
            <w:pPr>
              <w:pStyle w:val="Compact"/>
              <w:jc w:val="left"/>
            </w:pPr>
            <w:r>
              <w:t xml:space="preserve">URL-safe slug for subdomain (e.g., 'quest-retail'). Unique. Immutable after provisioning.</w:t>
            </w:r>
          </w:p>
        </w:tc>
      </w:tr>
      <w:tr>
        <w:tc>
          <w:tcPr/>
          <w:p>
            <w:pPr>
              <w:pStyle w:val="Compact"/>
            </w:pPr>
          </w:p>
        </w:tc>
        <w:tc>
          <w:tcPr/>
          <w:p>
            <w:pPr>
              <w:pStyle w:val="Compact"/>
              <w:jc w:val="left"/>
            </w:pPr>
            <w:r>
              <w:t xml:space="preserve">industry_vertical_id</w:t>
            </w:r>
          </w:p>
        </w:tc>
        <w:tc>
          <w:tcPr/>
          <w:p>
            <w:pPr>
              <w:pStyle w:val="Compact"/>
              <w:jc w:val="left"/>
            </w:pPr>
            <w:r>
              <w:t xml:space="preserve">UUID (FK)</w:t>
            </w:r>
          </w:p>
        </w:tc>
        <w:tc>
          <w:tcPr/>
          <w:p>
            <w:pPr>
              <w:pStyle w:val="Compact"/>
              <w:jc w:val="left"/>
            </w:pPr>
            <w:r>
              <w:t xml:space="preserve">References the industry vertical this tenant belongs to.</w:t>
            </w:r>
          </w:p>
        </w:tc>
      </w:tr>
      <w:tr>
        <w:tc>
          <w:tcPr/>
          <w:p>
            <w:pPr>
              <w:pStyle w:val="Compact"/>
            </w:pPr>
          </w:p>
        </w:tc>
        <w:tc>
          <w:tcPr/>
          <w:p>
            <w:pPr>
              <w:pStyle w:val="Compact"/>
              <w:jc w:val="left"/>
            </w:pPr>
            <w:r>
              <w:t xml:space="preserve">isolation_mode</w:t>
            </w:r>
          </w:p>
        </w:tc>
        <w:tc>
          <w:tcPr/>
          <w:p>
            <w:pPr>
              <w:pStyle w:val="Compact"/>
              <w:jc w:val="left"/>
            </w:pPr>
            <w:r>
              <w:t xml:space="preserve">ENUM</w:t>
            </w:r>
          </w:p>
        </w:tc>
        <w:tc>
          <w:tcPr/>
          <w:p>
            <w:pPr>
              <w:pStyle w:val="Compact"/>
              <w:jc w:val="left"/>
            </w:pPr>
            <w:r>
              <w:t xml:space="preserve">'SHARED_RLS' or 'DEDICATED'. Determines database routing.</w:t>
            </w:r>
          </w:p>
        </w:tc>
      </w:tr>
      <w:tr>
        <w:tc>
          <w:tcPr/>
          <w:p>
            <w:pPr>
              <w:pStyle w:val="Compact"/>
            </w:pPr>
          </w:p>
        </w:tc>
        <w:tc>
          <w:tcPr/>
          <w:p>
            <w:pPr>
              <w:pStyle w:val="Compact"/>
              <w:jc w:val="left"/>
            </w:pPr>
            <w:r>
              <w:t xml:space="preserve">dedicated_instance_id</w:t>
            </w:r>
          </w:p>
        </w:tc>
        <w:tc>
          <w:tcPr/>
          <w:p>
            <w:pPr>
              <w:pStyle w:val="Compact"/>
              <w:jc w:val="left"/>
            </w:pPr>
            <w:r>
              <w:t xml:space="preserve">VARCHAR</w:t>
            </w:r>
          </w:p>
        </w:tc>
        <w:tc>
          <w:tcPr/>
          <w:p>
            <w:pPr>
              <w:pStyle w:val="Compact"/>
              <w:jc w:val="left"/>
            </w:pPr>
            <w:r>
              <w:t xml:space="preserve">Cloud SQL instance ID for DEDICATED tenants. NULL for SHARED_RLS.</w:t>
            </w:r>
          </w:p>
        </w:tc>
      </w:tr>
      <w:tr>
        <w:tc>
          <w:tcPr/>
          <w:p>
            <w:pPr>
              <w:pStyle w:val="Compact"/>
            </w:pPr>
          </w:p>
        </w:tc>
        <w:tc>
          <w:tcPr/>
          <w:p>
            <w:pPr>
              <w:pStyle w:val="Compact"/>
              <w:jc w:val="left"/>
            </w:pPr>
            <w:r>
              <w:t xml:space="preserve">status</w:t>
            </w:r>
          </w:p>
        </w:tc>
        <w:tc>
          <w:tcPr/>
          <w:p>
            <w:pPr>
              <w:pStyle w:val="Compact"/>
              <w:jc w:val="left"/>
            </w:pPr>
            <w:r>
              <w:t xml:space="preserve">ENUM</w:t>
            </w:r>
          </w:p>
        </w:tc>
        <w:tc>
          <w:tcPr/>
          <w:p>
            <w:pPr>
              <w:pStyle w:val="Compact"/>
              <w:jc w:val="left"/>
            </w:pPr>
            <w:r>
              <w:t xml:space="preserve">'PROVISIONING', 'ACTIVE', 'SUSPENDED', 'OFFBOARDING', 'DELETED'.</w:t>
            </w:r>
          </w:p>
        </w:tc>
      </w:tr>
      <w:tr>
        <w:tc>
          <w:tcPr/>
          <w:p>
            <w:pPr>
              <w:pStyle w:val="Compact"/>
            </w:pPr>
          </w:p>
        </w:tc>
        <w:tc>
          <w:tcPr/>
          <w:p>
            <w:pPr>
              <w:pStyle w:val="Compact"/>
              <w:jc w:val="left"/>
            </w:pPr>
            <w:r>
              <w:t xml:space="preserve">tier</w:t>
            </w:r>
          </w:p>
        </w:tc>
        <w:tc>
          <w:tcPr/>
          <w:p>
            <w:pPr>
              <w:pStyle w:val="Compact"/>
              <w:jc w:val="left"/>
            </w:pPr>
            <w:r>
              <w:t xml:space="preserve">ENUM</w:t>
            </w:r>
          </w:p>
        </w:tc>
        <w:tc>
          <w:tcPr/>
          <w:p>
            <w:pPr>
              <w:pStyle w:val="Compact"/>
              <w:jc w:val="left"/>
            </w:pPr>
            <w:r>
              <w:t xml:space="preserve">'STANDARD', 'PREMIUM', 'ENTERPRISE'. Drives quota defaults, isolation mode, white-label options.</w:t>
            </w:r>
          </w:p>
        </w:tc>
      </w:tr>
      <w:tr>
        <w:tc>
          <w:tcPr/>
          <w:p>
            <w:pPr>
              <w:pStyle w:val="Compact"/>
            </w:pPr>
          </w:p>
        </w:tc>
        <w:tc>
          <w:tcPr/>
          <w:p>
            <w:pPr>
              <w:pStyle w:val="Compact"/>
              <w:jc w:val="left"/>
            </w:pPr>
            <w:r>
              <w:t xml:space="preserve">contract_start</w:t>
            </w:r>
          </w:p>
        </w:tc>
        <w:tc>
          <w:tcPr/>
          <w:p>
            <w:pPr>
              <w:pStyle w:val="Compact"/>
              <w:jc w:val="left"/>
            </w:pPr>
            <w:r>
              <w:t xml:space="preserve">DATE</w:t>
            </w:r>
          </w:p>
        </w:tc>
        <w:tc>
          <w:tcPr/>
          <w:p>
            <w:pPr>
              <w:pStyle w:val="Compact"/>
              <w:jc w:val="left"/>
            </w:pPr>
            <w:r>
              <w:t xml:space="preserve">Contract start date.</w:t>
            </w:r>
          </w:p>
        </w:tc>
      </w:tr>
      <w:tr>
        <w:tc>
          <w:tcPr/>
          <w:p>
            <w:pPr>
              <w:pStyle w:val="Compact"/>
            </w:pPr>
          </w:p>
        </w:tc>
        <w:tc>
          <w:tcPr/>
          <w:p>
            <w:pPr>
              <w:pStyle w:val="Compact"/>
              <w:jc w:val="left"/>
            </w:pPr>
            <w:r>
              <w:t xml:space="preserve">contract_end</w:t>
            </w:r>
          </w:p>
        </w:tc>
        <w:tc>
          <w:tcPr/>
          <w:p>
            <w:pPr>
              <w:pStyle w:val="Compact"/>
              <w:jc w:val="left"/>
            </w:pPr>
            <w:r>
              <w:t xml:space="preserve">DATE</w:t>
            </w:r>
          </w:p>
        </w:tc>
        <w:tc>
          <w:tcPr/>
          <w:p>
            <w:pPr>
              <w:pStyle w:val="Compact"/>
              <w:jc w:val="left"/>
            </w:pPr>
            <w:r>
              <w:t xml:space="preserve">Contract end date. NULL for open-ended.</w:t>
            </w:r>
          </w:p>
        </w:tc>
      </w:tr>
      <w:tr>
        <w:tc>
          <w:tcPr/>
          <w:p>
            <w:pPr>
              <w:pStyle w:val="Compact"/>
            </w:pPr>
          </w:p>
        </w:tc>
        <w:tc>
          <w:tcPr/>
          <w:p>
            <w:pPr>
              <w:pStyle w:val="Compact"/>
              <w:jc w:val="left"/>
            </w:pPr>
            <w:r>
              <w:t xml:space="preserve">created_at</w:t>
            </w:r>
          </w:p>
        </w:tc>
        <w:tc>
          <w:tcPr/>
          <w:p>
            <w:pPr>
              <w:pStyle w:val="Compact"/>
              <w:jc w:val="left"/>
            </w:pPr>
            <w:r>
              <w:t xml:space="preserve">TIMESTAMPTZ</w:t>
            </w:r>
          </w:p>
        </w:tc>
        <w:tc>
          <w:tcPr/>
          <w:p>
            <w:pPr>
              <w:pStyle w:val="Compact"/>
              <w:jc w:val="left"/>
            </w:pPr>
            <w:r>
              <w:t xml:space="preserve">Provisioning timestamp.</w:t>
            </w:r>
          </w:p>
        </w:tc>
      </w:tr>
      <w:tr>
        <w:tc>
          <w:tcPr/>
          <w:p>
            <w:pPr>
              <w:pStyle w:val="Compact"/>
            </w:pPr>
          </w:p>
        </w:tc>
        <w:tc>
          <w:tcPr/>
          <w:p>
            <w:pPr>
              <w:pStyle w:val="Compact"/>
              <w:jc w:val="left"/>
            </w:pPr>
            <w:r>
              <w:t xml:space="preserve">updated_at</w:t>
            </w:r>
          </w:p>
        </w:tc>
        <w:tc>
          <w:tcPr/>
          <w:p>
            <w:pPr>
              <w:pStyle w:val="Compact"/>
              <w:jc w:val="left"/>
            </w:pPr>
            <w:r>
              <w:t xml:space="preserve">TIMESTAMPTZ</w:t>
            </w:r>
          </w:p>
        </w:tc>
        <w:tc>
          <w:tcPr/>
          <w:p>
            <w:pPr>
              <w:pStyle w:val="Compact"/>
              <w:jc w:val="left"/>
            </w:pPr>
            <w:r>
              <w:t xml:space="preserve">Last modification timestamp.</w:t>
            </w:r>
          </w:p>
        </w:tc>
      </w:tr>
      <w:tr>
        <w:tc>
          <w:tcPr/>
          <w:p>
            <w:pPr>
              <w:pStyle w:val="Compact"/>
            </w:pPr>
          </w:p>
        </w:tc>
        <w:tc>
          <w:tcPr/>
          <w:p>
            <w:pPr>
              <w:pStyle w:val="Compact"/>
              <w:jc w:val="left"/>
            </w:pPr>
            <w:r>
              <w:t xml:space="preserve">metadata</w:t>
            </w:r>
          </w:p>
        </w:tc>
        <w:tc>
          <w:tcPr/>
          <w:p>
            <w:pPr>
              <w:pStyle w:val="Compact"/>
              <w:jc w:val="left"/>
            </w:pPr>
            <w:r>
              <w:t xml:space="preserve">JSONB</w:t>
            </w:r>
          </w:p>
        </w:tc>
        <w:tc>
          <w:tcPr/>
          <w:p>
            <w:pPr>
              <w:pStyle w:val="Compact"/>
              <w:jc w:val="left"/>
            </w:pPr>
            <w:r>
              <w:t xml:space="preserve">Extensible metadata: locale, timezone, currency, primary contact.</w:t>
            </w:r>
          </w:p>
        </w:tc>
      </w:tr>
      <w:tr>
        <w:tc>
          <w:tcPr/>
          <w:p>
            <w:pPr>
              <w:pStyle w:val="Compact"/>
              <w:jc w:val="left"/>
            </w:pPr>
            <w:r>
              <w:rPr>
                <w:bCs/>
                <w:b/>
              </w:rPr>
              <w:t xml:space="preserve">tenant_quotas</w:t>
            </w:r>
          </w:p>
        </w:tc>
        <w:tc>
          <w:tcPr/>
          <w:p>
            <w:pPr>
              <w:pStyle w:val="Compact"/>
              <w:jc w:val="left"/>
            </w:pPr>
            <w:r>
              <w:t xml:space="preserve">tenant_id</w:t>
            </w:r>
          </w:p>
        </w:tc>
        <w:tc>
          <w:tcPr/>
          <w:p>
            <w:pPr>
              <w:pStyle w:val="Compact"/>
              <w:jc w:val="left"/>
            </w:pPr>
            <w:r>
              <w:t xml:space="preserve">UUID (FK)</w:t>
            </w:r>
          </w:p>
        </w:tc>
        <w:tc>
          <w:tcPr/>
          <w:p>
            <w:pPr>
              <w:pStyle w:val="Compact"/>
              <w:jc w:val="left"/>
            </w:pPr>
            <w:r>
              <w:t xml:space="preserve">References tenants table.</w:t>
            </w:r>
          </w:p>
        </w:tc>
      </w:tr>
      <w:tr>
        <w:tc>
          <w:tcPr/>
          <w:p>
            <w:pPr>
              <w:pStyle w:val="Compact"/>
            </w:pPr>
          </w:p>
        </w:tc>
        <w:tc>
          <w:tcPr/>
          <w:p>
            <w:pPr>
              <w:pStyle w:val="Compact"/>
              <w:jc w:val="left"/>
            </w:pPr>
            <w:r>
              <w:t xml:space="preserve">quota_type</w:t>
            </w:r>
          </w:p>
        </w:tc>
        <w:tc>
          <w:tcPr/>
          <w:p>
            <w:pPr>
              <w:pStyle w:val="Compact"/>
              <w:jc w:val="left"/>
            </w:pPr>
            <w:r>
              <w:t xml:space="preserve">VARCHAR</w:t>
            </w:r>
          </w:p>
        </w:tc>
        <w:tc>
          <w:tcPr/>
          <w:p>
            <w:pPr>
              <w:pStyle w:val="Compact"/>
              <w:jc w:val="left"/>
            </w:pPr>
            <w:r>
              <w:t xml:space="preserve">'DB_CONNECTIONS', 'API_RPM', 'STORAGE_GB', 'COMPUTE_CPU_MIN', 'INGESTION_GB_DAY'.</w:t>
            </w:r>
          </w:p>
        </w:tc>
      </w:tr>
      <w:tr>
        <w:tc>
          <w:tcPr/>
          <w:p>
            <w:pPr>
              <w:pStyle w:val="Compact"/>
            </w:pPr>
          </w:p>
        </w:tc>
        <w:tc>
          <w:tcPr/>
          <w:p>
            <w:pPr>
              <w:pStyle w:val="Compact"/>
              <w:jc w:val="left"/>
            </w:pPr>
            <w:r>
              <w:t xml:space="preserve">soft_limit</w:t>
            </w:r>
          </w:p>
        </w:tc>
        <w:tc>
          <w:tcPr/>
          <w:p>
            <w:pPr>
              <w:pStyle w:val="Compact"/>
              <w:jc w:val="left"/>
            </w:pPr>
            <w:r>
              <w:t xml:space="preserve">NUMERIC</w:t>
            </w:r>
          </w:p>
        </w:tc>
        <w:tc>
          <w:tcPr/>
          <w:p>
            <w:pPr>
              <w:pStyle w:val="Compact"/>
              <w:jc w:val="left"/>
            </w:pPr>
            <w:r>
              <w:t xml:space="preserve">80% alert threshold.</w:t>
            </w:r>
          </w:p>
        </w:tc>
      </w:tr>
      <w:tr>
        <w:tc>
          <w:tcPr/>
          <w:p>
            <w:pPr>
              <w:pStyle w:val="Compact"/>
            </w:pPr>
          </w:p>
        </w:tc>
        <w:tc>
          <w:tcPr/>
          <w:p>
            <w:pPr>
              <w:pStyle w:val="Compact"/>
              <w:jc w:val="left"/>
            </w:pPr>
            <w:r>
              <w:t xml:space="preserve">hard_limit</w:t>
            </w:r>
          </w:p>
        </w:tc>
        <w:tc>
          <w:tcPr/>
          <w:p>
            <w:pPr>
              <w:pStyle w:val="Compact"/>
              <w:jc w:val="left"/>
            </w:pPr>
            <w:r>
              <w:t xml:space="preserve">NUMERIC</w:t>
            </w:r>
          </w:p>
        </w:tc>
        <w:tc>
          <w:tcPr/>
          <w:p>
            <w:pPr>
              <w:pStyle w:val="Compact"/>
              <w:jc w:val="left"/>
            </w:pPr>
            <w:r>
              <w:t xml:space="preserve">100% throttle threshold.</w:t>
            </w:r>
          </w:p>
        </w:tc>
      </w:tr>
      <w:tr>
        <w:tc>
          <w:tcPr/>
          <w:p>
            <w:pPr>
              <w:pStyle w:val="Compact"/>
            </w:pPr>
          </w:p>
        </w:tc>
        <w:tc>
          <w:tcPr/>
          <w:p>
            <w:pPr>
              <w:pStyle w:val="Compact"/>
              <w:jc w:val="left"/>
            </w:pPr>
            <w:r>
              <w:t xml:space="preserve">absolute_limit</w:t>
            </w:r>
          </w:p>
        </w:tc>
        <w:tc>
          <w:tcPr/>
          <w:p>
            <w:pPr>
              <w:pStyle w:val="Compact"/>
              <w:jc w:val="left"/>
            </w:pPr>
            <w:r>
              <w:t xml:space="preserve">NUMERIC</w:t>
            </w:r>
          </w:p>
        </w:tc>
        <w:tc>
          <w:tcPr/>
          <w:p>
            <w:pPr>
              <w:pStyle w:val="Compact"/>
              <w:jc w:val="left"/>
            </w:pPr>
            <w:r>
              <w:t xml:space="preserve">150% reject threshold.</w:t>
            </w:r>
          </w:p>
        </w:tc>
      </w:tr>
      <w:tr>
        <w:tc>
          <w:tcPr/>
          <w:p>
            <w:pPr>
              <w:pStyle w:val="Compact"/>
            </w:pPr>
          </w:p>
        </w:tc>
        <w:tc>
          <w:tcPr/>
          <w:p>
            <w:pPr>
              <w:pStyle w:val="Compact"/>
              <w:jc w:val="left"/>
            </w:pPr>
            <w:r>
              <w:t xml:space="preserve">current_usage</w:t>
            </w:r>
          </w:p>
        </w:tc>
        <w:tc>
          <w:tcPr/>
          <w:p>
            <w:pPr>
              <w:pStyle w:val="Compact"/>
              <w:jc w:val="left"/>
            </w:pPr>
            <w:r>
              <w:t xml:space="preserve">NUMERIC</w:t>
            </w:r>
          </w:p>
        </w:tc>
        <w:tc>
          <w:tcPr/>
          <w:p>
            <w:pPr>
              <w:pStyle w:val="Compact"/>
              <w:jc w:val="left"/>
            </w:pPr>
            <w:r>
              <w:t xml:space="preserve">Rolling current usage (updated by metering service OB03).</w:t>
            </w:r>
          </w:p>
        </w:tc>
      </w:tr>
      <w:tr>
        <w:tc>
          <w:tcPr/>
          <w:p>
            <w:pPr>
              <w:pStyle w:val="Compact"/>
              <w:jc w:val="left"/>
            </w:pPr>
            <w:r>
              <w:rPr>
                <w:bCs/>
                <w:b/>
              </w:rPr>
              <w:t xml:space="preserve">key_registry</w:t>
            </w:r>
          </w:p>
        </w:tc>
        <w:tc>
          <w:tcPr/>
          <w:p>
            <w:pPr>
              <w:pStyle w:val="Compact"/>
              <w:jc w:val="left"/>
            </w:pPr>
            <w:r>
              <w:t xml:space="preserve">tenant_id</w:t>
            </w:r>
          </w:p>
        </w:tc>
        <w:tc>
          <w:tcPr/>
          <w:p>
            <w:pPr>
              <w:pStyle w:val="Compact"/>
              <w:jc w:val="left"/>
            </w:pPr>
            <w:r>
              <w:t xml:space="preserve">UUID (FK)</w:t>
            </w:r>
          </w:p>
        </w:tc>
        <w:tc>
          <w:tcPr/>
          <w:p>
            <w:pPr>
              <w:pStyle w:val="Compact"/>
              <w:jc w:val="left"/>
            </w:pPr>
            <w:r>
              <w:t xml:space="preserve">References tenants table.</w:t>
            </w:r>
          </w:p>
        </w:tc>
      </w:tr>
      <w:tr>
        <w:tc>
          <w:tcPr/>
          <w:p>
            <w:pPr>
              <w:pStyle w:val="Compact"/>
            </w:pPr>
          </w:p>
        </w:tc>
        <w:tc>
          <w:tcPr/>
          <w:p>
            <w:pPr>
              <w:pStyle w:val="Compact"/>
              <w:jc w:val="left"/>
            </w:pPr>
            <w:r>
              <w:t xml:space="preserve">kms_key_name</w:t>
            </w:r>
          </w:p>
        </w:tc>
        <w:tc>
          <w:tcPr/>
          <w:p>
            <w:pPr>
              <w:pStyle w:val="Compact"/>
              <w:jc w:val="left"/>
            </w:pPr>
            <w:r>
              <w:t xml:space="preserve">VARCHAR</w:t>
            </w:r>
          </w:p>
        </w:tc>
        <w:tc>
          <w:tcPr/>
          <w:p>
            <w:pPr>
              <w:pStyle w:val="Compact"/>
              <w:jc w:val="left"/>
            </w:pPr>
            <w:r>
              <w:t xml:space="preserve">Cloud KMS key resource name.</w:t>
            </w:r>
          </w:p>
        </w:tc>
      </w:tr>
      <w:tr>
        <w:tc>
          <w:tcPr/>
          <w:p>
            <w:pPr>
              <w:pStyle w:val="Compact"/>
            </w:pPr>
          </w:p>
        </w:tc>
        <w:tc>
          <w:tcPr/>
          <w:p>
            <w:pPr>
              <w:pStyle w:val="Compact"/>
              <w:jc w:val="left"/>
            </w:pPr>
            <w:r>
              <w:t xml:space="preserve">key_version</w:t>
            </w:r>
          </w:p>
        </w:tc>
        <w:tc>
          <w:tcPr/>
          <w:p>
            <w:pPr>
              <w:pStyle w:val="Compact"/>
              <w:jc w:val="left"/>
            </w:pPr>
            <w:r>
              <w:t xml:space="preserve">INT</w:t>
            </w:r>
          </w:p>
        </w:tc>
        <w:tc>
          <w:tcPr/>
          <w:p>
            <w:pPr>
              <w:pStyle w:val="Compact"/>
              <w:jc w:val="left"/>
            </w:pPr>
            <w:r>
              <w:t xml:space="preserve">Current active key version.</w:t>
            </w:r>
          </w:p>
        </w:tc>
      </w:tr>
      <w:tr>
        <w:tc>
          <w:tcPr/>
          <w:p>
            <w:pPr>
              <w:pStyle w:val="Compact"/>
            </w:pPr>
          </w:p>
        </w:tc>
        <w:tc>
          <w:tcPr/>
          <w:p>
            <w:pPr>
              <w:pStyle w:val="Compact"/>
              <w:jc w:val="left"/>
            </w:pPr>
            <w:r>
              <w:t xml:space="preserve">last_rotated_at</w:t>
            </w:r>
          </w:p>
        </w:tc>
        <w:tc>
          <w:tcPr/>
          <w:p>
            <w:pPr>
              <w:pStyle w:val="Compact"/>
              <w:jc w:val="left"/>
            </w:pPr>
            <w:r>
              <w:t xml:space="preserve">TIMESTAMPTZ</w:t>
            </w:r>
          </w:p>
        </w:tc>
        <w:tc>
          <w:tcPr/>
          <w:p>
            <w:pPr>
              <w:pStyle w:val="Compact"/>
              <w:jc w:val="left"/>
            </w:pPr>
            <w:r>
              <w:t xml:space="preserve">Last rotation timestamp.</w:t>
            </w:r>
          </w:p>
        </w:tc>
      </w:tr>
      <w:tr>
        <w:tc>
          <w:tcPr/>
          <w:p>
            <w:pPr>
              <w:pStyle w:val="Compact"/>
            </w:pPr>
          </w:p>
        </w:tc>
        <w:tc>
          <w:tcPr/>
          <w:p>
            <w:pPr>
              <w:pStyle w:val="Compact"/>
              <w:jc w:val="left"/>
            </w:pPr>
            <w:r>
              <w:t xml:space="preserve">status</w:t>
            </w:r>
          </w:p>
        </w:tc>
        <w:tc>
          <w:tcPr/>
          <w:p>
            <w:pPr>
              <w:pStyle w:val="Compact"/>
              <w:jc w:val="left"/>
            </w:pPr>
            <w:r>
              <w:t xml:space="preserve">ENUM</w:t>
            </w:r>
          </w:p>
        </w:tc>
        <w:tc>
          <w:tcPr/>
          <w:p>
            <w:pPr>
              <w:pStyle w:val="Compact"/>
              <w:jc w:val="left"/>
            </w:pPr>
            <w:r>
              <w:t xml:space="preserve">'ACTIVE', 'ROTATING', 'DISABLED'.</w:t>
            </w:r>
          </w:p>
        </w:tc>
      </w:tr>
      <w:tr>
        <w:tc>
          <w:tcPr/>
          <w:p>
            <w:pPr>
              <w:pStyle w:val="Compact"/>
              <w:jc w:val="left"/>
            </w:pPr>
            <w:r>
              <w:rPr>
                <w:bCs/>
                <w:b/>
              </w:rPr>
              <w:t xml:space="preserve">domain_registry</w:t>
            </w:r>
          </w:p>
        </w:tc>
        <w:tc>
          <w:tcPr/>
          <w:p>
            <w:pPr>
              <w:pStyle w:val="Compact"/>
              <w:jc w:val="left"/>
            </w:pPr>
            <w:r>
              <w:t xml:space="preserve">domain</w:t>
            </w:r>
          </w:p>
        </w:tc>
        <w:tc>
          <w:tcPr/>
          <w:p>
            <w:pPr>
              <w:pStyle w:val="Compact"/>
              <w:jc w:val="left"/>
            </w:pPr>
            <w:r>
              <w:t xml:space="preserve">VARCHAR (PK)</w:t>
            </w:r>
          </w:p>
        </w:tc>
        <w:tc>
          <w:tcPr/>
          <w:p>
            <w:pPr>
              <w:pStyle w:val="Compact"/>
              <w:jc w:val="left"/>
            </w:pPr>
            <w:r>
              <w:t xml:space="preserve">Custom domain (e.g., 'analytics.questretail.com').</w:t>
            </w:r>
          </w:p>
        </w:tc>
      </w:tr>
      <w:tr>
        <w:tc>
          <w:tcPr/>
          <w:p>
            <w:pPr>
              <w:pStyle w:val="Compact"/>
            </w:pPr>
          </w:p>
        </w:tc>
        <w:tc>
          <w:tcPr/>
          <w:p>
            <w:pPr>
              <w:pStyle w:val="Compact"/>
              <w:jc w:val="left"/>
            </w:pPr>
            <w:r>
              <w:t xml:space="preserve">tenant_id</w:t>
            </w:r>
          </w:p>
        </w:tc>
        <w:tc>
          <w:tcPr/>
          <w:p>
            <w:pPr>
              <w:pStyle w:val="Compact"/>
              <w:jc w:val="left"/>
            </w:pPr>
            <w:r>
              <w:t xml:space="preserve">UUID (FK)</w:t>
            </w:r>
          </w:p>
        </w:tc>
        <w:tc>
          <w:tcPr/>
          <w:p>
            <w:pPr>
              <w:pStyle w:val="Compact"/>
              <w:jc w:val="left"/>
            </w:pPr>
            <w:r>
              <w:t xml:space="preserve">Tenant this domain maps to.</w:t>
            </w:r>
          </w:p>
        </w:tc>
      </w:tr>
      <w:tr>
        <w:tc>
          <w:tcPr/>
          <w:p>
            <w:pPr>
              <w:pStyle w:val="Compact"/>
            </w:pPr>
          </w:p>
        </w:tc>
        <w:tc>
          <w:tcPr/>
          <w:p>
            <w:pPr>
              <w:pStyle w:val="Compact"/>
              <w:jc w:val="left"/>
            </w:pPr>
            <w:r>
              <w:t xml:space="preserve">dns_verified</w:t>
            </w:r>
          </w:p>
        </w:tc>
        <w:tc>
          <w:tcPr/>
          <w:p>
            <w:pPr>
              <w:pStyle w:val="Compact"/>
              <w:jc w:val="left"/>
            </w:pPr>
            <w:r>
              <w:t xml:space="preserve">BOOLEAN</w:t>
            </w:r>
          </w:p>
        </w:tc>
        <w:tc>
          <w:tcPr/>
          <w:p>
            <w:pPr>
              <w:pStyle w:val="Compact"/>
              <w:jc w:val="left"/>
            </w:pPr>
            <w:r>
              <w:t xml:space="preserve">Whether CNAME verification passed.</w:t>
            </w:r>
          </w:p>
        </w:tc>
      </w:tr>
      <w:tr>
        <w:tc>
          <w:tcPr/>
          <w:p>
            <w:pPr>
              <w:pStyle w:val="Compact"/>
            </w:pPr>
          </w:p>
        </w:tc>
        <w:tc>
          <w:tcPr/>
          <w:p>
            <w:pPr>
              <w:pStyle w:val="Compact"/>
              <w:jc w:val="left"/>
            </w:pPr>
            <w:r>
              <w:t xml:space="preserve">ssl_status</w:t>
            </w:r>
          </w:p>
        </w:tc>
        <w:tc>
          <w:tcPr/>
          <w:p>
            <w:pPr>
              <w:pStyle w:val="Compact"/>
              <w:jc w:val="left"/>
            </w:pPr>
            <w:r>
              <w:t xml:space="preserve">ENUM</w:t>
            </w:r>
          </w:p>
        </w:tc>
        <w:tc>
          <w:tcPr/>
          <w:p>
            <w:pPr>
              <w:pStyle w:val="Compact"/>
              <w:jc w:val="left"/>
            </w:pPr>
            <w:r>
              <w:t xml:space="preserve">'PENDING', 'PROVISIONING', 'ACTIVE', 'FAILED'.</w:t>
            </w:r>
          </w:p>
        </w:tc>
      </w:tr>
      <w:tr>
        <w:tc>
          <w:tcPr/>
          <w:p>
            <w:pPr>
              <w:pStyle w:val="Compact"/>
            </w:pPr>
          </w:p>
        </w:tc>
        <w:tc>
          <w:tcPr/>
          <w:p>
            <w:pPr>
              <w:pStyle w:val="Compact"/>
              <w:jc w:val="left"/>
            </w:pPr>
            <w:r>
              <w:t xml:space="preserve">ssl_cert_expiry</w:t>
            </w:r>
          </w:p>
        </w:tc>
        <w:tc>
          <w:tcPr/>
          <w:p>
            <w:pPr>
              <w:pStyle w:val="Compact"/>
              <w:jc w:val="left"/>
            </w:pPr>
            <w:r>
              <w:t xml:space="preserve">TIMESTAMPTZ</w:t>
            </w:r>
          </w:p>
        </w:tc>
        <w:tc>
          <w:tcPr/>
          <w:p>
            <w:pPr>
              <w:pStyle w:val="Compact"/>
              <w:jc w:val="left"/>
            </w:pPr>
            <w:r>
              <w:t xml:space="preserve">SSL certificate expiration date.</w:t>
            </w:r>
          </w:p>
        </w:tc>
      </w:tr>
    </w:tbl>
    <w:bookmarkEnd w:id="30"/>
    <w:bookmarkEnd w:id="31"/>
    <w:bookmarkStart w:id="32" w:name="api-surface"/>
    <w:p>
      <w:pPr>
        <w:pStyle w:val="Heading2"/>
      </w:pPr>
      <w:r>
        <w:t xml:space="preserve">1.5 API Surface</w:t>
      </w:r>
    </w:p>
    <w:p>
      <w:pPr>
        <w:pStyle w:val="FirstParagraph"/>
      </w:pPr>
      <w:r>
        <w:t xml:space="preserve">F01 exposes internal APIs consumed by other platform modules. These are NOT tenant-facing APIs.</w:t>
      </w:r>
    </w:p>
    <w:tbl>
      <w:tblPr>
        <w:tblStyle w:val="Table"/>
        <w:tblW w:type="pct" w:w="4947"/>
        <w:tblLook w:firstRow="0" w:lastRow="0" w:firstColumn="0" w:lastColumn="0" w:noHBand="0" w:noVBand="0" w:val="0000"/>
        <w:jc w:val="start"/>
      </w:tblPr>
      <w:tblGrid>
        <w:gridCol w:w="550"/>
        <w:gridCol w:w="1524"/>
        <w:gridCol w:w="1101"/>
        <w:gridCol w:w="4658"/>
      </w:tblGrid>
      <w:tr>
        <w:tc>
          <w:tcPr/>
          <w:p>
            <w:pPr>
              <w:pStyle w:val="Compact"/>
              <w:jc w:val="left"/>
            </w:pPr>
            <w:r>
              <w:rPr>
                <w:bCs/>
                <w:b/>
              </w:rPr>
              <w:t xml:space="preserve">Method</w:t>
            </w:r>
          </w:p>
        </w:tc>
        <w:tc>
          <w:tcPr/>
          <w:p>
            <w:pPr>
              <w:pStyle w:val="Compact"/>
              <w:jc w:val="left"/>
            </w:pPr>
            <w:r>
              <w:rPr>
                <w:bCs/>
                <w:b/>
              </w:rPr>
              <w:t xml:space="preserve">Endpoint</w:t>
            </w:r>
          </w:p>
        </w:tc>
        <w:tc>
          <w:tcPr/>
          <w:p>
            <w:pPr>
              <w:pStyle w:val="Compact"/>
              <w:jc w:val="left"/>
            </w:pPr>
            <w:r>
              <w:rPr>
                <w:bCs/>
                <w:b/>
              </w:rPr>
              <w:t xml:space="preserve">Called By</w:t>
            </w:r>
          </w:p>
        </w:tc>
        <w:tc>
          <w:tcPr/>
          <w:p>
            <w:pPr>
              <w:pStyle w:val="Compact"/>
              <w:jc w:val="left"/>
            </w:pPr>
            <w:r>
              <w:rPr>
                <w:bCs/>
                <w:b/>
              </w:rPr>
              <w:t xml:space="preserve">Description</w:t>
            </w:r>
          </w:p>
        </w:tc>
      </w:tr>
      <w:tr>
        <w:tc>
          <w:tcPr/>
          <w:p>
            <w:pPr>
              <w:pStyle w:val="Compact"/>
              <w:jc w:val="left"/>
            </w:pPr>
            <w:r>
              <w:rPr>
                <w:bCs/>
                <w:b/>
              </w:rPr>
              <w:t xml:space="preserve">POST</w:t>
            </w:r>
          </w:p>
        </w:tc>
        <w:tc>
          <w:tcPr/>
          <w:p>
            <w:pPr>
              <w:pStyle w:val="Compact"/>
              <w:jc w:val="left"/>
            </w:pPr>
            <w:r>
              <w:t xml:space="preserve">/internal/tenants</w:t>
            </w:r>
          </w:p>
        </w:tc>
        <w:tc>
          <w:tcPr/>
          <w:p>
            <w:pPr>
              <w:pStyle w:val="Compact"/>
              <w:jc w:val="left"/>
            </w:pPr>
            <w:r>
              <w:t xml:space="preserve">F02 (Lifecycle Manager)</w:t>
            </w:r>
          </w:p>
        </w:tc>
        <w:tc>
          <w:tcPr/>
          <w:p>
            <w:pPr>
              <w:pStyle w:val="Compact"/>
              <w:jc w:val="left"/>
            </w:pPr>
            <w:r>
              <w:t xml:space="preserve">Provision a new tenant. Creates DB schema or dedicated instance, encryption keys, GCS paths, K8s namespace.</w:t>
            </w:r>
          </w:p>
        </w:tc>
      </w:tr>
      <w:tr>
        <w:tc>
          <w:tcPr/>
          <w:p>
            <w:pPr>
              <w:pStyle w:val="Compact"/>
              <w:jc w:val="left"/>
            </w:pPr>
            <w:r>
              <w:rPr>
                <w:bCs/>
                <w:b/>
              </w:rPr>
              <w:t xml:space="preserve">GET</w:t>
            </w:r>
          </w:p>
        </w:tc>
        <w:tc>
          <w:tcPr/>
          <w:p>
            <w:pPr>
              <w:pStyle w:val="Compact"/>
              <w:jc w:val="left"/>
            </w:pPr>
            <w:r>
              <w:t xml:space="preserve">/internal/tenants/{id}/connection</w:t>
            </w:r>
          </w:p>
        </w:tc>
        <w:tc>
          <w:tcPr/>
          <w:p>
            <w:pPr>
              <w:pStyle w:val="Compact"/>
              <w:jc w:val="left"/>
            </w:pPr>
            <w:r>
              <w:t xml:space="preserve">TDA (all services)</w:t>
            </w:r>
          </w:p>
        </w:tc>
        <w:tc>
          <w:tcPr/>
          <w:p>
            <w:pPr>
              <w:pStyle w:val="Compact"/>
              <w:jc w:val="left"/>
            </w:pPr>
            <w:r>
              <w:t xml:space="preserve">Returns database connection parameters for the specified tenant, based on their isolation mode.</w:t>
            </w:r>
          </w:p>
        </w:tc>
      </w:tr>
      <w:tr>
        <w:tc>
          <w:tcPr/>
          <w:p>
            <w:pPr>
              <w:pStyle w:val="Compact"/>
              <w:jc w:val="left"/>
            </w:pPr>
            <w:r>
              <w:rPr>
                <w:bCs/>
                <w:b/>
              </w:rPr>
              <w:t xml:space="preserve">GET</w:t>
            </w:r>
          </w:p>
        </w:tc>
        <w:tc>
          <w:tcPr/>
          <w:p>
            <w:pPr>
              <w:pStyle w:val="Compact"/>
              <w:jc w:val="left"/>
            </w:pPr>
            <w:r>
              <w:t xml:space="preserve">/internal/tenants/{id}/quotas</w:t>
            </w:r>
          </w:p>
        </w:tc>
        <w:tc>
          <w:tcPr/>
          <w:p>
            <w:pPr>
              <w:pStyle w:val="Compact"/>
              <w:jc w:val="left"/>
            </w:pPr>
            <w:r>
              <w:t xml:space="preserve">All services</w:t>
            </w:r>
          </w:p>
        </w:tc>
        <w:tc>
          <w:tcPr/>
          <w:p>
            <w:pPr>
              <w:pStyle w:val="Compact"/>
              <w:jc w:val="left"/>
            </w:pPr>
            <w:r>
              <w:t xml:space="preserve">Returns current quota limits and usage for the tenant.</w:t>
            </w:r>
          </w:p>
        </w:tc>
      </w:tr>
      <w:tr>
        <w:tc>
          <w:tcPr/>
          <w:p>
            <w:pPr>
              <w:pStyle w:val="Compact"/>
              <w:jc w:val="left"/>
            </w:pPr>
            <w:r>
              <w:rPr>
                <w:bCs/>
                <w:b/>
              </w:rPr>
              <w:t xml:space="preserve">PUT</w:t>
            </w:r>
          </w:p>
        </w:tc>
        <w:tc>
          <w:tcPr/>
          <w:p>
            <w:pPr>
              <w:pStyle w:val="Compact"/>
              <w:jc w:val="left"/>
            </w:pPr>
            <w:r>
              <w:t xml:space="preserve">/internal/tenants/{id}/quotas</w:t>
            </w:r>
          </w:p>
        </w:tc>
        <w:tc>
          <w:tcPr/>
          <w:p>
            <w:pPr>
              <w:pStyle w:val="Compact"/>
              <w:jc w:val="left"/>
            </w:pPr>
            <w:r>
              <w:t xml:space="preserve">OB03 (Metering)</w:t>
            </w:r>
          </w:p>
        </w:tc>
        <w:tc>
          <w:tcPr/>
          <w:p>
            <w:pPr>
              <w:pStyle w:val="Compact"/>
              <w:jc w:val="left"/>
            </w:pPr>
            <w:r>
              <w:t xml:space="preserve">Updates current_usage for a quota dimension.</w:t>
            </w:r>
          </w:p>
        </w:tc>
      </w:tr>
      <w:tr>
        <w:tc>
          <w:tcPr/>
          <w:p>
            <w:pPr>
              <w:pStyle w:val="Compact"/>
              <w:jc w:val="left"/>
            </w:pPr>
            <w:r>
              <w:rPr>
                <w:bCs/>
                <w:b/>
              </w:rPr>
              <w:t xml:space="preserve">POST</w:t>
            </w:r>
          </w:p>
        </w:tc>
        <w:tc>
          <w:tcPr/>
          <w:p>
            <w:pPr>
              <w:pStyle w:val="Compact"/>
              <w:jc w:val="left"/>
            </w:pPr>
            <w:r>
              <w:t xml:space="preserve">/internal/tenants/{id}/migrate</w:t>
            </w:r>
          </w:p>
        </w:tc>
        <w:tc>
          <w:tcPr/>
          <w:p>
            <w:pPr>
              <w:pStyle w:val="Compact"/>
              <w:jc w:val="left"/>
            </w:pPr>
            <w:r>
              <w:t xml:space="preserve">F02 (Lifecycle Manager)</w:t>
            </w:r>
          </w:p>
        </w:tc>
        <w:tc>
          <w:tcPr/>
          <w:p>
            <w:pPr>
              <w:pStyle w:val="Compact"/>
              <w:jc w:val="left"/>
            </w:pPr>
            <w:r>
              <w:t xml:space="preserve">Initiates migration from SHARED_RLS to DEDICATED (or vice versa).</w:t>
            </w:r>
          </w:p>
        </w:tc>
      </w:tr>
      <w:tr>
        <w:tc>
          <w:tcPr/>
          <w:p>
            <w:pPr>
              <w:pStyle w:val="Compact"/>
              <w:jc w:val="left"/>
            </w:pPr>
            <w:r>
              <w:rPr>
                <w:bCs/>
                <w:b/>
              </w:rPr>
              <w:t xml:space="preserve">GET</w:t>
            </w:r>
          </w:p>
        </w:tc>
        <w:tc>
          <w:tcPr/>
          <w:p>
            <w:pPr>
              <w:pStyle w:val="Compact"/>
              <w:jc w:val="left"/>
            </w:pPr>
            <w:r>
              <w:t xml:space="preserve">/internal/resolve-tenant</w:t>
            </w:r>
          </w:p>
        </w:tc>
        <w:tc>
          <w:tcPr/>
          <w:p>
            <w:pPr>
              <w:pStyle w:val="Compact"/>
              <w:jc w:val="left"/>
            </w:pPr>
            <w:r>
              <w:t xml:space="preserve">API Gateway (O01)</w:t>
            </w:r>
          </w:p>
        </w:tc>
        <w:tc>
          <w:tcPr/>
          <w:p>
            <w:pPr>
              <w:pStyle w:val="Compact"/>
              <w:jc w:val="left"/>
            </w:pPr>
            <w:r>
              <w:t xml:space="preserve">Resolves tenant_id from subdomain, custom domain, or API key. Called on every inbound request.</w:t>
            </w:r>
          </w:p>
        </w:tc>
      </w:tr>
      <w:tr>
        <w:tc>
          <w:tcPr/>
          <w:p>
            <w:pPr>
              <w:pStyle w:val="Compact"/>
              <w:jc w:val="left"/>
            </w:pPr>
            <w:r>
              <w:rPr>
                <w:bCs/>
                <w:b/>
              </w:rPr>
              <w:t xml:space="preserve">POST</w:t>
            </w:r>
          </w:p>
        </w:tc>
        <w:tc>
          <w:tcPr/>
          <w:p>
            <w:pPr>
              <w:pStyle w:val="Compact"/>
              <w:jc w:val="left"/>
            </w:pPr>
            <w:r>
              <w:t xml:space="preserve">/internal/tenants/{id}/suspend</w:t>
            </w:r>
          </w:p>
        </w:tc>
        <w:tc>
          <w:tcPr/>
          <w:p>
            <w:pPr>
              <w:pStyle w:val="Compact"/>
              <w:jc w:val="left"/>
            </w:pPr>
            <w:r>
              <w:t xml:space="preserve">F02 (Lifecycle Manager)</w:t>
            </w:r>
          </w:p>
        </w:tc>
        <w:tc>
          <w:tcPr/>
          <w:p>
            <w:pPr>
              <w:pStyle w:val="Compact"/>
              <w:jc w:val="left"/>
            </w:pPr>
            <w:r>
              <w:t xml:space="preserve">Suspends tenant: revokes connections, sets status to SUSPENDED.</w:t>
            </w:r>
          </w:p>
        </w:tc>
      </w:tr>
    </w:tbl>
    <w:bookmarkEnd w:id="32"/>
    <w:bookmarkStart w:id="33" w:name="integration-points"/>
    <w:p>
      <w:pPr>
        <w:pStyle w:val="Heading2"/>
      </w:pPr>
      <w:r>
        <w:t xml:space="preserve">1.6 Integration Points</w:t>
      </w:r>
    </w:p>
    <w:p>
      <w:pPr>
        <w:pStyle w:val="FirstParagraph"/>
      </w:pPr>
      <w:r>
        <w:t xml:space="preserve">F02 (Tenant Lifecycle Manager): calls F01 to provision/suspend/migrate tenant infrastructure.</w:t>
      </w:r>
    </w:p>
    <w:p>
      <w:pPr>
        <w:pStyle w:val="BodyText"/>
      </w:pPr>
      <w:r>
        <w:t xml:space="preserve">All services: call F01’s TDA to obtain tenant-scoped database connections.</w:t>
      </w:r>
    </w:p>
    <w:p>
      <w:pPr>
        <w:pStyle w:val="BodyText"/>
      </w:pPr>
      <w:r>
        <w:t xml:space="preserve">O01 (API Gateway): calls F01 to resolve tenant_id on every inbound request.</w:t>
      </w:r>
    </w:p>
    <w:p>
      <w:pPr>
        <w:pStyle w:val="BodyText"/>
      </w:pPr>
      <w:r>
        <w:t xml:space="preserve">OB03 (Metering): pushes usage data to F01’s quota tracking.</w:t>
      </w:r>
    </w:p>
    <w:p>
      <w:pPr>
        <w:pStyle w:val="BodyText"/>
      </w:pPr>
      <w:r>
        <w:t xml:space="preserve">AC01 (RBAC): consumes tenant context from F01 to enforce tenant-scoped access policies.</w:t>
      </w:r>
    </w:p>
    <w:p>
      <w:pPr>
        <w:pStyle w:val="BodyText"/>
      </w:pPr>
      <w:r>
        <w:t xml:space="preserve">Cloud KMS: F01 manages tenant encryption keys via the Cloud KMS API.</w:t>
      </w:r>
    </w:p>
    <w:bookmarkEnd w:id="33"/>
    <w:bookmarkStart w:id="34" w:name="acceptance-criteria"/>
    <w:p>
      <w:pPr>
        <w:pStyle w:val="Heading2"/>
      </w:pPr>
      <w:r>
        <w:t xml:space="preserve">1.7 Acceptance Criteria</w:t>
      </w:r>
    </w:p>
    <w:p>
      <w:pPr>
        <w:pStyle w:val="FirstParagraph"/>
      </w:pPr>
      <w:r>
        <w:t xml:space="preserve">A new tenant can be provisioned in Mode A (shared+RLS) within 5 minutes, with all infrastructure components (schema, keys, GCS paths, namespace) created and verified.</w:t>
      </w:r>
    </w:p>
    <w:p>
      <w:pPr>
        <w:pStyle w:val="BodyText"/>
      </w:pPr>
      <w:r>
        <w:t xml:space="preserve">A new tenant can be provisioned in Mode B (dedicated) within 30 minutes.</w:t>
      </w:r>
    </w:p>
    <w:p>
      <w:pPr>
        <w:pStyle w:val="BodyText"/>
      </w:pPr>
      <w:r>
        <w:t xml:space="preserve">A query executed in Tenant A’s context returns zero rows from Tenant B’s data, even if the application code contains no WHERE clause on tenant_id (RLS enforcement).</w:t>
      </w:r>
    </w:p>
    <w:p>
      <w:pPr>
        <w:pStyle w:val="BodyText"/>
      </w:pPr>
      <w:r>
        <w:t xml:space="preserve">A pod in Tenant A’s Kubernetes namespace cannot reach a pod in Tenant B’s namespace (network policy enforcement).</w:t>
      </w:r>
    </w:p>
    <w:p>
      <w:pPr>
        <w:pStyle w:val="BodyText"/>
      </w:pPr>
      <w:r>
        <w:t xml:space="preserve">Quota enforcement correctly throttles requests at the hard limit and rejects at the absolute limit.</w:t>
      </w:r>
    </w:p>
    <w:p>
      <w:pPr>
        <w:pStyle w:val="BodyText"/>
      </w:pPr>
      <w:r>
        <w:t xml:space="preserve">A tenant can be migrated from Mode A to Mode B without data loss, and all queries return correct results after migration.</w:t>
      </w:r>
    </w:p>
    <w:p>
      <w:pPr>
        <w:pStyle w:val="BodyText"/>
      </w:pPr>
      <w:r>
        <w:t xml:space="preserve">Encryption keys are automatically rotated every 90 days, and no data access interruption occurs during rotation.</w:t>
      </w:r>
    </w:p>
    <w:p>
      <w:pPr>
        <w:pStyle w:val="BlockText"/>
      </w:pPr>
      <w:r>
        <w:rPr>
          <w:iCs/>
          <w:i/>
        </w:rPr>
        <w:t xml:space="preserve">⚠ QUESTION FOR SEEMA: For the initial 3–10 tenant deployment, do you want all tenants to start on Mode A (shared+RLS) by default, with Mode B as an explicit upgrade? Or should the provisioning workflow ask the Super Admin to choose the mode upfront? This affects the F02 onboarding wizard design.</w:t>
      </w:r>
    </w:p>
    <w:bookmarkEnd w:id="34"/>
    <w:bookmarkEnd w:id="35"/>
    <w:bookmarkStart w:id="43" w:name="f02-tenant-lifecycle-manager"/>
    <w:p>
      <w:pPr>
        <w:pStyle w:val="Heading1"/>
      </w:pPr>
      <w:r>
        <w:t xml:space="preserve">F02 — Tenant Lifecycle Manager</w:t>
      </w:r>
    </w:p>
    <w:tbl>
      <w:tblPr>
        <w:tblStyle w:val="Table"/>
        <w:tblW w:type="pct" w:w="4881"/>
        <w:tblLook w:firstRow="0" w:lastRow="0" w:firstColumn="0" w:lastColumn="0" w:noHBand="0" w:noVBand="0" w:val="0000"/>
        <w:jc w:val="start"/>
      </w:tblPr>
      <w:tblGrid>
        <w:gridCol w:w="2074"/>
        <w:gridCol w:w="5657"/>
      </w:tblGrid>
      <w:t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rPr>
                <w:bCs/>
                <w:b/>
              </w:rPr>
              <w:t xml:space="preserve">Module ID</w:t>
            </w:r>
          </w:p>
        </w:tc>
        <w:tc>
          <w:tcPr/>
          <w:p>
            <w:pPr>
              <w:pStyle w:val="Compact"/>
              <w:jc w:val="left"/>
            </w:pPr>
            <w:r>
              <w:t xml:space="preserve">F02</w:t>
            </w:r>
          </w:p>
        </w:tc>
      </w:tr>
      <w:tr>
        <w:tc>
          <w:tcPr/>
          <w:p>
            <w:pPr>
              <w:pStyle w:val="Compact"/>
              <w:jc w:val="left"/>
            </w:pPr>
            <w:r>
              <w:rPr>
                <w:bCs/>
                <w:b/>
              </w:rPr>
              <w:t xml:space="preserve">Phase</w:t>
            </w:r>
          </w:p>
        </w:tc>
        <w:tc>
          <w:tcPr/>
          <w:p>
            <w:pPr>
              <w:pStyle w:val="Compact"/>
              <w:jc w:val="left"/>
            </w:pPr>
            <w:r>
              <w:t xml:space="preserve">0</w:t>
            </w:r>
          </w:p>
        </w:tc>
      </w:tr>
      <w:tr>
        <w:tc>
          <w:tcPr/>
          <w:p>
            <w:pPr>
              <w:pStyle w:val="Compact"/>
              <w:jc w:val="left"/>
            </w:pPr>
            <w:r>
              <w:rPr>
                <w:bCs/>
                <w:b/>
              </w:rPr>
              <w:t xml:space="preserve">Dependencies</w:t>
            </w:r>
          </w:p>
        </w:tc>
        <w:tc>
          <w:tcPr/>
          <w:p>
            <w:pPr>
              <w:pStyle w:val="Compact"/>
              <w:jc w:val="left"/>
            </w:pPr>
            <w:r>
              <w:t xml:space="preserve">F01 (Multi-Tenancy Infrastructure)</w:t>
            </w:r>
          </w:p>
        </w:tc>
      </w:tr>
      <w:tr>
        <w:tc>
          <w:tcPr/>
          <w:p>
            <w:pPr>
              <w:pStyle w:val="Compact"/>
              <w:jc w:val="left"/>
            </w:pPr>
            <w:r>
              <w:rPr>
                <w:bCs/>
                <w:b/>
              </w:rPr>
              <w:t xml:space="preserve">Depended On By</w:t>
            </w:r>
          </w:p>
        </w:tc>
        <w:tc>
          <w:tcPr/>
          <w:p>
            <w:pPr>
              <w:pStyle w:val="Compact"/>
              <w:jc w:val="left"/>
            </w:pPr>
            <w:r>
              <w:t xml:space="preserve">PR05 (DPA Registry), all modules that check tenant status</w:t>
            </w:r>
          </w:p>
        </w:tc>
      </w:tr>
    </w:tbl>
    <w:bookmarkStart w:id="36" w:name="purpose-1"/>
    <w:p>
      <w:pPr>
        <w:pStyle w:val="Heading2"/>
      </w:pPr>
      <w:r>
        <w:t xml:space="preserve">2.1 Purpose</w:t>
      </w:r>
    </w:p>
    <w:p>
      <w:pPr>
        <w:pStyle w:val="FirstParagraph"/>
      </w:pPr>
      <w:r>
        <w:t xml:space="preserve">F02 manages the complete tenant lifecycle from first contact through offboarding: provisioning, configuration, activation, suspension, reactivation, offboarding, and data export. It orchestrates calls to F01 (infrastructure), F04 (configuration), AC01 (RBAC defaults), and AC03 (consent defaults) to create a fully functional tenant environment.</w:t>
      </w:r>
    </w:p>
    <w:bookmarkEnd w:id="36"/>
    <w:bookmarkStart w:id="40" w:name="functional-requirements-1"/>
    <w:p>
      <w:pPr>
        <w:pStyle w:val="Heading2"/>
      </w:pPr>
      <w:r>
        <w:t xml:space="preserve">2.2 Functional Requirements</w:t>
      </w:r>
    </w:p>
    <w:bookmarkStart w:id="37" w:name="tenant-provisioning-pipeline"/>
    <w:p>
      <w:pPr>
        <w:pStyle w:val="Heading3"/>
      </w:pPr>
      <w:r>
        <w:t xml:space="preserve">2.2.1 Tenant Provisioning Pipeline</w:t>
      </w:r>
    </w:p>
    <w:p>
      <w:pPr>
        <w:pStyle w:val="FirstParagraph"/>
      </w:pPr>
      <w:r>
        <w:rPr>
          <w:bCs/>
          <w:b/>
        </w:rPr>
        <w:t xml:space="preserve">F02-FR-001</w:t>
      </w:r>
      <w:r>
        <w:t xml:space="preserve"> </w:t>
      </w:r>
      <w:r>
        <w:t xml:space="preserve">Tenant provisioning SHALL be implemented as an idempotent, resumable pipeline with the following stages, each of which can succeed or fail independently:</w:t>
      </w:r>
    </w:p>
    <w:p>
      <w:pPr>
        <w:pStyle w:val="BodyText"/>
      </w:pPr>
      <w:r>
        <w:t xml:space="preserve">The pipeline stages are:</w:t>
      </w:r>
    </w:p>
    <w:tbl>
      <w:tblPr>
        <w:tblStyle w:val="Table"/>
        <w:tblW w:type="pct" w:w="4970"/>
        <w:tblLook w:firstRow="0" w:lastRow="0" w:firstColumn="0" w:lastColumn="0" w:noHBand="0" w:noVBand="0" w:val="0000"/>
        <w:jc w:val="start"/>
      </w:tblPr>
      <w:tblGrid>
        <w:gridCol w:w="288"/>
        <w:gridCol w:w="385"/>
        <w:gridCol w:w="6307"/>
        <w:gridCol w:w="890"/>
      </w:tblGrid>
      <w:tr>
        <w:tc>
          <w:tcPr/>
          <w:p>
            <w:pPr>
              <w:pStyle w:val="Compact"/>
              <w:jc w:val="left"/>
            </w:pPr>
            <w:r>
              <w:rPr>
                <w:bCs/>
                <w:b/>
              </w:rPr>
              <w:t xml:space="preserve">Stage</w:t>
            </w:r>
          </w:p>
        </w:tc>
        <w:tc>
          <w:tcPr/>
          <w:p>
            <w:pPr>
              <w:pStyle w:val="Compact"/>
              <w:jc w:val="left"/>
            </w:pPr>
            <w:r>
              <w:rPr>
                <w:bCs/>
                <w:b/>
              </w:rPr>
              <w:t xml:space="preserve">Name</w:t>
            </w:r>
          </w:p>
        </w:tc>
        <w:tc>
          <w:tcPr/>
          <w:p>
            <w:pPr>
              <w:pStyle w:val="Compact"/>
              <w:jc w:val="left"/>
            </w:pPr>
            <w:r>
              <w:rPr>
                <w:bCs/>
                <w:b/>
              </w:rPr>
              <w:t xml:space="preserve">Actions</w:t>
            </w:r>
          </w:p>
        </w:tc>
        <w:tc>
          <w:tcPr/>
          <w:p>
            <w:pPr>
              <w:pStyle w:val="Compact"/>
              <w:jc w:val="left"/>
            </w:pPr>
            <w:r>
              <w:rPr>
                <w:bCs/>
                <w:b/>
              </w:rPr>
              <w:t xml:space="preserve">Rollback on Failure</w:t>
            </w:r>
          </w:p>
        </w:tc>
      </w:tr>
      <w:tr>
        <w:tc>
          <w:tcPr/>
          <w:p>
            <w:pPr>
              <w:pStyle w:val="Compact"/>
              <w:jc w:val="left"/>
            </w:pPr>
            <w:r>
              <w:rPr>
                <w:bCs/>
                <w:b/>
              </w:rPr>
              <w:t xml:space="preserve">1</w:t>
            </w:r>
          </w:p>
        </w:tc>
        <w:tc>
          <w:tcPr/>
          <w:p>
            <w:pPr>
              <w:pStyle w:val="Compact"/>
              <w:jc w:val="left"/>
            </w:pPr>
            <w:r>
              <w:t xml:space="preserve">Tenant Record</w:t>
            </w:r>
          </w:p>
        </w:tc>
        <w:tc>
          <w:tcPr/>
          <w:p>
            <w:pPr>
              <w:pStyle w:val="Compact"/>
              <w:jc w:val="left"/>
            </w:pPr>
            <w:r>
              <w:t xml:space="preserve">Create tenant row in control_plane.tenants with status=PROVISIONING. Generate tenant_id (UUID v4). Validate slug uniqueness.</w:t>
            </w:r>
          </w:p>
        </w:tc>
        <w:tc>
          <w:tcPr/>
          <w:p>
            <w:pPr>
              <w:pStyle w:val="Compact"/>
              <w:jc w:val="left"/>
            </w:pPr>
            <w:r>
              <w:t xml:space="preserve">Delete tenant row.</w:t>
            </w:r>
          </w:p>
        </w:tc>
      </w:tr>
      <w:tr>
        <w:tc>
          <w:tcPr/>
          <w:p>
            <w:pPr>
              <w:pStyle w:val="Compact"/>
              <w:jc w:val="left"/>
            </w:pPr>
            <w:r>
              <w:rPr>
                <w:bCs/>
                <w:b/>
              </w:rPr>
              <w:t xml:space="preserve">2</w:t>
            </w:r>
          </w:p>
        </w:tc>
        <w:tc>
          <w:tcPr/>
          <w:p>
            <w:pPr>
              <w:pStyle w:val="Compact"/>
              <w:jc w:val="left"/>
            </w:pPr>
            <w:r>
              <w:t xml:space="preserve">Database</w:t>
            </w:r>
          </w:p>
        </w:tc>
        <w:tc>
          <w:tcPr/>
          <w:p>
            <w:pPr>
              <w:pStyle w:val="Compact"/>
              <w:jc w:val="left"/>
            </w:pPr>
            <w:r>
              <w:t xml:space="preserve">Call F01: create PostgreSQL schema (Mode A) or provision dedicated Cloud SQL instance (Mode B). Run schema migrations to create all tenant-scoped tables with RLS policies.</w:t>
            </w:r>
          </w:p>
        </w:tc>
        <w:tc>
          <w:tcPr/>
          <w:p>
            <w:pPr>
              <w:pStyle w:val="Compact"/>
              <w:jc w:val="left"/>
            </w:pPr>
            <w:r>
              <w:t xml:space="preserve">Drop schema or delete instance.</w:t>
            </w:r>
          </w:p>
        </w:tc>
      </w:tr>
      <w:tr>
        <w:tc>
          <w:tcPr/>
          <w:p>
            <w:pPr>
              <w:pStyle w:val="Compact"/>
              <w:jc w:val="left"/>
            </w:pPr>
            <w:r>
              <w:rPr>
                <w:bCs/>
                <w:b/>
              </w:rPr>
              <w:t xml:space="preserve">3</w:t>
            </w:r>
          </w:p>
        </w:tc>
        <w:tc>
          <w:tcPr/>
          <w:p>
            <w:pPr>
              <w:pStyle w:val="Compact"/>
              <w:jc w:val="left"/>
            </w:pPr>
            <w:r>
              <w:t xml:space="preserve">Encryption</w:t>
            </w:r>
          </w:p>
        </w:tc>
        <w:tc>
          <w:tcPr/>
          <w:p>
            <w:pPr>
              <w:pStyle w:val="Compact"/>
              <w:jc w:val="left"/>
            </w:pPr>
            <w:r>
              <w:t xml:space="preserve">Call F01: create Cloud KMS encryption key for tenant. Register in key_registry.</w:t>
            </w:r>
          </w:p>
        </w:tc>
        <w:tc>
          <w:tcPr/>
          <w:p>
            <w:pPr>
              <w:pStyle w:val="Compact"/>
              <w:jc w:val="left"/>
            </w:pPr>
            <w:r>
              <w:t xml:space="preserve">Destroy key, remove from registry.</w:t>
            </w:r>
          </w:p>
        </w:tc>
      </w:tr>
      <w:tr>
        <w:tc>
          <w:tcPr/>
          <w:p>
            <w:pPr>
              <w:pStyle w:val="Compact"/>
              <w:jc w:val="left"/>
            </w:pPr>
            <w:r>
              <w:rPr>
                <w:bCs/>
                <w:b/>
              </w:rPr>
              <w:t xml:space="preserve">4</w:t>
            </w:r>
          </w:p>
        </w:tc>
        <w:tc>
          <w:tcPr/>
          <w:p>
            <w:pPr>
              <w:pStyle w:val="Compact"/>
              <w:jc w:val="left"/>
            </w:pPr>
            <w:r>
              <w:t xml:space="preserve">Storage</w:t>
            </w:r>
          </w:p>
        </w:tc>
        <w:tc>
          <w:tcPr/>
          <w:p>
            <w:pPr>
              <w:pStyle w:val="Compact"/>
              <w:jc w:val="left"/>
            </w:pPr>
            <w:r>
              <w:t xml:space="preserve">Create GCS paths: gs://sevyn8-prod-data/{tenant_id}/bronze/, /silver/, /gold/, /exports/, /assets/. Set IAM conditions.</w:t>
            </w:r>
          </w:p>
        </w:tc>
        <w:tc>
          <w:tcPr/>
          <w:p>
            <w:pPr>
              <w:pStyle w:val="Compact"/>
              <w:jc w:val="left"/>
            </w:pPr>
            <w:r>
              <w:t xml:space="preserve">Delete GCS paths.</w:t>
            </w:r>
          </w:p>
        </w:tc>
      </w:tr>
      <w:tr>
        <w:tc>
          <w:tcPr/>
          <w:p>
            <w:pPr>
              <w:pStyle w:val="Compact"/>
              <w:jc w:val="left"/>
            </w:pPr>
            <w:r>
              <w:rPr>
                <w:bCs/>
                <w:b/>
              </w:rPr>
              <w:t xml:space="preserve">5</w:t>
            </w:r>
          </w:p>
        </w:tc>
        <w:tc>
          <w:tcPr/>
          <w:p>
            <w:pPr>
              <w:pStyle w:val="Compact"/>
              <w:jc w:val="left"/>
            </w:pPr>
            <w:r>
              <w:t xml:space="preserve">Compute</w:t>
            </w:r>
          </w:p>
        </w:tc>
        <w:tc>
          <w:tcPr/>
          <w:p>
            <w:pPr>
              <w:pStyle w:val="Compact"/>
              <w:jc w:val="left"/>
            </w:pPr>
            <w:r>
              <w:t xml:space="preserve">Create K8s namespace: tenant-{tenant_id}. Apply network policies, resource quotas.</w:t>
            </w:r>
          </w:p>
        </w:tc>
        <w:tc>
          <w:tcPr/>
          <w:p>
            <w:pPr>
              <w:pStyle w:val="Compact"/>
              <w:jc w:val="left"/>
            </w:pPr>
            <w:r>
              <w:t xml:space="preserve">Delete namespace.</w:t>
            </w:r>
          </w:p>
        </w:tc>
      </w:tr>
      <w:tr>
        <w:tc>
          <w:tcPr/>
          <w:p>
            <w:pPr>
              <w:pStyle w:val="Compact"/>
              <w:jc w:val="left"/>
            </w:pPr>
            <w:r>
              <w:rPr>
                <w:bCs/>
                <w:b/>
              </w:rPr>
              <w:t xml:space="preserve">6</w:t>
            </w:r>
          </w:p>
        </w:tc>
        <w:tc>
          <w:tcPr/>
          <w:p>
            <w:pPr>
              <w:pStyle w:val="Compact"/>
              <w:jc w:val="left"/>
            </w:pPr>
            <w:r>
              <w:t xml:space="preserve">Configuration</w:t>
            </w:r>
          </w:p>
        </w:tc>
        <w:tc>
          <w:tcPr/>
          <w:p>
            <w:pPr>
              <w:pStyle w:val="Compact"/>
              <w:jc w:val="left"/>
            </w:pPr>
            <w:r>
              <w:t xml:space="preserve">Call F04: initialize tenant configuration with industry vertical defaults (ontology, KPIs, compliance rules). Call AC01: create default RBAC roles (Tenant Admin, Data Steward, Analyst, Algorithm Manager, End User). Call AC03: initialize consent configuration.</w:t>
            </w:r>
          </w:p>
        </w:tc>
        <w:tc>
          <w:tcPr/>
          <w:p>
            <w:pPr>
              <w:pStyle w:val="Compact"/>
              <w:jc w:val="left"/>
            </w:pPr>
            <w:r>
              <w:t xml:space="preserve">Delete configs.</w:t>
            </w:r>
          </w:p>
        </w:tc>
      </w:tr>
      <w:tr>
        <w:tc>
          <w:tcPr/>
          <w:p>
            <w:pPr>
              <w:pStyle w:val="Compact"/>
              <w:jc w:val="left"/>
            </w:pPr>
            <w:r>
              <w:rPr>
                <w:bCs/>
                <w:b/>
              </w:rPr>
              <w:t xml:space="preserve">7</w:t>
            </w:r>
          </w:p>
        </w:tc>
        <w:tc>
          <w:tcPr/>
          <w:p>
            <w:pPr>
              <w:pStyle w:val="Compact"/>
              <w:jc w:val="left"/>
            </w:pPr>
            <w:r>
              <w:t xml:space="preserve">Admin User</w:t>
            </w:r>
          </w:p>
        </w:tc>
        <w:tc>
          <w:tcPr/>
          <w:p>
            <w:pPr>
              <w:pStyle w:val="Compact"/>
              <w:jc w:val="left"/>
            </w:pPr>
            <w:r>
              <w:t xml:space="preserve">Create the first Tenant Admin user with credentials. Send invitation email.</w:t>
            </w:r>
          </w:p>
        </w:tc>
        <w:tc>
          <w:tcPr/>
          <w:p>
            <w:pPr>
              <w:pStyle w:val="Compact"/>
              <w:jc w:val="left"/>
            </w:pPr>
            <w:r>
              <w:t xml:space="preserve">Delete user.</w:t>
            </w:r>
          </w:p>
        </w:tc>
      </w:tr>
      <w:tr>
        <w:tc>
          <w:tcPr/>
          <w:p>
            <w:pPr>
              <w:pStyle w:val="Compact"/>
              <w:jc w:val="left"/>
            </w:pPr>
            <w:r>
              <w:rPr>
                <w:bCs/>
                <w:b/>
              </w:rPr>
              <w:t xml:space="preserve">8</w:t>
            </w:r>
          </w:p>
        </w:tc>
        <w:tc>
          <w:tcPr/>
          <w:p>
            <w:pPr>
              <w:pStyle w:val="Compact"/>
              <w:jc w:val="left"/>
            </w:pPr>
            <w:r>
              <w:t xml:space="preserve">Smoke Test</w:t>
            </w:r>
          </w:p>
        </w:tc>
        <w:tc>
          <w:tcPr/>
          <w:p>
            <w:pPr>
              <w:pStyle w:val="Compact"/>
              <w:jc w:val="left"/>
            </w:pPr>
            <w:r>
              <w:t xml:space="preserve">Run automated verification: create test entity, ingest through pipeline, query, verify isolation. Delete test data after verification.</w:t>
            </w:r>
          </w:p>
        </w:tc>
        <w:tc>
          <w:tcPr/>
          <w:p>
            <w:pPr>
              <w:pStyle w:val="Compact"/>
              <w:jc w:val="left"/>
            </w:pPr>
            <w:r>
              <w:t xml:space="preserve">Flag for manual review.</w:t>
            </w:r>
          </w:p>
        </w:tc>
      </w:tr>
      <w:tr>
        <w:tc>
          <w:tcPr/>
          <w:p>
            <w:pPr>
              <w:pStyle w:val="Compact"/>
              <w:jc w:val="left"/>
            </w:pPr>
            <w:r>
              <w:rPr>
                <w:bCs/>
                <w:b/>
              </w:rPr>
              <w:t xml:space="preserve">9</w:t>
            </w:r>
          </w:p>
        </w:tc>
        <w:tc>
          <w:tcPr/>
          <w:p>
            <w:pPr>
              <w:pStyle w:val="Compact"/>
              <w:jc w:val="left"/>
            </w:pPr>
            <w:r>
              <w:t xml:space="preserve">Activation</w:t>
            </w:r>
          </w:p>
        </w:tc>
        <w:tc>
          <w:tcPr/>
          <w:p>
            <w:pPr>
              <w:pStyle w:val="Compact"/>
              <w:jc w:val="left"/>
            </w:pPr>
            <w:r>
              <w:t xml:space="preserve">Set tenant status to ACTIVE. Record activation timestamp. Start metering.</w:t>
            </w:r>
          </w:p>
        </w:tc>
        <w:tc>
          <w:tcPr/>
          <w:p>
            <w:pPr>
              <w:pStyle w:val="Compact"/>
              <w:jc w:val="left"/>
            </w:pPr>
            <w:r>
              <w:t xml:space="preserve">Revert to PROVISIONING.</w:t>
            </w:r>
          </w:p>
        </w:tc>
      </w:tr>
    </w:tbl>
    <w:p>
      <w:pPr>
        <w:pStyle w:val="BodyText"/>
      </w:pPr>
      <w:r>
        <w:rPr>
          <w:bCs/>
          <w:b/>
        </w:rPr>
        <w:t xml:space="preserve">F02-FR-002</w:t>
      </w:r>
      <w:r>
        <w:t xml:space="preserve"> </w:t>
      </w:r>
      <w:r>
        <w:t xml:space="preserve">If any pipeline stage fails, the system SHALL: (a) log the failure with full diagnostic context, (b) halt the pipeline at the failed stage (do not proceed to later stages), (c) set tenant status to 'PROVISIONING_FAILED' with a reference to the failed stage, (d) allow retry from the failed stage (not full restart). After 3 consecutive failures at the same stage, create an engineering support ticket with full diagnostic logs.</w:t>
      </w:r>
    </w:p>
    <w:p>
      <w:pPr>
        <w:pStyle w:val="BodyText"/>
      </w:pPr>
      <w:r>
        <w:rPr>
          <w:bCs/>
          <w:b/>
        </w:rPr>
        <w:t xml:space="preserve">F02-FR-003</w:t>
      </w:r>
      <w:r>
        <w:t xml:space="preserve"> </w:t>
      </w:r>
      <w:r>
        <w:t xml:space="preserve">The provisioning pipeline SHALL be idempotent: running the same stage twice with the same inputs SHALL produce the same result without duplication or error.</w:t>
      </w:r>
    </w:p>
    <w:bookmarkEnd w:id="37"/>
    <w:bookmarkStart w:id="38" w:name="tenant-suspension"/>
    <w:p>
      <w:pPr>
        <w:pStyle w:val="Heading3"/>
      </w:pPr>
      <w:r>
        <w:t xml:space="preserve">2.2.2 Tenant Suspension</w:t>
      </w:r>
    </w:p>
    <w:p>
      <w:pPr>
        <w:pStyle w:val="FirstParagraph"/>
      </w:pPr>
      <w:r>
        <w:rPr>
          <w:bCs/>
          <w:b/>
        </w:rPr>
        <w:t xml:space="preserve">F02-FR-010</w:t>
      </w:r>
      <w:r>
        <w:t xml:space="preserve"> </w:t>
      </w:r>
      <w:r>
        <w:t xml:space="preserve">When a tenant is suspended (contract lapse, non-payment, or manual suspension by Super Admin), the system SHALL: (a) set tenant status to 'SUSPENDED', (b) revoke all active user sessions (invalidate JWTs), (c) reject all new API requests for the tenant (return HTTP 403 with 'tenant suspended' message), (d) stop all ingestion pipelines for the tenant, (e) stop all scheduled algorithm executions, (f) retain all data and configuration (no deletion), (g) archive data to cold storage after 30 days of suspension, (h) send notification to all Tenant Admin users.</w:t>
      </w:r>
    </w:p>
    <w:p>
      <w:pPr>
        <w:pStyle w:val="BodyText"/>
      </w:pPr>
      <w:r>
        <w:rPr>
          <w:bCs/>
          <w:b/>
        </w:rPr>
        <w:t xml:space="preserve">F02-FR-011</w:t>
      </w:r>
      <w:r>
        <w:t xml:space="preserve"> </w:t>
      </w:r>
      <w:r>
        <w:t xml:space="preserve">Reactivation of a suspended tenant SHALL: (a) restore tenant status to ACTIVE, (b) restore data from cold storage if archived (may take up to 4 hours for archived data), (c) re-enable ingestion pipelines and algorithm schedules, (d) notify Tenant Admin users of reactivation.</w:t>
      </w:r>
    </w:p>
    <w:bookmarkEnd w:id="38"/>
    <w:bookmarkStart w:id="39" w:name="tenant-offboarding-data-export"/>
    <w:p>
      <w:pPr>
        <w:pStyle w:val="Heading3"/>
      </w:pPr>
      <w:r>
        <w:t xml:space="preserve">2.2.3 Tenant Offboarding &amp; Data Export</w:t>
      </w:r>
    </w:p>
    <w:p>
      <w:pPr>
        <w:pStyle w:val="FirstParagraph"/>
      </w:pPr>
      <w:r>
        <w:rPr>
          <w:bCs/>
          <w:b/>
        </w:rPr>
        <w:t xml:space="preserve">F02-FR-020</w:t>
      </w:r>
      <w:r>
        <w:t xml:space="preserve"> </w:t>
      </w:r>
      <w:r>
        <w:t xml:space="preserve">Tenant offboarding SHALL follow a multi-step process with explicit confirmation at each step:</w:t>
      </w:r>
    </w:p>
    <w:p>
      <w:pPr>
        <w:pStyle w:val="BodyText"/>
      </w:pPr>
      <w:r>
        <w:t xml:space="preserve">Step 1: Super Admin initiates offboarding. System generates a Data Export package.</w:t>
      </w:r>
    </w:p>
    <w:p>
      <w:pPr>
        <w:pStyle w:val="BodyText"/>
      </w:pPr>
      <w:r>
        <w:t xml:space="preserve">Step 2: Data Export package includes: all Bronze layer data (raw files), Silver layer data (canonical records as CSV/JSON), Gold layer data (aggregated metrics), configuration export (hierarchies, mappings, algorithms, RBAC), decision logs, and audit trail. Exported to tenant’s GCS path as a downloadable archive.</w:t>
      </w:r>
    </w:p>
    <w:p>
      <w:pPr>
        <w:pStyle w:val="BodyText"/>
      </w:pPr>
      <w:r>
        <w:t xml:space="preserve">Step 3: Export verification: tenant confirms receipt and completeness of exported data. 30-day hold period begins.</w:t>
      </w:r>
    </w:p>
    <w:p>
      <w:pPr>
        <w:pStyle w:val="BodyText"/>
      </w:pPr>
      <w:r>
        <w:t xml:space="preserve">Step 4: Data purge after hold period: delete all tenant data from all layers (Bronze, Silver, Gold, Feature Store, Vector DB, Knowledge Graph, edge device caches, backup exclusion list). Purge is irreversible.</w:t>
      </w:r>
    </w:p>
    <w:p>
      <w:pPr>
        <w:pStyle w:val="BodyText"/>
      </w:pPr>
      <w:r>
        <w:t xml:space="preserve">Step 5: Infrastructure teardown: drop DB schema (Mode A) or terminate dedicated instance (Mode B), delete GCS paths, delete K8s namespace, disable encryption keys.</w:t>
      </w:r>
    </w:p>
    <w:p>
      <w:pPr>
        <w:pStyle w:val="BodyText"/>
      </w:pPr>
      <w:r>
        <w:t xml:space="preserve">Step 6: Set tenant status to DELETED. Retain only the tenant record in the control plane (for audit) with all PII removed.</w:t>
      </w:r>
    </w:p>
    <w:p>
      <w:pPr>
        <w:pStyle w:val="BlockText"/>
      </w:pPr>
      <w:r>
        <w:rPr>
          <w:iCs/>
          <w:i/>
        </w:rPr>
        <w:t xml:space="preserve">⚠ QUESTION FOR SEEMA: What is the right hold period between data export and purge? I’ve defaulted to 30 days. Some enterprise contracts may require 60 or 90 days. Should this be configurable per tenant, or fixed?</w:t>
      </w:r>
    </w:p>
    <w:p>
      <w:pPr>
        <w:pStyle w:val="BlockText"/>
      </w:pPr>
      <w:r>
        <w:rPr>
          <w:iCs/>
          <w:i/>
        </w:rPr>
        <w:t xml:space="preserve">⚠ QUESTION FOR SEEMA: Should the data export include ML model artifacts that were trained on the tenant’s data? These are derivative works — the tenant may argue they own the models trained on their data, or Sevyn8 may argue the model architecture is Sevyn8 IP. This needs a legal/commercial decision.</w:t>
      </w:r>
    </w:p>
    <w:bookmarkEnd w:id="39"/>
    <w:bookmarkEnd w:id="40"/>
    <w:bookmarkStart w:id="41" w:name="data-model-1"/>
    <w:p>
      <w:pPr>
        <w:pStyle w:val="Heading2"/>
      </w:pPr>
      <w:r>
        <w:t xml:space="preserve">2.3 Data Model</w:t>
      </w:r>
    </w:p>
    <w:p>
      <w:pPr>
        <w:pStyle w:val="FirstParagraph"/>
      </w:pPr>
      <w:r>
        <w:t xml:space="preserve">F02 extends the tenants table from F01 with lifecycle tracking:</w:t>
      </w:r>
    </w:p>
    <w:tbl>
      <w:tblPr>
        <w:tblStyle w:val="Table"/>
        <w:tblW w:type="pct" w:w="4963"/>
        <w:tblLook w:firstRow="0" w:lastRow="0" w:firstColumn="0" w:lastColumn="0" w:noHBand="0" w:noVBand="0" w:val="0000"/>
        <w:jc w:val="start"/>
      </w:tblPr>
      <w:tblGrid>
        <w:gridCol w:w="883"/>
        <w:gridCol w:w="441"/>
        <w:gridCol w:w="412"/>
        <w:gridCol w:w="6124"/>
      </w:tblGrid>
      <w:tr>
        <w:tc>
          <w:tcPr/>
          <w:p>
            <w:pPr>
              <w:pStyle w:val="Compact"/>
              <w:jc w:val="left"/>
            </w:pPr>
            <w:r>
              <w:rPr>
                <w:bCs/>
                <w:b/>
              </w:rPr>
              <w:t xml:space="preserve">Table</w:t>
            </w:r>
          </w:p>
        </w:tc>
        <w:tc>
          <w:tcPr/>
          <w:p>
            <w:pPr>
              <w:pStyle w:val="Compact"/>
              <w:jc w:val="left"/>
            </w:pPr>
            <w:r>
              <w:rPr>
                <w:bCs/>
                <w:b/>
              </w:rPr>
              <w:t xml:space="preserve">Column</w:t>
            </w:r>
          </w:p>
        </w:tc>
        <w:tc>
          <w:tcPr/>
          <w:p>
            <w:pPr>
              <w:pStyle w:val="Compact"/>
              <w:jc w:val="left"/>
            </w:pPr>
            <w:r>
              <w:rPr>
                <w:bCs/>
                <w:b/>
              </w:rPr>
              <w:t xml:space="preserve">Type</w:t>
            </w:r>
          </w:p>
        </w:tc>
        <w:tc>
          <w:tcPr/>
          <w:p>
            <w:pPr>
              <w:pStyle w:val="Compact"/>
              <w:jc w:val="left"/>
            </w:pPr>
            <w:r>
              <w:rPr>
                <w:bCs/>
                <w:b/>
              </w:rPr>
              <w:t xml:space="preserve">Description</w:t>
            </w:r>
          </w:p>
        </w:tc>
      </w:tr>
      <w:tr>
        <w:tc>
          <w:tcPr/>
          <w:p>
            <w:pPr>
              <w:pStyle w:val="Compact"/>
              <w:jc w:val="left"/>
            </w:pPr>
            <w:r>
              <w:rPr>
                <w:bCs/>
                <w:b/>
              </w:rPr>
              <w:t xml:space="preserve">tenant_lifecycle_events</w:t>
            </w:r>
          </w:p>
        </w:tc>
        <w:tc>
          <w:tcPr/>
          <w:p>
            <w:pPr>
              <w:pStyle w:val="Compact"/>
              <w:jc w:val="left"/>
            </w:pPr>
            <w:r>
              <w:t xml:space="preserve">event_id</w:t>
            </w:r>
          </w:p>
        </w:tc>
        <w:tc>
          <w:tcPr/>
          <w:p>
            <w:pPr>
              <w:pStyle w:val="Compact"/>
              <w:jc w:val="left"/>
            </w:pPr>
            <w:r>
              <w:t xml:space="preserve">UUID (PK)</w:t>
            </w:r>
          </w:p>
        </w:tc>
        <w:tc>
          <w:tcPr/>
          <w:p>
            <w:pPr>
              <w:pStyle w:val="Compact"/>
              <w:jc w:val="left"/>
            </w:pPr>
            <w:r>
              <w:t xml:space="preserve">Unique event identifier.</w:t>
            </w:r>
          </w:p>
        </w:tc>
      </w:tr>
      <w:tr>
        <w:tc>
          <w:tcPr/>
          <w:p>
            <w:pPr>
              <w:pStyle w:val="Compact"/>
            </w:pPr>
          </w:p>
        </w:tc>
        <w:tc>
          <w:tcPr/>
          <w:p>
            <w:pPr>
              <w:pStyle w:val="Compact"/>
              <w:jc w:val="left"/>
            </w:pPr>
            <w:r>
              <w:t xml:space="preserve">tenant_id</w:t>
            </w:r>
          </w:p>
        </w:tc>
        <w:tc>
          <w:tcPr/>
          <w:p>
            <w:pPr>
              <w:pStyle w:val="Compact"/>
              <w:jc w:val="left"/>
            </w:pPr>
            <w:r>
              <w:t xml:space="preserve">UUID (FK)</w:t>
            </w:r>
          </w:p>
        </w:tc>
        <w:tc>
          <w:tcPr/>
          <w:p>
            <w:pPr>
              <w:pStyle w:val="Compact"/>
              <w:jc w:val="left"/>
            </w:pPr>
            <w:r>
              <w:t xml:space="preserve">References tenants table.</w:t>
            </w:r>
          </w:p>
        </w:tc>
      </w:tr>
      <w:tr>
        <w:tc>
          <w:tcPr/>
          <w:p>
            <w:pPr>
              <w:pStyle w:val="Compact"/>
            </w:pPr>
          </w:p>
        </w:tc>
        <w:tc>
          <w:tcPr/>
          <w:p>
            <w:pPr>
              <w:pStyle w:val="Compact"/>
              <w:jc w:val="left"/>
            </w:pPr>
            <w:r>
              <w:t xml:space="preserve">event_type</w:t>
            </w:r>
          </w:p>
        </w:tc>
        <w:tc>
          <w:tcPr/>
          <w:p>
            <w:pPr>
              <w:pStyle w:val="Compact"/>
              <w:jc w:val="left"/>
            </w:pPr>
            <w:r>
              <w:t xml:space="preserve">ENUM</w:t>
            </w:r>
          </w:p>
        </w:tc>
        <w:tc>
          <w:tcPr/>
          <w:p>
            <w:pPr>
              <w:pStyle w:val="Compact"/>
              <w:jc w:val="left"/>
            </w:pPr>
            <w:r>
              <w:t xml:space="preserve">'PROVISIONING_STARTED', 'PROVISIONING_STAGE_COMPLETED', 'PROVISIONING_FAILED', 'ACTIVATED', 'SUSPENDED', 'REACTIVATED', 'OFFBOARDING_STARTED', 'DATA_EXPORTED', 'DATA_PURGED', 'DELETED'.</w:t>
            </w:r>
          </w:p>
        </w:tc>
      </w:tr>
      <w:tr>
        <w:tc>
          <w:tcPr/>
          <w:p>
            <w:pPr>
              <w:pStyle w:val="Compact"/>
            </w:pPr>
          </w:p>
        </w:tc>
        <w:tc>
          <w:tcPr/>
          <w:p>
            <w:pPr>
              <w:pStyle w:val="Compact"/>
              <w:jc w:val="left"/>
            </w:pPr>
            <w:r>
              <w:t xml:space="preserve">stage</w:t>
            </w:r>
          </w:p>
        </w:tc>
        <w:tc>
          <w:tcPr/>
          <w:p>
            <w:pPr>
              <w:pStyle w:val="Compact"/>
              <w:jc w:val="left"/>
            </w:pPr>
            <w:r>
              <w:t xml:space="preserve">VARCHAR</w:t>
            </w:r>
          </w:p>
        </w:tc>
        <w:tc>
          <w:tcPr/>
          <w:p>
            <w:pPr>
              <w:pStyle w:val="Compact"/>
              <w:jc w:val="left"/>
            </w:pPr>
            <w:r>
              <w:t xml:space="preserve">Pipeline stage name (for provisioning events).</w:t>
            </w:r>
          </w:p>
        </w:tc>
      </w:tr>
      <w:tr>
        <w:tc>
          <w:tcPr/>
          <w:p>
            <w:pPr>
              <w:pStyle w:val="Compact"/>
            </w:pPr>
          </w:p>
        </w:tc>
        <w:tc>
          <w:tcPr/>
          <w:p>
            <w:pPr>
              <w:pStyle w:val="Compact"/>
              <w:jc w:val="left"/>
            </w:pPr>
            <w:r>
              <w:t xml:space="preserve">initiated_by</w:t>
            </w:r>
          </w:p>
        </w:tc>
        <w:tc>
          <w:tcPr/>
          <w:p>
            <w:pPr>
              <w:pStyle w:val="Compact"/>
              <w:jc w:val="left"/>
            </w:pPr>
            <w:r>
              <w:t xml:space="preserve">UUID</w:t>
            </w:r>
          </w:p>
        </w:tc>
        <w:tc>
          <w:tcPr/>
          <w:p>
            <w:pPr>
              <w:pStyle w:val="Compact"/>
              <w:jc w:val="left"/>
            </w:pPr>
            <w:r>
              <w:t xml:space="preserve">User ID of the admin who initiated the event.</w:t>
            </w:r>
          </w:p>
        </w:tc>
      </w:tr>
      <w:tr>
        <w:tc>
          <w:tcPr/>
          <w:p>
            <w:pPr>
              <w:pStyle w:val="Compact"/>
            </w:pPr>
          </w:p>
        </w:tc>
        <w:tc>
          <w:tcPr/>
          <w:p>
            <w:pPr>
              <w:pStyle w:val="Compact"/>
              <w:jc w:val="left"/>
            </w:pPr>
            <w:r>
              <w:t xml:space="preserve">reason</w:t>
            </w:r>
          </w:p>
        </w:tc>
        <w:tc>
          <w:tcPr/>
          <w:p>
            <w:pPr>
              <w:pStyle w:val="Compact"/>
              <w:jc w:val="left"/>
            </w:pPr>
            <w:r>
              <w:t xml:space="preserve">TEXT</w:t>
            </w:r>
          </w:p>
        </w:tc>
        <w:tc>
          <w:tcPr/>
          <w:p>
            <w:pPr>
              <w:pStyle w:val="Compact"/>
              <w:jc w:val="left"/>
            </w:pPr>
            <w:r>
              <w:t xml:space="preserve">Free-text reason for the action (mandatory for suspension/offboarding).</w:t>
            </w:r>
          </w:p>
        </w:tc>
      </w:tr>
      <w:tr>
        <w:tc>
          <w:tcPr/>
          <w:p>
            <w:pPr>
              <w:pStyle w:val="Compact"/>
            </w:pPr>
          </w:p>
        </w:tc>
        <w:tc>
          <w:tcPr/>
          <w:p>
            <w:pPr>
              <w:pStyle w:val="Compact"/>
              <w:jc w:val="left"/>
            </w:pPr>
            <w:r>
              <w:t xml:space="preserve">metadata</w:t>
            </w:r>
          </w:p>
        </w:tc>
        <w:tc>
          <w:tcPr/>
          <w:p>
            <w:pPr>
              <w:pStyle w:val="Compact"/>
              <w:jc w:val="left"/>
            </w:pPr>
            <w:r>
              <w:t xml:space="preserve">JSONB</w:t>
            </w:r>
          </w:p>
        </w:tc>
        <w:tc>
          <w:tcPr/>
          <w:p>
            <w:pPr>
              <w:pStyle w:val="Compact"/>
              <w:jc w:val="left"/>
            </w:pPr>
            <w:r>
              <w:t xml:space="preserve">Stage-specific metadata (diagnostics for failures, export paths for offboarding).</w:t>
            </w:r>
          </w:p>
        </w:tc>
      </w:tr>
      <w:tr>
        <w:tc>
          <w:tcPr/>
          <w:p>
            <w:pPr>
              <w:pStyle w:val="Compact"/>
            </w:pPr>
          </w:p>
        </w:tc>
        <w:tc>
          <w:tcPr/>
          <w:p>
            <w:pPr>
              <w:pStyle w:val="Compact"/>
              <w:jc w:val="left"/>
            </w:pPr>
            <w:r>
              <w:t xml:space="preserve">created_at</w:t>
            </w:r>
          </w:p>
        </w:tc>
        <w:tc>
          <w:tcPr/>
          <w:p>
            <w:pPr>
              <w:pStyle w:val="Compact"/>
              <w:jc w:val="left"/>
            </w:pPr>
            <w:r>
              <w:t xml:space="preserve">TIMESTAMPTZ</w:t>
            </w:r>
          </w:p>
        </w:tc>
        <w:tc>
          <w:tcPr/>
          <w:p>
            <w:pPr>
              <w:pStyle w:val="Compact"/>
              <w:jc w:val="left"/>
            </w:pPr>
            <w:r>
              <w:t xml:space="preserve">Event timestamp.</w:t>
            </w:r>
          </w:p>
        </w:tc>
      </w:tr>
    </w:tbl>
    <w:bookmarkEnd w:id="41"/>
    <w:bookmarkStart w:id="42" w:name="acceptance-criteria-1"/>
    <w:p>
      <w:pPr>
        <w:pStyle w:val="Heading2"/>
      </w:pPr>
      <w:r>
        <w:t xml:space="preserve">2.4 Acceptance Criteria</w:t>
      </w:r>
    </w:p>
    <w:p>
      <w:pPr>
        <w:pStyle w:val="FirstParagraph"/>
      </w:pPr>
      <w:r>
        <w:t xml:space="preserve">A new Retail-vertical tenant can be fully provisioned (Stage 1–9) in under 5 minutes (Mode A) or 30 minutes (Mode B), with the first Tenant Admin able to log in and see an empty dashboard.</w:t>
      </w:r>
    </w:p>
    <w:p>
      <w:pPr>
        <w:pStyle w:val="BodyText"/>
      </w:pPr>
      <w:r>
        <w:t xml:space="preserve">A failed provisioning can be retried from the failed stage without manual intervention or data cleanup.</w:t>
      </w:r>
    </w:p>
    <w:p>
      <w:pPr>
        <w:pStyle w:val="BodyText"/>
      </w:pPr>
      <w:r>
        <w:t xml:space="preserve">A suspended tenant’s users see a clear 'tenant suspended' message on login, not a generic error.</w:t>
      </w:r>
    </w:p>
    <w:p>
      <w:pPr>
        <w:pStyle w:val="BodyText"/>
      </w:pPr>
      <w:r>
        <w:t xml:space="preserve">A completed data export includes all tenant data in portable formats and the tenant can independently verify completeness against a checksum manifest.</w:t>
      </w:r>
    </w:p>
    <w:p>
      <w:pPr>
        <w:pStyle w:val="BodyText"/>
      </w:pPr>
      <w:r>
        <w:t xml:space="preserve">After data purge, zero records for the tenant exist in any data store (verified by automated scan).</w:t>
      </w:r>
    </w:p>
    <w:bookmarkEnd w:id="42"/>
    <w:bookmarkEnd w:id="43"/>
    <w:bookmarkStart w:id="51" w:name="f03-temporal-data-engine"/>
    <w:p>
      <w:pPr>
        <w:pStyle w:val="Heading1"/>
      </w:pPr>
      <w:r>
        <w:t xml:space="preserve">F03 — Temporal Data Engine</w:t>
      </w:r>
    </w:p>
    <w:tbl>
      <w:tblPr>
        <w:tblStyle w:val="Table"/>
        <w:tblW w:type="pct" w:w="4919"/>
        <w:tblLook w:firstRow="0" w:lastRow="0" w:firstColumn="0" w:lastColumn="0" w:noHBand="0" w:noVBand="0" w:val="0000"/>
        <w:jc w:val="start"/>
      </w:tblPr>
      <w:tblGrid>
        <w:gridCol w:w="1416"/>
        <w:gridCol w:w="6374"/>
      </w:tblGrid>
      <w:t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rPr>
                <w:bCs/>
                <w:b/>
              </w:rPr>
              <w:t xml:space="preserve">Module ID</w:t>
            </w:r>
          </w:p>
        </w:tc>
        <w:tc>
          <w:tcPr/>
          <w:p>
            <w:pPr>
              <w:pStyle w:val="Compact"/>
              <w:jc w:val="left"/>
            </w:pPr>
            <w:r>
              <w:t xml:space="preserve">F03</w:t>
            </w:r>
          </w:p>
        </w:tc>
      </w:tr>
      <w:tr>
        <w:tc>
          <w:tcPr/>
          <w:p>
            <w:pPr>
              <w:pStyle w:val="Compact"/>
              <w:jc w:val="left"/>
            </w:pPr>
            <w:r>
              <w:rPr>
                <w:bCs/>
                <w:b/>
              </w:rPr>
              <w:t xml:space="preserve">Phase</w:t>
            </w:r>
          </w:p>
        </w:tc>
        <w:tc>
          <w:tcPr/>
          <w:p>
            <w:pPr>
              <w:pStyle w:val="Compact"/>
              <w:jc w:val="left"/>
            </w:pPr>
            <w:r>
              <w:t xml:space="preserve">0</w:t>
            </w:r>
          </w:p>
        </w:tc>
      </w:tr>
      <w:tr>
        <w:tc>
          <w:tcPr/>
          <w:p>
            <w:pPr>
              <w:pStyle w:val="Compact"/>
              <w:jc w:val="left"/>
            </w:pPr>
            <w:r>
              <w:rPr>
                <w:bCs/>
                <w:b/>
              </w:rPr>
              <w:t xml:space="preserve">Dependencies</w:t>
            </w:r>
          </w:p>
        </w:tc>
        <w:tc>
          <w:tcPr/>
          <w:p>
            <w:pPr>
              <w:pStyle w:val="Compact"/>
              <w:jc w:val="left"/>
            </w:pPr>
            <w:r>
              <w:t xml:space="preserve">F01 (Multi-Tenancy Infrastructure)</w:t>
            </w:r>
          </w:p>
        </w:tc>
      </w:tr>
      <w:tr>
        <w:tc>
          <w:tcPr/>
          <w:p>
            <w:pPr>
              <w:pStyle w:val="Compact"/>
              <w:jc w:val="left"/>
            </w:pPr>
            <w:r>
              <w:rPr>
                <w:bCs/>
                <w:b/>
              </w:rPr>
              <w:t xml:space="preserve">Depended On By</w:t>
            </w:r>
          </w:p>
        </w:tc>
        <w:tc>
          <w:tcPr/>
          <w:p>
            <w:pPr>
              <w:pStyle w:val="Compact"/>
              <w:jc w:val="left"/>
            </w:pPr>
            <w:r>
              <w:t xml:space="preserve">D01 (Canonical Data Model), A01 (Feature Store), AC02 (Hierarchy Engine), PR06 (Retention Clock)</w:t>
            </w:r>
          </w:p>
        </w:tc>
      </w:tr>
    </w:tbl>
    <w:bookmarkStart w:id="44" w:name="purpose-2"/>
    <w:p>
      <w:pPr>
        <w:pStyle w:val="Heading2"/>
      </w:pPr>
      <w:r>
        <w:t xml:space="preserve">3.1 Purpose</w:t>
      </w:r>
    </w:p>
    <w:p>
      <w:pPr>
        <w:pStyle w:val="FirstParagraph"/>
      </w:pPr>
      <w:r>
        <w:t xml:space="preserve">F03 establishes bi-temporal data modeling as a mandatory, infrastructure-level capability. Every fact in the Silver layer and beyond carries two time dimensions: valid_time (when was this true in the real world?) and transaction_time (when did the system learn about it?). F03 provides the database primitives, query library, and validation rules that enforce temporal correctness across all data layers.</w:t>
      </w:r>
    </w:p>
    <w:p>
      <w:pPr>
        <w:pStyle w:val="BodyText"/>
      </w:pPr>
      <w:r>
        <w:t xml:space="preserve">F03 is NOT a standalone service — it is a set of database extensions, migration templates, query functions, and validation rules that are embedded into every tenant-scoped schema.</w:t>
      </w:r>
    </w:p>
    <w:bookmarkEnd w:id="44"/>
    <w:bookmarkStart w:id="49" w:name="functional-requirements-2"/>
    <w:p>
      <w:pPr>
        <w:pStyle w:val="Heading2"/>
      </w:pPr>
      <w:r>
        <w:t xml:space="preserve">3.2 Functional Requirements</w:t>
      </w:r>
    </w:p>
    <w:bookmarkStart w:id="45" w:name="bi-temporal-column-standard"/>
    <w:p>
      <w:pPr>
        <w:pStyle w:val="Heading3"/>
      </w:pPr>
      <w:r>
        <w:t xml:space="preserve">3.2.1 Bi-Temporal Column Standard</w:t>
      </w:r>
    </w:p>
    <w:p>
      <w:pPr>
        <w:pStyle w:val="FirstParagraph"/>
      </w:pPr>
      <w:r>
        <w:rPr>
          <w:bCs/>
          <w:b/>
        </w:rPr>
        <w:t xml:space="preserve">F03-FR-001</w:t>
      </w:r>
      <w:r>
        <w:t xml:space="preserve"> </w:t>
      </w:r>
      <w:r>
        <w:t xml:space="preserve">Every table in the Silver layer that stores entity state or event data SHALL include four temporal columns:</w:t>
      </w:r>
    </w:p>
    <w:tbl>
      <w:tblPr>
        <w:tblStyle w:val="Table"/>
        <w:tblW w:type="pct" w:w="4951"/>
        <w:tblLook w:firstRow="0" w:lastRow="0" w:firstColumn="0" w:lastColumn="0" w:noHBand="0" w:noVBand="0" w:val="0000"/>
        <w:jc w:val="start"/>
      </w:tblPr>
      <w:tblGrid>
        <w:gridCol w:w="656"/>
        <w:gridCol w:w="540"/>
        <w:gridCol w:w="6645"/>
      </w:tblGrid>
      <w:tr>
        <w:tc>
          <w:tcPr/>
          <w:p>
            <w:pPr>
              <w:pStyle w:val="Compact"/>
              <w:jc w:val="left"/>
            </w:pPr>
            <w:r>
              <w:rPr>
                <w:bCs/>
                <w:b/>
              </w:rPr>
              <w:t xml:space="preserve">Column</w:t>
            </w:r>
          </w:p>
        </w:tc>
        <w:tc>
          <w:tcPr/>
          <w:p>
            <w:pPr>
              <w:pStyle w:val="Compact"/>
              <w:jc w:val="left"/>
            </w:pPr>
            <w:r>
              <w:rPr>
                <w:bCs/>
                <w:b/>
              </w:rPr>
              <w:t xml:space="preserve">Type</w:t>
            </w:r>
          </w:p>
        </w:tc>
        <w:tc>
          <w:tcPr/>
          <w:p>
            <w:pPr>
              <w:pStyle w:val="Compact"/>
              <w:jc w:val="left"/>
            </w:pPr>
            <w:r>
              <w:rPr>
                <w:bCs/>
                <w:b/>
              </w:rPr>
              <w:t xml:space="preserve">Description</w:t>
            </w:r>
          </w:p>
        </w:tc>
      </w:tr>
      <w:tr>
        <w:tc>
          <w:tcPr/>
          <w:p>
            <w:pPr>
              <w:pStyle w:val="Compact"/>
              <w:jc w:val="left"/>
            </w:pPr>
            <w:r>
              <w:rPr>
                <w:bCs/>
                <w:b/>
              </w:rPr>
              <w:t xml:space="preserve">valid_from</w:t>
            </w:r>
          </w:p>
        </w:tc>
        <w:tc>
          <w:tcPr/>
          <w:p>
            <w:pPr>
              <w:pStyle w:val="Compact"/>
              <w:jc w:val="left"/>
            </w:pPr>
            <w:r>
              <w:t xml:space="preserve">TIMESTAMPTZ</w:t>
            </w:r>
          </w:p>
        </w:tc>
        <w:tc>
          <w:tcPr/>
          <w:p>
            <w:pPr>
              <w:pStyle w:val="Compact"/>
              <w:jc w:val="left"/>
            </w:pPr>
            <w:r>
              <w:t xml:space="preserve">The real-world timestamp from which this fact is true. Set by the data source or the canonical mapping engine.</w:t>
            </w:r>
          </w:p>
        </w:tc>
      </w:tr>
      <w:tr>
        <w:tc>
          <w:tcPr/>
          <w:p>
            <w:pPr>
              <w:pStyle w:val="Compact"/>
              <w:jc w:val="left"/>
            </w:pPr>
            <w:r>
              <w:rPr>
                <w:bCs/>
                <w:b/>
              </w:rPr>
              <w:t xml:space="preserve">valid_to</w:t>
            </w:r>
          </w:p>
        </w:tc>
        <w:tc>
          <w:tcPr/>
          <w:p>
            <w:pPr>
              <w:pStyle w:val="Compact"/>
              <w:jc w:val="left"/>
            </w:pPr>
            <w:r>
              <w:t xml:space="preserve">TIMESTAMPTZ</w:t>
            </w:r>
          </w:p>
        </w:tc>
        <w:tc>
          <w:tcPr/>
          <w:p>
            <w:pPr>
              <w:pStyle w:val="Compact"/>
              <w:jc w:val="left"/>
            </w:pPr>
            <w:r>
              <w:t xml:space="preserve">The real-world timestamp until which this fact is true. Default: '9999-12-31T23:59:59Z' (current/open-ended). Set when a newer version of the fact supersedes this one.</w:t>
            </w:r>
          </w:p>
        </w:tc>
      </w:tr>
      <w:tr>
        <w:tc>
          <w:tcPr/>
          <w:p>
            <w:pPr>
              <w:pStyle w:val="Compact"/>
              <w:jc w:val="left"/>
            </w:pPr>
            <w:r>
              <w:rPr>
                <w:bCs/>
                <w:b/>
              </w:rPr>
              <w:t xml:space="preserve">txn_from</w:t>
            </w:r>
          </w:p>
        </w:tc>
        <w:tc>
          <w:tcPr/>
          <w:p>
            <w:pPr>
              <w:pStyle w:val="Compact"/>
              <w:jc w:val="left"/>
            </w:pPr>
            <w:r>
              <w:t xml:space="preserve">TIMESTAMPTZ</w:t>
            </w:r>
          </w:p>
        </w:tc>
        <w:tc>
          <w:tcPr/>
          <w:p>
            <w:pPr>
              <w:pStyle w:val="Compact"/>
              <w:jc w:val="left"/>
            </w:pPr>
            <w:r>
              <w:t xml:space="preserve">The system timestamp when this record was inserted. Auto-set by a database trigger. Immutable after insert.</w:t>
            </w:r>
          </w:p>
        </w:tc>
      </w:tr>
      <w:tr>
        <w:tc>
          <w:tcPr/>
          <w:p>
            <w:pPr>
              <w:pStyle w:val="Compact"/>
              <w:jc w:val="left"/>
            </w:pPr>
            <w:r>
              <w:rPr>
                <w:bCs/>
                <w:b/>
              </w:rPr>
              <w:t xml:space="preserve">txn_to</w:t>
            </w:r>
          </w:p>
        </w:tc>
        <w:tc>
          <w:tcPr/>
          <w:p>
            <w:pPr>
              <w:pStyle w:val="Compact"/>
              <w:jc w:val="left"/>
            </w:pPr>
            <w:r>
              <w:t xml:space="preserve">TIMESTAMPTZ</w:t>
            </w:r>
          </w:p>
        </w:tc>
        <w:tc>
          <w:tcPr/>
          <w:p>
            <w:pPr>
              <w:pStyle w:val="Compact"/>
              <w:jc w:val="left"/>
            </w:pPr>
            <w:r>
              <w:t xml:space="preserve">The system timestamp when this record was superseded. Default: '9999-12-31T23:59:59Z' (current). Set when a newer version is inserted.</w:t>
            </w:r>
          </w:p>
        </w:tc>
      </w:tr>
    </w:tbl>
    <w:p>
      <w:pPr>
        <w:pStyle w:val="BodyText"/>
      </w:pPr>
      <w:r>
        <w:rPr>
          <w:bCs/>
          <w:b/>
        </w:rPr>
        <w:t xml:space="preserve">F03-FR-002</w:t>
      </w:r>
      <w:r>
        <w:t xml:space="preserve"> </w:t>
      </w:r>
      <w:r>
        <w:t xml:space="preserve">The schema migration template for any new Silver layer table SHALL automatically include these four columns, appropriate indexes (GiST index on the tstzrange(valid_from, valid_to) for range queries), and an exclusion constraint preventing overlapping valid-time periods for the same entity (entity_id, valid_time_range) using a GiST index.</w:t>
      </w:r>
    </w:p>
    <w:p>
      <w:pPr>
        <w:pStyle w:val="BodyText"/>
      </w:pPr>
      <w:r>
        <w:rPr>
          <w:bCs/>
          <w:b/>
        </w:rPr>
        <w:t xml:space="preserve">F03-FR-003</w:t>
      </w:r>
      <w:r>
        <w:t xml:space="preserve"> </w:t>
      </w:r>
      <w:r>
        <w:t xml:space="preserve">The txn_from column SHALL be set by a BEFORE INSERT trigger. Application code SHALL NOT be able to set txn_from directly. This prevents backdating.</w:t>
      </w:r>
    </w:p>
    <w:p>
      <w:pPr>
        <w:pStyle w:val="BodyText"/>
      </w:pPr>
      <w:r>
        <w:rPr>
          <w:bCs/>
          <w:b/>
        </w:rPr>
        <w:t xml:space="preserve">F03-FR-004</w:t>
      </w:r>
      <w:r>
        <w:t xml:space="preserve"> </w:t>
      </w:r>
      <w:r>
        <w:t xml:space="preserve">When a fact is updated (e.g., customer address changes), the system SHALL NOT update in place. Instead: (a) the existing row’s valid_to and txn_to are set to NOW(), (b) a new row is inserted with the new values, valid_from = effective date of change, valid_to = infinity, txn_from = NOW(), txn_to = infinity. This is SCD Type 2 by default.</w:t>
      </w:r>
    </w:p>
    <w:bookmarkEnd w:id="45"/>
    <w:bookmarkStart w:id="46" w:name="scd-policy-configuration"/>
    <w:p>
      <w:pPr>
        <w:pStyle w:val="Heading3"/>
      </w:pPr>
      <w:r>
        <w:t xml:space="preserve">3.2.2 SCD Policy Configuration</w:t>
      </w:r>
    </w:p>
    <w:p>
      <w:pPr>
        <w:pStyle w:val="FirstParagraph"/>
      </w:pPr>
      <w:r>
        <w:rPr>
          <w:bCs/>
          <w:b/>
        </w:rPr>
        <w:t xml:space="preserve">F03-FR-010</w:t>
      </w:r>
      <w:r>
        <w:t xml:space="preserve"> </w:t>
      </w:r>
      <w:r>
        <w:t xml:space="preserve">Each attribute on each entity type SHALL have a configurable SCD policy, stored in the configuration plane (F04):</w:t>
      </w:r>
    </w:p>
    <w:p>
      <w:pPr>
        <w:pStyle w:val="BodyText"/>
      </w:pPr>
      <w:r>
        <w:t xml:space="preserve">TYPE_1 (Overwrite): Update in place. Previous value is lost. valid_from/valid_to unchanged. Appropriate for: corrections of data entry errors, non-historically-significant attributes.</w:t>
      </w:r>
    </w:p>
    <w:p>
      <w:pPr>
        <w:pStyle w:val="BodyText"/>
      </w:pPr>
      <w:r>
        <w:t xml:space="preserve">TYPE_2 (History): Insert new version, close previous version. Full history preserved. Default for most attributes.</w:t>
      </w:r>
    </w:p>
    <w:p>
      <w:pPr>
        <w:pStyle w:val="BodyText"/>
      </w:pPr>
      <w:r>
        <w:t xml:space="preserve">TYPE_3 (Previous+Current): Store both current and previous values in the same row (using previous_value column). Limited history (only one prior value). Appropriate for: attributes where only the most recent change matters.</w:t>
      </w:r>
    </w:p>
    <w:p>
      <w:pPr>
        <w:pStyle w:val="BodyText"/>
      </w:pPr>
      <w:r>
        <w:rPr>
          <w:bCs/>
          <w:b/>
        </w:rPr>
        <w:t xml:space="preserve">F03-FR-011</w:t>
      </w:r>
      <w:r>
        <w:t xml:space="preserve"> </w:t>
      </w:r>
      <w:r>
        <w:t xml:space="preserve">The SCD policy for each attribute SHALL be configurable per industry vertical (IC01) and overridable per tenant (F04). Example: customer name change is TYPE_1 in retail (correction) but TYPE_2 in insurance (previous name has legal significance).</w:t>
      </w:r>
    </w:p>
    <w:p>
      <w:pPr>
        <w:pStyle w:val="BlockText"/>
      </w:pPr>
      <w:r>
        <w:rPr>
          <w:iCs/>
          <w:i/>
        </w:rPr>
        <w:t xml:space="preserve">⚠ QUESTION FOR SEEMA: For the initial retail vertical, which customer attributes should default to TYPE_2 (preserve history) vs. TYPE_1 (overwrite)? My suggestion: name=TYPE_1, email=TYPE_1, phone=TYPE_1, address=TYPE_2, loyalty_tier=TYPE_2, preferences=TYPE_1. But this depends on your retail clients’ analytics requirements — do they need to know a customer’s previous address for catchment area analysis?</w:t>
      </w:r>
    </w:p>
    <w:bookmarkEnd w:id="46"/>
    <w:bookmarkStart w:id="47" w:name="temporal-query-library"/>
    <w:p>
      <w:pPr>
        <w:pStyle w:val="Heading3"/>
      </w:pPr>
      <w:r>
        <w:t xml:space="preserve">3.2.3 Temporal Query Library</w:t>
      </w:r>
    </w:p>
    <w:p>
      <w:pPr>
        <w:pStyle w:val="FirstParagraph"/>
      </w:pPr>
      <w:r>
        <w:rPr>
          <w:bCs/>
          <w:b/>
        </w:rPr>
        <w:t xml:space="preserve">F03-FR-020</w:t>
      </w:r>
      <w:r>
        <w:t xml:space="preserve"> </w:t>
      </w:r>
      <w:r>
        <w:t xml:space="preserve">F03 SHALL provide a set of PostgreSQL functions that all services use for temporal queries, ensuring consistent behavior and preventing common temporal query errors:</w:t>
      </w:r>
    </w:p>
    <w:tbl>
      <w:tblPr>
        <w:tblStyle w:val="Table"/>
        <w:tblW w:type="pct" w:w="4966"/>
        <w:tblLook w:firstRow="0" w:lastRow="0" w:firstColumn="0" w:lastColumn="0" w:noHBand="0" w:noVBand="0" w:val="0000"/>
        <w:jc w:val="start"/>
      </w:tblPr>
      <w:tblGrid>
        <w:gridCol w:w="1741"/>
        <w:gridCol w:w="6123"/>
      </w:tblGrid>
      <w:tr>
        <w:tc>
          <w:tcPr/>
          <w:p>
            <w:pPr>
              <w:pStyle w:val="Compact"/>
              <w:jc w:val="left"/>
            </w:pPr>
            <w:r>
              <w:rPr>
                <w:bCs/>
                <w:b/>
              </w:rPr>
              <w:t xml:space="preserve">Function</w:t>
            </w:r>
          </w:p>
        </w:tc>
        <w:tc>
          <w:tcPr/>
          <w:p>
            <w:pPr>
              <w:pStyle w:val="Compact"/>
              <w:jc w:val="left"/>
            </w:pPr>
            <w:r>
              <w:rPr>
                <w:bCs/>
                <w:b/>
              </w:rPr>
              <w:t xml:space="preserve">Description</w:t>
            </w:r>
          </w:p>
        </w:tc>
      </w:tr>
      <w:tr>
        <w:tc>
          <w:tcPr/>
          <w:p>
            <w:pPr>
              <w:pStyle w:val="Compact"/>
              <w:jc w:val="left"/>
            </w:pPr>
            <w:r>
              <w:rPr>
                <w:bCs/>
                <w:b/>
              </w:rPr>
              <w:t xml:space="preserve">as_of_valid(table, entity_id, timestamp)</w:t>
            </w:r>
          </w:p>
        </w:tc>
        <w:tc>
          <w:tcPr/>
          <w:p>
            <w:pPr>
              <w:pStyle w:val="Compact"/>
              <w:jc w:val="left"/>
            </w:pPr>
            <w:r>
              <w:t xml:space="preserve">Returns the state of the entity as it actually was at the given real-world timestamp. Filters on valid_from &lt;= timestamp AND valid_to &gt; timestamp AND txn_to = infinity (current system version).</w:t>
            </w:r>
          </w:p>
        </w:tc>
      </w:tr>
      <w:tr>
        <w:tc>
          <w:tcPr/>
          <w:p>
            <w:pPr>
              <w:pStyle w:val="Compact"/>
              <w:jc w:val="left"/>
            </w:pPr>
            <w:r>
              <w:rPr>
                <w:bCs/>
                <w:b/>
              </w:rPr>
              <w:t xml:space="preserve">as_of_known(table, entity_id, valid_ts, txn_ts)</w:t>
            </w:r>
          </w:p>
        </w:tc>
        <w:tc>
          <w:tcPr/>
          <w:p>
            <w:pPr>
              <w:pStyle w:val="Compact"/>
              <w:jc w:val="left"/>
            </w:pPr>
            <w:r>
              <w:t xml:space="preserve">Returns the state of the entity as the system knew it at txn_ts for real-world time valid_ts. Full bi-temporal query. Used for audit and historical restatement.</w:t>
            </w:r>
          </w:p>
        </w:tc>
      </w:tr>
      <w:tr>
        <w:tc>
          <w:tcPr/>
          <w:p>
            <w:pPr>
              <w:pStyle w:val="Compact"/>
              <w:jc w:val="left"/>
            </w:pPr>
            <w:r>
              <w:rPr>
                <w:bCs/>
                <w:b/>
              </w:rPr>
              <w:t xml:space="preserve">as_of_latest(table, entity_id)</w:t>
            </w:r>
          </w:p>
        </w:tc>
        <w:tc>
          <w:tcPr/>
          <w:p>
            <w:pPr>
              <w:pStyle w:val="Compact"/>
              <w:jc w:val="left"/>
            </w:pPr>
            <w:r>
              <w:t xml:space="preserve">Returns the current valid state (valid_to = infinity, txn_to = infinity). Most common query pattern for dashboards.</w:t>
            </w:r>
          </w:p>
        </w:tc>
      </w:tr>
      <w:tr>
        <w:tc>
          <w:tcPr/>
          <w:p>
            <w:pPr>
              <w:pStyle w:val="Compact"/>
              <w:jc w:val="left"/>
            </w:pPr>
            <w:r>
              <w:rPr>
                <w:bCs/>
                <w:b/>
              </w:rPr>
              <w:t xml:space="preserve">history(table, entity_id)</w:t>
            </w:r>
          </w:p>
        </w:tc>
        <w:tc>
          <w:tcPr/>
          <w:p>
            <w:pPr>
              <w:pStyle w:val="Compact"/>
              <w:jc w:val="left"/>
            </w:pPr>
            <w:r>
              <w:t xml:space="preserve">Returns all historical versions of the entity, ordered by valid_from descending. Used for entity timeline views.</w:t>
            </w:r>
          </w:p>
        </w:tc>
      </w:tr>
      <w:tr>
        <w:tc>
          <w:tcPr/>
          <w:p>
            <w:pPr>
              <w:pStyle w:val="Compact"/>
              <w:jc w:val="left"/>
            </w:pPr>
            <w:r>
              <w:rPr>
                <w:bCs/>
                <w:b/>
              </w:rPr>
              <w:t xml:space="preserve">point_in_time_join(left, right, entity_id, pit_timestamp)</w:t>
            </w:r>
          </w:p>
        </w:tc>
        <w:tc>
          <w:tcPr/>
          <w:p>
            <w:pPr>
              <w:pStyle w:val="Compact"/>
              <w:jc w:val="left"/>
            </w:pPr>
            <w:r>
              <w:t xml:space="preserve">Joins two temporal tables at a specific point in time. Critical for Feature Store (A01) to prevent data leakage in ML training. Returns only the versions of both tables that were valid AND known at the specified timestamp.</w:t>
            </w:r>
          </w:p>
        </w:tc>
      </w:tr>
    </w:tbl>
    <w:bookmarkEnd w:id="47"/>
    <w:bookmarkStart w:id="48" w:name="late-arriving-data"/>
    <w:p>
      <w:pPr>
        <w:pStyle w:val="Heading3"/>
      </w:pPr>
      <w:r>
        <w:t xml:space="preserve">3.2.4 Late-Arriving Data</w:t>
      </w:r>
    </w:p>
    <w:p>
      <w:pPr>
        <w:pStyle w:val="FirstParagraph"/>
      </w:pPr>
      <w:r>
        <w:rPr>
          <w:bCs/>
          <w:b/>
        </w:rPr>
        <w:t xml:space="preserve">F03-FR-030</w:t>
      </w:r>
      <w:r>
        <w:t xml:space="preserve"> </w:t>
      </w:r>
      <w:r>
        <w:t xml:space="preserve">The system SHALL handle data that arrives after the real-world event it describes (late-arriving data). Example: a POS transaction from 10:00 AM arrives at 10:15 AM due to batch sync delay.</w:t>
      </w:r>
    </w:p>
    <w:p>
      <w:pPr>
        <w:pStyle w:val="BodyText"/>
      </w:pPr>
      <w:r>
        <w:rPr>
          <w:bCs/>
          <w:b/>
        </w:rPr>
        <w:t xml:space="preserve">F03-FR-031</w:t>
      </w:r>
      <w:r>
        <w:t xml:space="preserve"> </w:t>
      </w:r>
      <w:r>
        <w:t xml:space="preserve">For each data source, F03 SHALL maintain a configured grace_period (default: 1 hour). Data arriving within the grace period is processed normally. Data arriving after the grace period triggers a LATE_DATA event.</w:t>
      </w:r>
    </w:p>
    <w:p>
      <w:pPr>
        <w:pStyle w:val="BodyText"/>
      </w:pPr>
      <w:r>
        <w:rPr>
          <w:bCs/>
          <w:b/>
        </w:rPr>
        <w:t xml:space="preserve">F03-FR-032</w:t>
      </w:r>
      <w:r>
        <w:t xml:space="preserve"> </w:t>
      </w:r>
      <w:r>
        <w:t xml:space="preserve">When a LATE_DATA event occurs, the system SHALL: (a) insert the record with correct valid_from (the real-world event time, not the arrival time), (b) identify all Gold layer aggregates that cover the time period affected, (c) queue those aggregates for recomputation, (d) log the late-arriving data event for monitoring.</w:t>
      </w:r>
    </w:p>
    <w:p>
      <w:pPr>
        <w:pStyle w:val="BodyText"/>
      </w:pPr>
      <w:r>
        <w:rPr>
          <w:bCs/>
          <w:b/>
        </w:rPr>
        <w:t xml:space="preserve">F03-FR-033</w:t>
      </w:r>
      <w:r>
        <w:t xml:space="preserve"> </w:t>
      </w:r>
      <w:r>
        <w:t xml:space="preserve">The Late Data Monitor SHALL track per-source: percentage of records arriving late, average lateness, max lateness. Alert when late percentage exceeds 5% (configurable per source).</w:t>
      </w:r>
    </w:p>
    <w:bookmarkEnd w:id="48"/>
    <w:bookmarkEnd w:id="49"/>
    <w:bookmarkStart w:id="50" w:name="acceptance-criteria-2"/>
    <w:p>
      <w:pPr>
        <w:pStyle w:val="Heading2"/>
      </w:pPr>
      <w:r>
        <w:t xml:space="preserve">3.3 Acceptance Criteria</w:t>
      </w:r>
    </w:p>
    <w:p>
      <w:pPr>
        <w:pStyle w:val="FirstParagraph"/>
      </w:pPr>
      <w:r>
        <w:t xml:space="preserve">A new Silver layer table created via migration template automatically has all four bi-temporal columns, indexes, and exclusion constraints.</w:t>
      </w:r>
    </w:p>
    <w:p>
      <w:pPr>
        <w:pStyle w:val="BodyText"/>
      </w:pPr>
      <w:r>
        <w:t xml:space="preserve">An entity updated via SCD Type 2 preserves full history: as_of_valid at any past timestamp returns the correct historical state.</w:t>
      </w:r>
    </w:p>
    <w:p>
      <w:pPr>
        <w:pStyle w:val="BodyText"/>
      </w:pPr>
      <w:r>
        <w:t xml:space="preserve">The point_in_time_join function correctly returns only data that was both valid and known at the specified timestamp — verified with a test case where data was corrected retroactively.</w:t>
      </w:r>
    </w:p>
    <w:p>
      <w:pPr>
        <w:pStyle w:val="BodyText"/>
      </w:pPr>
      <w:r>
        <w:t xml:space="preserve">Late-arriving data is correctly placed at its real-world timestamp, not its arrival timestamp, and affected Gold layer aggregates are automatically recomputed.</w:t>
      </w:r>
    </w:p>
    <w:bookmarkEnd w:id="50"/>
    <w:bookmarkEnd w:id="51"/>
    <w:bookmarkStart w:id="58" w:name="f04-configuration-plane"/>
    <w:p>
      <w:pPr>
        <w:pStyle w:val="Heading1"/>
      </w:pPr>
      <w:r>
        <w:t xml:space="preserve">F04 — Configuration Plane</w:t>
      </w:r>
    </w:p>
    <w:tbl>
      <w:tblPr>
        <w:tblStyle w:val="Table"/>
        <w:tblW w:type="pct" w:w="4890"/>
        <w:tblLook w:firstRow="0" w:lastRow="0" w:firstColumn="0" w:lastColumn="0" w:noHBand="0" w:noVBand="0" w:val="0000"/>
        <w:jc w:val="start"/>
      </w:tblPr>
      <w:tblGrid>
        <w:gridCol w:w="1914"/>
        <w:gridCol w:w="5831"/>
      </w:tblGrid>
      <w:t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rPr>
                <w:bCs/>
                <w:b/>
              </w:rPr>
              <w:t xml:space="preserve">Module ID</w:t>
            </w:r>
          </w:p>
        </w:tc>
        <w:tc>
          <w:tcPr/>
          <w:p>
            <w:pPr>
              <w:pStyle w:val="Compact"/>
              <w:jc w:val="left"/>
            </w:pPr>
            <w:r>
              <w:t xml:space="preserve">F04</w:t>
            </w:r>
          </w:p>
        </w:tc>
      </w:tr>
      <w:tr>
        <w:tc>
          <w:tcPr/>
          <w:p>
            <w:pPr>
              <w:pStyle w:val="Compact"/>
              <w:jc w:val="left"/>
            </w:pPr>
            <w:r>
              <w:rPr>
                <w:bCs/>
                <w:b/>
              </w:rPr>
              <w:t xml:space="preserve">Phase</w:t>
            </w:r>
          </w:p>
        </w:tc>
        <w:tc>
          <w:tcPr/>
          <w:p>
            <w:pPr>
              <w:pStyle w:val="Compact"/>
              <w:jc w:val="left"/>
            </w:pPr>
            <w:r>
              <w:t xml:space="preserve">0</w:t>
            </w:r>
          </w:p>
        </w:tc>
      </w:tr>
      <w:tr>
        <w:tc>
          <w:tcPr/>
          <w:p>
            <w:pPr>
              <w:pStyle w:val="Compact"/>
              <w:jc w:val="left"/>
            </w:pPr>
            <w:r>
              <w:rPr>
                <w:bCs/>
                <w:b/>
              </w:rPr>
              <w:t xml:space="preserve">Dependencies</w:t>
            </w:r>
          </w:p>
        </w:tc>
        <w:tc>
          <w:tcPr/>
          <w:p>
            <w:pPr>
              <w:pStyle w:val="Compact"/>
              <w:jc w:val="left"/>
            </w:pPr>
            <w:r>
              <w:t xml:space="preserve">F01</w:t>
            </w:r>
          </w:p>
        </w:tc>
      </w:tr>
      <w:tr>
        <w:tc>
          <w:tcPr/>
          <w:p>
            <w:pPr>
              <w:pStyle w:val="Compact"/>
              <w:jc w:val="left"/>
            </w:pPr>
            <w:r>
              <w:rPr>
                <w:bCs/>
                <w:b/>
              </w:rPr>
              <w:t xml:space="preserve">Depended On By</w:t>
            </w:r>
          </w:p>
        </w:tc>
        <w:tc>
          <w:tcPr/>
          <w:p>
            <w:pPr>
              <w:pStyle w:val="Compact"/>
              <w:jc w:val="left"/>
            </w:pPr>
            <w:r>
              <w:t xml:space="preserve">F05, D02, D03, IC01, AC04, PR01, A02 (most configurable modules)</w:t>
            </w:r>
          </w:p>
        </w:tc>
      </w:tr>
    </w:tbl>
    <w:bookmarkStart w:id="52" w:name="purpose-3"/>
    <w:p>
      <w:pPr>
        <w:pStyle w:val="Heading2"/>
      </w:pPr>
      <w:r>
        <w:t xml:space="preserve">4.1 Purpose</w:t>
      </w:r>
    </w:p>
    <w:p>
      <w:pPr>
        <w:pStyle w:val="FirstParagraph"/>
      </w:pPr>
      <w:r>
        <w:t xml:space="preserve">F04 is the system that manages the system. Every configurable element in the platform — canonical mappings, hierarchies, algorithm parameters, RBAC policies, ontology definitions, compliance rules, alert thresholds, theme configurations, data contracts — is stored, versioned, validated, and deployed through F04. It provides a unified configuration lifecycle: draft → validate → test → promote → rollback.</w:t>
      </w:r>
    </w:p>
    <w:bookmarkEnd w:id="52"/>
    <w:bookmarkStart w:id="56" w:name="functional-requirements-3"/>
    <w:p>
      <w:pPr>
        <w:pStyle w:val="Heading2"/>
      </w:pPr>
      <w:r>
        <w:t xml:space="preserve">4.2 Functional Requirements</w:t>
      </w:r>
    </w:p>
    <w:bookmarkStart w:id="53" w:name="configuration-store"/>
    <w:p>
      <w:pPr>
        <w:pStyle w:val="Heading3"/>
      </w:pPr>
      <w:r>
        <w:t xml:space="preserve">4.2.1 Configuration Store</w:t>
      </w:r>
    </w:p>
    <w:p>
      <w:pPr>
        <w:pStyle w:val="FirstParagraph"/>
      </w:pPr>
      <w:r>
        <w:rPr>
          <w:bCs/>
          <w:b/>
        </w:rPr>
        <w:t xml:space="preserve">F04-FR-001</w:t>
      </w:r>
      <w:r>
        <w:t xml:space="preserve"> </w:t>
      </w:r>
      <w:r>
        <w:t xml:space="preserve">All platform configurations SHALL be stored in a structured configuration store with the following schema:</w:t>
      </w:r>
    </w:p>
    <w:tbl>
      <w:tblPr>
        <w:tblStyle w:val="Table"/>
        <w:tblW w:type="pct" w:w="4965"/>
        <w:tblLook w:firstRow="0" w:lastRow="0" w:firstColumn="0" w:lastColumn="0" w:noHBand="0" w:noVBand="0" w:val="0000"/>
        <w:jc w:val="start"/>
      </w:tblPr>
      <w:tblGrid>
        <w:gridCol w:w="579"/>
        <w:gridCol w:w="413"/>
        <w:gridCol w:w="607"/>
        <w:gridCol w:w="6264"/>
      </w:tblGrid>
      <w:tr>
        <w:tc>
          <w:tcPr/>
          <w:p>
            <w:pPr>
              <w:pStyle w:val="Compact"/>
              <w:jc w:val="left"/>
            </w:pPr>
            <w:r>
              <w:rPr>
                <w:bCs/>
                <w:b/>
              </w:rPr>
              <w:t xml:space="preserve">Table</w:t>
            </w:r>
          </w:p>
        </w:tc>
        <w:tc>
          <w:tcPr/>
          <w:p>
            <w:pPr>
              <w:pStyle w:val="Compact"/>
              <w:jc w:val="left"/>
            </w:pPr>
            <w:r>
              <w:rPr>
                <w:bCs/>
                <w:b/>
              </w:rPr>
              <w:t xml:space="preserve">Column</w:t>
            </w:r>
          </w:p>
        </w:tc>
        <w:tc>
          <w:tcPr/>
          <w:p>
            <w:pPr>
              <w:pStyle w:val="Compact"/>
              <w:jc w:val="left"/>
            </w:pPr>
            <w:r>
              <w:rPr>
                <w:bCs/>
                <w:b/>
              </w:rPr>
              <w:t xml:space="preserve">Type</w:t>
            </w:r>
          </w:p>
        </w:tc>
        <w:tc>
          <w:tcPr/>
          <w:p>
            <w:pPr>
              <w:pStyle w:val="Compact"/>
              <w:jc w:val="left"/>
            </w:pPr>
            <w:r>
              <w:rPr>
                <w:bCs/>
                <w:b/>
              </w:rPr>
              <w:t xml:space="preserve">Description</w:t>
            </w:r>
          </w:p>
        </w:tc>
      </w:tr>
      <w:tr>
        <w:tc>
          <w:tcPr/>
          <w:p>
            <w:pPr>
              <w:pStyle w:val="Compact"/>
              <w:jc w:val="left"/>
            </w:pPr>
            <w:r>
              <w:rPr>
                <w:bCs/>
                <w:b/>
              </w:rPr>
              <w:t xml:space="preserve">config_entries</w:t>
            </w:r>
          </w:p>
        </w:tc>
        <w:tc>
          <w:tcPr/>
          <w:p>
            <w:pPr>
              <w:pStyle w:val="Compact"/>
              <w:jc w:val="left"/>
            </w:pPr>
            <w:r>
              <w:t xml:space="preserve">config_id</w:t>
            </w:r>
          </w:p>
        </w:tc>
        <w:tc>
          <w:tcPr/>
          <w:p>
            <w:pPr>
              <w:pStyle w:val="Compact"/>
              <w:jc w:val="left"/>
            </w:pPr>
            <w:r>
              <w:t xml:space="preserve">UUID (PK)</w:t>
            </w:r>
          </w:p>
        </w:tc>
        <w:tc>
          <w:tcPr/>
          <w:p>
            <w:pPr>
              <w:pStyle w:val="Compact"/>
              <w:jc w:val="left"/>
            </w:pPr>
            <w:r>
              <w:t xml:space="preserve">Unique configuration identifier.</w:t>
            </w:r>
          </w:p>
        </w:tc>
      </w:tr>
      <w:tr>
        <w:tc>
          <w:tcPr/>
          <w:p>
            <w:pPr>
              <w:pStyle w:val="Compact"/>
            </w:pPr>
          </w:p>
        </w:tc>
        <w:tc>
          <w:tcPr/>
          <w:p>
            <w:pPr>
              <w:pStyle w:val="Compact"/>
              <w:jc w:val="left"/>
            </w:pPr>
            <w:r>
              <w:t xml:space="preserve">tenant_id</w:t>
            </w:r>
          </w:p>
        </w:tc>
        <w:tc>
          <w:tcPr/>
          <w:p>
            <w:pPr>
              <w:pStyle w:val="Compact"/>
              <w:jc w:val="left"/>
            </w:pPr>
            <w:r>
              <w:t xml:space="preserve">UUID (FK, nullable)</w:t>
            </w:r>
          </w:p>
        </w:tc>
        <w:tc>
          <w:tcPr/>
          <w:p>
            <w:pPr>
              <w:pStyle w:val="Compact"/>
              <w:jc w:val="left"/>
            </w:pPr>
            <w:r>
              <w:t xml:space="preserve">NULL = platform-level config. Non-null = tenant-specific config.</w:t>
            </w:r>
          </w:p>
        </w:tc>
      </w:tr>
      <w:tr>
        <w:tc>
          <w:tcPr/>
          <w:p>
            <w:pPr>
              <w:pStyle w:val="Compact"/>
            </w:pPr>
          </w:p>
        </w:tc>
        <w:tc>
          <w:tcPr/>
          <w:p>
            <w:pPr>
              <w:pStyle w:val="Compact"/>
              <w:jc w:val="left"/>
            </w:pPr>
            <w:r>
              <w:t xml:space="preserve">config_type</w:t>
            </w:r>
          </w:p>
        </w:tc>
        <w:tc>
          <w:tcPr/>
          <w:p>
            <w:pPr>
              <w:pStyle w:val="Compact"/>
              <w:jc w:val="left"/>
            </w:pPr>
            <w:r>
              <w:t xml:space="preserve">VARCHAR</w:t>
            </w:r>
          </w:p>
        </w:tc>
        <w:tc>
          <w:tcPr/>
          <w:p>
            <w:pPr>
              <w:pStyle w:val="Compact"/>
              <w:jc w:val="left"/>
            </w:pPr>
            <w:r>
              <w:t xml:space="preserve">Type discriminator: 'MAPPING_RULE', 'HIERARCHY', 'RBAC_POLICY', 'ONTOLOGY', 'KPI', 'ALERT_RULE', 'THEME', 'DATA_CONTRACT', 'ALGORITHM_PARAMS', 'COMPLIANCE_RULE', 'RETENTION_POLICY', 'CONSENT_PURPOSE'.</w:t>
            </w:r>
          </w:p>
        </w:tc>
      </w:tr>
      <w:tr>
        <w:tc>
          <w:tcPr/>
          <w:p>
            <w:pPr>
              <w:pStyle w:val="Compact"/>
            </w:pPr>
          </w:p>
        </w:tc>
        <w:tc>
          <w:tcPr/>
          <w:p>
            <w:pPr>
              <w:pStyle w:val="Compact"/>
              <w:jc w:val="left"/>
            </w:pPr>
            <w:r>
              <w:t xml:space="preserve">config_key</w:t>
            </w:r>
          </w:p>
        </w:tc>
        <w:tc>
          <w:tcPr/>
          <w:p>
            <w:pPr>
              <w:pStyle w:val="Compact"/>
              <w:jc w:val="left"/>
            </w:pPr>
            <w:r>
              <w:t xml:space="preserve">VARCHAR</w:t>
            </w:r>
          </w:p>
        </w:tc>
        <w:tc>
          <w:tcPr/>
          <w:p>
            <w:pPr>
              <w:pStyle w:val="Compact"/>
              <w:jc w:val="left"/>
            </w:pPr>
            <w:r>
              <w:t xml:space="preserve">Unique key within (tenant_id, config_type). E.g., 'salesforce_crm_customer_mapping' for a mapping rule.</w:t>
            </w:r>
          </w:p>
        </w:tc>
      </w:tr>
      <w:tr>
        <w:tc>
          <w:tcPr/>
          <w:p>
            <w:pPr>
              <w:pStyle w:val="Compact"/>
            </w:pPr>
          </w:p>
        </w:tc>
        <w:tc>
          <w:tcPr/>
          <w:p>
            <w:pPr>
              <w:pStyle w:val="Compact"/>
              <w:jc w:val="left"/>
            </w:pPr>
            <w:r>
              <w:t xml:space="preserve">config_value</w:t>
            </w:r>
          </w:p>
        </w:tc>
        <w:tc>
          <w:tcPr/>
          <w:p>
            <w:pPr>
              <w:pStyle w:val="Compact"/>
              <w:jc w:val="left"/>
            </w:pPr>
            <w:r>
              <w:t xml:space="preserve">JSONB</w:t>
            </w:r>
          </w:p>
        </w:tc>
        <w:tc>
          <w:tcPr/>
          <w:p>
            <w:pPr>
              <w:pStyle w:val="Compact"/>
              <w:jc w:val="left"/>
            </w:pPr>
            <w:r>
              <w:t xml:space="preserve">The configuration payload. Schema depends on config_type. Validated against the config_type’s JSON Schema before save.</w:t>
            </w:r>
          </w:p>
        </w:tc>
      </w:tr>
      <w:tr>
        <w:tc>
          <w:tcPr/>
          <w:p>
            <w:pPr>
              <w:pStyle w:val="Compact"/>
            </w:pPr>
          </w:p>
        </w:tc>
        <w:tc>
          <w:tcPr/>
          <w:p>
            <w:pPr>
              <w:pStyle w:val="Compact"/>
              <w:jc w:val="left"/>
            </w:pPr>
            <w:r>
              <w:t xml:space="preserve">version</w:t>
            </w:r>
          </w:p>
        </w:tc>
        <w:tc>
          <w:tcPr/>
          <w:p>
            <w:pPr>
              <w:pStyle w:val="Compact"/>
              <w:jc w:val="left"/>
            </w:pPr>
            <w:r>
              <w:t xml:space="preserve">INT</w:t>
            </w:r>
          </w:p>
        </w:tc>
        <w:tc>
          <w:tcPr/>
          <w:p>
            <w:pPr>
              <w:pStyle w:val="Compact"/>
              <w:jc w:val="left"/>
            </w:pPr>
            <w:r>
              <w:t xml:space="preserve">Auto-incrementing version number. Every save creates a new version.</w:t>
            </w:r>
          </w:p>
        </w:tc>
      </w:tr>
      <w:tr>
        <w:tc>
          <w:tcPr/>
          <w:p>
            <w:pPr>
              <w:pStyle w:val="Compact"/>
            </w:pPr>
          </w:p>
        </w:tc>
        <w:tc>
          <w:tcPr/>
          <w:p>
            <w:pPr>
              <w:pStyle w:val="Compact"/>
              <w:jc w:val="left"/>
            </w:pPr>
            <w:r>
              <w:t xml:space="preserve">status</w:t>
            </w:r>
          </w:p>
        </w:tc>
        <w:tc>
          <w:tcPr/>
          <w:p>
            <w:pPr>
              <w:pStyle w:val="Compact"/>
              <w:jc w:val="left"/>
            </w:pPr>
            <w:r>
              <w:t xml:space="preserve">ENUM</w:t>
            </w:r>
          </w:p>
        </w:tc>
        <w:tc>
          <w:tcPr/>
          <w:p>
            <w:pPr>
              <w:pStyle w:val="Compact"/>
              <w:jc w:val="left"/>
            </w:pPr>
            <w:r>
              <w:t xml:space="preserve">'DRAFT', 'TESTING', 'ACTIVE', 'DEPRECATED', 'ROLLED_BACK'.</w:t>
            </w:r>
          </w:p>
        </w:tc>
      </w:tr>
      <w:tr>
        <w:tc>
          <w:tcPr/>
          <w:p>
            <w:pPr>
              <w:pStyle w:val="Compact"/>
            </w:pPr>
          </w:p>
        </w:tc>
        <w:tc>
          <w:tcPr/>
          <w:p>
            <w:pPr>
              <w:pStyle w:val="Compact"/>
              <w:jc w:val="left"/>
            </w:pPr>
            <w:r>
              <w:t xml:space="preserve">created_by</w:t>
            </w:r>
          </w:p>
        </w:tc>
        <w:tc>
          <w:tcPr/>
          <w:p>
            <w:pPr>
              <w:pStyle w:val="Compact"/>
              <w:jc w:val="left"/>
            </w:pPr>
            <w:r>
              <w:t xml:space="preserve">UUID</w:t>
            </w:r>
          </w:p>
        </w:tc>
        <w:tc>
          <w:tcPr/>
          <w:p>
            <w:pPr>
              <w:pStyle w:val="Compact"/>
              <w:jc w:val="left"/>
            </w:pPr>
            <w:r>
              <w:t xml:space="preserve">User who created this version.</w:t>
            </w:r>
          </w:p>
        </w:tc>
      </w:tr>
      <w:tr>
        <w:tc>
          <w:tcPr/>
          <w:p>
            <w:pPr>
              <w:pStyle w:val="Compact"/>
            </w:pPr>
          </w:p>
        </w:tc>
        <w:tc>
          <w:tcPr/>
          <w:p>
            <w:pPr>
              <w:pStyle w:val="Compact"/>
              <w:jc w:val="left"/>
            </w:pPr>
            <w:r>
              <w:t xml:space="preserve">created_at</w:t>
            </w:r>
          </w:p>
        </w:tc>
        <w:tc>
          <w:tcPr/>
          <w:p>
            <w:pPr>
              <w:pStyle w:val="Compact"/>
              <w:jc w:val="left"/>
            </w:pPr>
            <w:r>
              <w:t xml:space="preserve">TIMESTAMPTZ</w:t>
            </w:r>
          </w:p>
        </w:tc>
        <w:tc>
          <w:tcPr/>
          <w:p>
            <w:pPr>
              <w:pStyle w:val="Compact"/>
              <w:jc w:val="left"/>
            </w:pPr>
            <w:r>
              <w:t xml:space="preserve">Version creation timestamp.</w:t>
            </w:r>
          </w:p>
        </w:tc>
      </w:tr>
      <w:tr>
        <w:tc>
          <w:tcPr/>
          <w:p>
            <w:pPr>
              <w:pStyle w:val="Compact"/>
            </w:pPr>
          </w:p>
        </w:tc>
        <w:tc>
          <w:tcPr/>
          <w:p>
            <w:pPr>
              <w:pStyle w:val="Compact"/>
              <w:jc w:val="left"/>
            </w:pPr>
            <w:r>
              <w:t xml:space="preserve">activated_at</w:t>
            </w:r>
          </w:p>
        </w:tc>
        <w:tc>
          <w:tcPr/>
          <w:p>
            <w:pPr>
              <w:pStyle w:val="Compact"/>
              <w:jc w:val="left"/>
            </w:pPr>
            <w:r>
              <w:t xml:space="preserve">TIMESTAMPTZ</w:t>
            </w:r>
          </w:p>
        </w:tc>
        <w:tc>
          <w:tcPr/>
          <w:p>
            <w:pPr>
              <w:pStyle w:val="Compact"/>
              <w:jc w:val="left"/>
            </w:pPr>
            <w:r>
              <w:t xml:space="preserve">When this version was promoted to ACTIVE. NULL for non-active versions.</w:t>
            </w:r>
          </w:p>
        </w:tc>
      </w:tr>
      <w:tr>
        <w:tc>
          <w:tcPr/>
          <w:p>
            <w:pPr>
              <w:pStyle w:val="Compact"/>
            </w:pPr>
          </w:p>
        </w:tc>
        <w:tc>
          <w:tcPr/>
          <w:p>
            <w:pPr>
              <w:pStyle w:val="Compact"/>
              <w:jc w:val="left"/>
            </w:pPr>
            <w:r>
              <w:t xml:space="preserve">label</w:t>
            </w:r>
          </w:p>
        </w:tc>
        <w:tc>
          <w:tcPr/>
          <w:p>
            <w:pPr>
              <w:pStyle w:val="Compact"/>
              <w:jc w:val="left"/>
            </w:pPr>
            <w:r>
              <w:t xml:space="preserve">VARCHAR(255)</w:t>
            </w:r>
          </w:p>
        </w:tc>
        <w:tc>
          <w:tcPr/>
          <w:p>
            <w:pPr>
              <w:pStyle w:val="Compact"/>
              <w:jc w:val="left"/>
            </w:pPr>
            <w:r>
              <w:t xml:space="preserve">Optional human-readable label (e.g., 'Holiday theme', 'Q3 mapping update').</w:t>
            </w:r>
          </w:p>
        </w:tc>
      </w:tr>
    </w:tbl>
    <w:p>
      <w:pPr>
        <w:pStyle w:val="BodyText"/>
      </w:pPr>
      <w:r>
        <w:rPr>
          <w:bCs/>
          <w:b/>
        </w:rPr>
        <w:t xml:space="preserve">F04-FR-002</w:t>
      </w:r>
      <w:r>
        <w:t xml:space="preserve"> </w:t>
      </w:r>
      <w:r>
        <w:t xml:space="preserve">Configuration resolution SHALL follow a three-tier hierarchy: (1) Tenant-specific config (if exists), (2) Industry vertical default (if exists), (3) Platform default. The resolver returns the most specific config available. This enables a tenant to inherit industry defaults but override specific settings.</w:t>
      </w:r>
    </w:p>
    <w:p>
      <w:pPr>
        <w:pStyle w:val="BodyText"/>
      </w:pPr>
      <w:r>
        <w:rPr>
          <w:bCs/>
          <w:b/>
        </w:rPr>
        <w:t xml:space="preserve">F04-FR-003</w:t>
      </w:r>
      <w:r>
        <w:t xml:space="preserve"> </w:t>
      </w:r>
      <w:r>
        <w:t xml:space="preserve">Every configuration change SHALL create a new version (immutable versioning). Previous versions are never overwritten. This enables full audit trail and rollback to any previous version.</w:t>
      </w:r>
    </w:p>
    <w:p>
      <w:pPr>
        <w:pStyle w:val="BodyText"/>
      </w:pPr>
      <w:r>
        <w:rPr>
          <w:bCs/>
          <w:b/>
        </w:rPr>
        <w:t xml:space="preserve">F04-FR-004</w:t>
      </w:r>
      <w:r>
        <w:t xml:space="preserve"> </w:t>
      </w:r>
      <w:r>
        <w:t xml:space="preserve">Before a configuration is promoted to ACTIVE, the system SHALL validate it against the config_type’s JSON Schema. Invalid configurations SHALL be rejected with a detailed validation error.</w:t>
      </w:r>
    </w:p>
    <w:p>
      <w:pPr>
        <w:pStyle w:val="BodyText"/>
      </w:pPr>
      <w:r>
        <w:rPr>
          <w:bCs/>
          <w:b/>
        </w:rPr>
        <w:t xml:space="preserve">F04-FR-005</w:t>
      </w:r>
      <w:r>
        <w:t xml:space="preserve"> </w:t>
      </w:r>
      <w:r>
        <w:t xml:space="preserve">Configuration promotion (DRAFT → ACTIVE) SHALL support two modes: (a) Immediate: the new version becomes ACTIVE instantly (previous version moves to DEPRECATED), suitable for low-risk configs like theme changes. (b) Staged: the new version enters TESTING status, runs against a data sample, admin reviews impact preview, then explicitly promotes to ACTIVE. Suitable for mapping rules, algorithm parameters, and compliance rules.</w:t>
      </w:r>
    </w:p>
    <w:p>
      <w:pPr>
        <w:pStyle w:val="BodyText"/>
      </w:pPr>
      <w:r>
        <w:rPr>
          <w:bCs/>
          <w:b/>
        </w:rPr>
        <w:t xml:space="preserve">F04-FR-006</w:t>
      </w:r>
      <w:r>
        <w:t xml:space="preserve"> </w:t>
      </w:r>
      <w:r>
        <w:t xml:space="preserve">Rollback SHALL be a one-click operation: select a previous version → system validates it still passes current schema → previous version becomes ACTIVE, current version moves to ROLLED_BACK. Rollback is immediate.</w:t>
      </w:r>
    </w:p>
    <w:bookmarkEnd w:id="53"/>
    <w:bookmarkStart w:id="54" w:name="configuration-impact-analysis"/>
    <w:p>
      <w:pPr>
        <w:pStyle w:val="Heading3"/>
      </w:pPr>
      <w:r>
        <w:t xml:space="preserve">4.2.2 Configuration Impact Analysis</w:t>
      </w:r>
    </w:p>
    <w:p>
      <w:pPr>
        <w:pStyle w:val="FirstParagraph"/>
      </w:pPr>
      <w:r>
        <w:rPr>
          <w:bCs/>
          <w:b/>
        </w:rPr>
        <w:t xml:space="preserve">F04-FR-010</w:t>
      </w:r>
      <w:r>
        <w:t xml:space="preserve"> </w:t>
      </w:r>
      <w:r>
        <w:t xml:space="preserve">Before promoting or rolling back a configuration, the system SHALL generate an Impact Analysis Report showing: (a) which downstream modules consume this config, (b) which data pipelines, algorithms, dashboards, and KPIs will be affected, (c) estimated scope: number of records, tenants, or users affected, (d) diff between the current ACTIVE version and the proposed version.</w:t>
      </w:r>
    </w:p>
    <w:p>
      <w:pPr>
        <w:pStyle w:val="BodyText"/>
      </w:pPr>
      <w:r>
        <w:rPr>
          <w:bCs/>
          <w:b/>
        </w:rPr>
        <w:t xml:space="preserve">F04-FR-011</w:t>
      </w:r>
      <w:r>
        <w:t xml:space="preserve"> </w:t>
      </w:r>
      <w:r>
        <w:t xml:space="preserve">The impact analysis SHALL be computed by maintaining a Configuration Dependency Graph: config_entry → [list of consuming modules/pipelines/algorithms]. This graph is updated whenever a module registers a config dependency.</w:t>
      </w:r>
    </w:p>
    <w:bookmarkEnd w:id="54"/>
    <w:bookmarkStart w:id="55" w:name="configuration-as-code-sync"/>
    <w:p>
      <w:pPr>
        <w:pStyle w:val="Heading3"/>
      </w:pPr>
      <w:r>
        <w:t xml:space="preserve">4.2.3 Configuration-as-Code Sync</w:t>
      </w:r>
    </w:p>
    <w:p>
      <w:pPr>
        <w:pStyle w:val="FirstParagraph"/>
      </w:pPr>
      <w:r>
        <w:rPr>
          <w:bCs/>
          <w:b/>
        </w:rPr>
        <w:t xml:space="preserve">F04-FR-020</w:t>
      </w:r>
      <w:r>
        <w:t xml:space="preserve"> </w:t>
      </w:r>
      <w:r>
        <w:t xml:space="preserve">Platform-level and industry-level configurations SHALL be exportable to YAML/JSON files and storable in a Git repository. Changes made via Git (PR-based workflow) SHALL sync to the configuration store via a Git-to-Config webhook.</w:t>
      </w:r>
    </w:p>
    <w:p>
      <w:pPr>
        <w:pStyle w:val="BodyText"/>
      </w:pPr>
      <w:r>
        <w:rPr>
          <w:bCs/>
          <w:b/>
        </w:rPr>
        <w:t xml:space="preserve">F04-FR-021</w:t>
      </w:r>
      <w:r>
        <w:t xml:space="preserve"> </w:t>
      </w:r>
      <w:r>
        <w:t xml:space="preserve">Tenant-level configurations SHALL be manageable via the Admin Console UI (primary) and optionally via API (for Enterprise tenants with CI/CD integration). Git-based management of tenant configs is optional and available only to Enterprise tier.</w:t>
      </w:r>
    </w:p>
    <w:p>
      <w:pPr>
        <w:pStyle w:val="BlockText"/>
      </w:pPr>
      <w:r>
        <w:rPr>
          <w:iCs/>
          <w:i/>
        </w:rPr>
        <w:t xml:space="preserve">⚠ QUESTION FOR SEEMA: Do you want the initial implementation to support Git-based config management, or is the Admin Console UI sufficient for launch? Git-based config adds engineering effort but is valuable for Sevyn8’s own internal workflow (managing platform and industry configs). Tenant-facing Git sync can come later.</w:t>
      </w:r>
    </w:p>
    <w:bookmarkEnd w:id="55"/>
    <w:bookmarkEnd w:id="56"/>
    <w:bookmarkStart w:id="57" w:name="acceptance-criteria-3"/>
    <w:p>
      <w:pPr>
        <w:pStyle w:val="Heading2"/>
      </w:pPr>
      <w:r>
        <w:t xml:space="preserve">4.3 Acceptance Criteria</w:t>
      </w:r>
    </w:p>
    <w:p>
      <w:pPr>
        <w:pStyle w:val="FirstParagraph"/>
      </w:pPr>
      <w:r>
        <w:t xml:space="preserve">A configuration change can be drafted, validated, promoted, and rolled back entirely through the Admin Console UI without engineering involvement.</w:t>
      </w:r>
    </w:p>
    <w:p>
      <w:pPr>
        <w:pStyle w:val="BodyText"/>
      </w:pPr>
      <w:r>
        <w:t xml:space="preserve">Rolling back a mapping rule to a previous version immediately restores the previous mapping behavior for the next ingestion run.</w:t>
      </w:r>
    </w:p>
    <w:p>
      <w:pPr>
        <w:pStyle w:val="BodyText"/>
      </w:pPr>
      <w:r>
        <w:t xml:space="preserve">The Impact Analysis Report correctly identifies all downstream consumers of a changed configuration.</w:t>
      </w:r>
    </w:p>
    <w:p>
      <w:pPr>
        <w:pStyle w:val="BodyText"/>
      </w:pPr>
      <w:r>
        <w:t xml:space="preserve">Three-tier resolution works: a tenant sees industry defaults until they create a tenant-specific override.</w:t>
      </w:r>
    </w:p>
    <w:p>
      <w:pPr>
        <w:pStyle w:val="BodyText"/>
      </w:pPr>
      <w:r>
        <w:t xml:space="preserve">Configuration history shows the full version chain with diffs between any two versions.</w:t>
      </w:r>
    </w:p>
    <w:bookmarkEnd w:id="57"/>
    <w:bookmarkEnd w:id="58"/>
    <w:bookmarkStart w:id="65" w:name="f05-schema-evolution-engine"/>
    <w:p>
      <w:pPr>
        <w:pStyle w:val="Heading1"/>
      </w:pPr>
      <w:r>
        <w:t xml:space="preserve">F05 — Schema Evolution Engine</w:t>
      </w:r>
    </w:p>
    <w:tbl>
      <w:tblPr>
        <w:tblStyle w:val="Table"/>
        <w:tblW w:type="pct" w:w="4875"/>
        <w:tblLook w:firstRow="0" w:lastRow="0" w:firstColumn="0" w:lastColumn="0" w:noHBand="0" w:noVBand="0" w:val="0000"/>
        <w:jc w:val="start"/>
      </w:tblPr>
      <w:tblGrid>
        <w:gridCol w:w="2178"/>
        <w:gridCol w:w="5544"/>
      </w:tblGrid>
      <w:t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rPr>
                <w:bCs/>
                <w:b/>
              </w:rPr>
              <w:t xml:space="preserve">Module ID</w:t>
            </w:r>
          </w:p>
        </w:tc>
        <w:tc>
          <w:tcPr/>
          <w:p>
            <w:pPr>
              <w:pStyle w:val="Compact"/>
              <w:jc w:val="left"/>
            </w:pPr>
            <w:r>
              <w:t xml:space="preserve">F05</w:t>
            </w:r>
          </w:p>
        </w:tc>
      </w:tr>
      <w:tr>
        <w:tc>
          <w:tcPr/>
          <w:p>
            <w:pPr>
              <w:pStyle w:val="Compact"/>
              <w:jc w:val="left"/>
            </w:pPr>
            <w:r>
              <w:rPr>
                <w:bCs/>
                <w:b/>
              </w:rPr>
              <w:t xml:space="preserve">Phase</w:t>
            </w:r>
          </w:p>
        </w:tc>
        <w:tc>
          <w:tcPr/>
          <w:p>
            <w:pPr>
              <w:pStyle w:val="Compact"/>
              <w:jc w:val="left"/>
            </w:pPr>
            <w:r>
              <w:t xml:space="preserve">1</w:t>
            </w:r>
          </w:p>
        </w:tc>
      </w:tr>
      <w:tr>
        <w:tc>
          <w:tcPr/>
          <w:p>
            <w:pPr>
              <w:pStyle w:val="Compact"/>
              <w:jc w:val="left"/>
            </w:pPr>
            <w:r>
              <w:rPr>
                <w:bCs/>
                <w:b/>
              </w:rPr>
              <w:t xml:space="preserve">Dependencies</w:t>
            </w:r>
          </w:p>
        </w:tc>
        <w:tc>
          <w:tcPr/>
          <w:p>
            <w:pPr>
              <w:pStyle w:val="Compact"/>
              <w:jc w:val="left"/>
            </w:pPr>
            <w:r>
              <w:t xml:space="preserve">F04 (Configuration Plane), D01 (Canonical Data Model)</w:t>
            </w:r>
          </w:p>
        </w:tc>
      </w:tr>
      <w:tr>
        <w:tc>
          <w:tcPr/>
          <w:p>
            <w:pPr>
              <w:pStyle w:val="Compact"/>
              <w:jc w:val="left"/>
            </w:pPr>
            <w:r>
              <w:rPr>
                <w:bCs/>
                <w:b/>
              </w:rPr>
              <w:t xml:space="preserve">Depended On By</w:t>
            </w:r>
          </w:p>
        </w:tc>
        <w:tc>
          <w:tcPr/>
          <w:p>
            <w:pPr>
              <w:pStyle w:val="Compact"/>
              <w:jc w:val="left"/>
            </w:pPr>
            <w:r>
              <w:t xml:space="preserve">A01 (Feature Store), A04 (Model Lifecycle Manager)</w:t>
            </w:r>
          </w:p>
        </w:tc>
      </w:tr>
    </w:tbl>
    <w:bookmarkStart w:id="59" w:name="purpose-4"/>
    <w:p>
      <w:pPr>
        <w:pStyle w:val="Heading2"/>
      </w:pPr>
      <w:r>
        <w:t xml:space="preserve">5.1 Purpose</w:t>
      </w:r>
    </w:p>
    <w:p>
      <w:pPr>
        <w:pStyle w:val="FirstParagraph"/>
      </w:pPr>
      <w:r>
        <w:t xml:space="preserve">F05 manages how the canonical data model (D01) evolves over time without breaking existing analytics, algorithms, and tenant configurations. As new industry verticals are added, new entity types emerge, and source systems change, the canonical schema must evolve. F05 classifies changes, manages migrations, ensures backward compatibility, and coordinates with downstream consumers (Feature Store, algorithms) to prevent silent breakage.</w:t>
      </w:r>
    </w:p>
    <w:bookmarkEnd w:id="59"/>
    <w:bookmarkStart w:id="63" w:name="functional-requirements-4"/>
    <w:p>
      <w:pPr>
        <w:pStyle w:val="Heading2"/>
      </w:pPr>
      <w:r>
        <w:t xml:space="preserve">5.2 Functional Requirements</w:t>
      </w:r>
    </w:p>
    <w:bookmarkStart w:id="60" w:name="change-classification"/>
    <w:p>
      <w:pPr>
        <w:pStyle w:val="Heading3"/>
      </w:pPr>
      <w:r>
        <w:t xml:space="preserve">5.2.1 Change Classification</w:t>
      </w:r>
    </w:p>
    <w:p>
      <w:pPr>
        <w:pStyle w:val="FirstParagraph"/>
      </w:pPr>
      <w:r>
        <w:rPr>
          <w:bCs/>
          <w:b/>
        </w:rPr>
        <w:t xml:space="preserve">F05-FR-001</w:t>
      </w:r>
      <w:r>
        <w:t xml:space="preserve"> </w:t>
      </w:r>
      <w:r>
        <w:t xml:space="preserve">Every proposed schema change SHALL be automatically classified into one of three categories:</w:t>
      </w:r>
    </w:p>
    <w:tbl>
      <w:tblPr>
        <w:tblStyle w:val="Table"/>
        <w:tblW w:type="pct" w:w="4969"/>
        <w:tblLook w:firstRow="0" w:lastRow="0" w:firstColumn="0" w:lastColumn="0" w:noHBand="0" w:noVBand="0" w:val="0000"/>
        <w:jc w:val="start"/>
      </w:tblPr>
      <w:tblGrid>
        <w:gridCol w:w="631"/>
        <w:gridCol w:w="3304"/>
        <w:gridCol w:w="3935"/>
      </w:tblGrid>
      <w:tr>
        <w:tc>
          <w:tcPr/>
          <w:p>
            <w:pPr>
              <w:pStyle w:val="Compact"/>
              <w:jc w:val="left"/>
            </w:pPr>
            <w:r>
              <w:rPr>
                <w:bCs/>
                <w:b/>
              </w:rPr>
              <w:t xml:space="preserve">Category</w:t>
            </w:r>
          </w:p>
        </w:tc>
        <w:tc>
          <w:tcPr/>
          <w:p>
            <w:pPr>
              <w:pStyle w:val="Compact"/>
              <w:jc w:val="left"/>
            </w:pPr>
            <w:r>
              <w:rPr>
                <w:bCs/>
                <w:b/>
              </w:rPr>
              <w:t xml:space="preserve">Examples</w:t>
            </w:r>
          </w:p>
        </w:tc>
        <w:tc>
          <w:tcPr/>
          <w:p>
            <w:pPr>
              <w:pStyle w:val="Compact"/>
              <w:jc w:val="left"/>
            </w:pPr>
            <w:r>
              <w:rPr>
                <w:bCs/>
                <w:b/>
              </w:rPr>
              <w:t xml:space="preserve">Deployment Rules</w:t>
            </w:r>
          </w:p>
        </w:tc>
      </w:tr>
      <w:tr>
        <w:tc>
          <w:tcPr/>
          <w:p>
            <w:pPr>
              <w:pStyle w:val="Compact"/>
              <w:jc w:val="left"/>
            </w:pPr>
            <w:r>
              <w:rPr>
                <w:bCs/>
                <w:b/>
              </w:rPr>
              <w:t xml:space="preserve">BACKWARD_COMPATIBLE</w:t>
            </w:r>
          </w:p>
        </w:tc>
        <w:tc>
          <w:tcPr/>
          <w:p>
            <w:pPr>
              <w:pStyle w:val="Compact"/>
              <w:jc w:val="left"/>
            </w:pPr>
            <w:r>
              <w:t xml:space="preserve">Adding a new nullable column. Adding a new entity type. Adding a new enum value. Widening a column type (VARCHAR(50) → VARCHAR(100)).</w:t>
            </w:r>
          </w:p>
        </w:tc>
        <w:tc>
          <w:tcPr/>
          <w:p>
            <w:pPr>
              <w:pStyle w:val="Compact"/>
              <w:jc w:val="left"/>
            </w:pPr>
            <w:r>
              <w:t xml:space="preserve">Can be deployed immediately. No migration needed. No tenant notification required. Existing queries continue to work.</w:t>
            </w:r>
          </w:p>
        </w:tc>
      </w:tr>
      <w:tr>
        <w:tc>
          <w:tcPr/>
          <w:p>
            <w:pPr>
              <w:pStyle w:val="Compact"/>
              <w:jc w:val="left"/>
            </w:pPr>
            <w:r>
              <w:rPr>
                <w:bCs/>
                <w:b/>
              </w:rPr>
              <w:t xml:space="preserve">FORWARD_COMPATIBLE</w:t>
            </w:r>
          </w:p>
        </w:tc>
        <w:tc>
          <w:tcPr/>
          <w:p>
            <w:pPr>
              <w:pStyle w:val="Compact"/>
              <w:jc w:val="left"/>
            </w:pPr>
            <w:r>
              <w:t xml:space="preserve">Removing an optional column. Deprecating an entity type. Narrowing an enum (removing values that are unused).</w:t>
            </w:r>
          </w:p>
        </w:tc>
        <w:tc>
          <w:tcPr/>
          <w:p>
            <w:pPr>
              <w:pStyle w:val="Compact"/>
              <w:jc w:val="left"/>
            </w:pPr>
            <w:r>
              <w:t xml:space="preserve">Requires a deprecation period (default: 30 days). Deprecation warning issued to all consuming modules. After period: column/type removed.</w:t>
            </w:r>
          </w:p>
        </w:tc>
      </w:tr>
      <w:tr>
        <w:tc>
          <w:tcPr/>
          <w:p>
            <w:pPr>
              <w:pStyle w:val="Compact"/>
              <w:jc w:val="left"/>
            </w:pPr>
            <w:r>
              <w:rPr>
                <w:bCs/>
                <w:b/>
              </w:rPr>
              <w:t xml:space="preserve">BREAKING</w:t>
            </w:r>
          </w:p>
        </w:tc>
        <w:tc>
          <w:tcPr/>
          <w:p>
            <w:pPr>
              <w:pStyle w:val="Compact"/>
              <w:jc w:val="left"/>
            </w:pPr>
            <w:r>
              <w:t xml:space="preserve">Removing a required column. Changing a column type (INTEGER → VARCHAR). Renaming a column. Changing a primary key.</w:t>
            </w:r>
          </w:p>
        </w:tc>
        <w:tc>
          <w:tcPr/>
          <w:p>
            <w:pPr>
              <w:pStyle w:val="Compact"/>
              <w:jc w:val="left"/>
            </w:pPr>
            <w:r>
              <w:t xml:space="preserve">Requires: migration plan, dual-write period, tenant-by-tenant cutover, rollback capability. Cannot be deployed without approval from Architecture Review Board.</w:t>
            </w:r>
          </w:p>
        </w:tc>
      </w:tr>
    </w:tbl>
    <w:p>
      <w:pPr>
        <w:pStyle w:val="BodyText"/>
      </w:pPr>
      <w:r>
        <w:rPr>
          <w:bCs/>
          <w:b/>
        </w:rPr>
        <w:t xml:space="preserve">F05-FR-002</w:t>
      </w:r>
      <w:r>
        <w:t xml:space="preserve"> </w:t>
      </w:r>
      <w:r>
        <w:t xml:space="preserve">The classification SHALL be automatic based on the diff between the current schema version and the proposed change. The system SHALL parse the proposed migration SQL or schema definition and determine the category.</w:t>
      </w:r>
    </w:p>
    <w:bookmarkEnd w:id="60"/>
    <w:bookmarkStart w:id="61" w:name="schema-versioning"/>
    <w:p>
      <w:pPr>
        <w:pStyle w:val="Heading3"/>
      </w:pPr>
      <w:r>
        <w:t xml:space="preserve">5.2.2 Schema Versioning</w:t>
      </w:r>
    </w:p>
    <w:p>
      <w:pPr>
        <w:pStyle w:val="FirstParagraph"/>
      </w:pPr>
      <w:r>
        <w:rPr>
          <w:bCs/>
          <w:b/>
        </w:rPr>
        <w:t xml:space="preserve">F05-FR-010</w:t>
      </w:r>
      <w:r>
        <w:t xml:space="preserve"> </w:t>
      </w:r>
      <w:r>
        <w:t xml:space="preserve">The canonical schema SHALL use semantic versioning: MAJOR.MINOR.PATCH. MAJOR = breaking changes, MINOR = backward-compatible additions, PATCH = metadata/documentation only.</w:t>
      </w:r>
    </w:p>
    <w:p>
      <w:pPr>
        <w:pStyle w:val="BodyText"/>
      </w:pPr>
      <w:r>
        <w:rPr>
          <w:bCs/>
          <w:b/>
        </w:rPr>
        <w:t xml:space="preserve">F05-FR-011</w:t>
      </w:r>
      <w:r>
        <w:t xml:space="preserve"> </w:t>
      </w:r>
      <w:r>
        <w:t xml:space="preserve">Each tenant’s schema version SHALL be tracked independently. When a new schema version is released, tenants are NOT automatically migrated. Migration is explicit per tenant, allowing staggered rollout.</w:t>
      </w:r>
    </w:p>
    <w:p>
      <w:pPr>
        <w:pStyle w:val="BodyText"/>
      </w:pPr>
      <w:r>
        <w:rPr>
          <w:bCs/>
          <w:b/>
        </w:rPr>
        <w:t xml:space="preserve">F05-FR-012</w:t>
      </w:r>
      <w:r>
        <w:t xml:space="preserve"> </w:t>
      </w:r>
      <w:r>
        <w:t xml:space="preserve">The system SHALL support querying data stored under older schema versions alongside data under the current version. This is schema-on-read: the query engine applies transformation functions to translate older-schema data into the current-schema shape.</w:t>
      </w:r>
    </w:p>
    <w:bookmarkEnd w:id="61"/>
    <w:bookmarkStart w:id="62" w:name="feature-store-integration"/>
    <w:p>
      <w:pPr>
        <w:pStyle w:val="Heading3"/>
      </w:pPr>
      <w:r>
        <w:t xml:space="preserve">5.2.3 Feature Store Integration</w:t>
      </w:r>
    </w:p>
    <w:p>
      <w:pPr>
        <w:pStyle w:val="FirstParagraph"/>
      </w:pPr>
      <w:r>
        <w:rPr>
          <w:bCs/>
          <w:b/>
        </w:rPr>
        <w:t xml:space="preserve">F05-FR-020</w:t>
      </w:r>
      <w:r>
        <w:t xml:space="preserve"> </w:t>
      </w:r>
      <w:r>
        <w:t xml:space="preserve">When a schema change affects a column used by any Feature Store feature, F05 SHALL: (a) identify all affected features (via feature-to-schema lineage tracked by A01), (b) flag those features as SCHEMA_CHANGED, (c) notify the Feature Store to recompute affected features if the change alters semantics, (d) notify the Model Lifecycle Manager (A04) to assess whether affected models need retraining.</w:t>
      </w:r>
    </w:p>
    <w:p>
      <w:pPr>
        <w:pStyle w:val="BodyText"/>
      </w:pPr>
      <w:r>
        <w:rPr>
          <w:bCs/>
          <w:b/>
        </w:rPr>
        <w:t xml:space="preserve">F05-FR-021</w:t>
      </w:r>
      <w:r>
        <w:t xml:space="preserve"> </w:t>
      </w:r>
      <w:r>
        <w:t xml:space="preserve">F05 SHALL block a breaking schema change if it would affect features consumed by a production model, unless the model owner explicitly acknowledges the impact.</w:t>
      </w:r>
    </w:p>
    <w:bookmarkEnd w:id="62"/>
    <w:bookmarkEnd w:id="63"/>
    <w:bookmarkStart w:id="64" w:name="acceptance-criteria-4"/>
    <w:p>
      <w:pPr>
        <w:pStyle w:val="Heading2"/>
      </w:pPr>
      <w:r>
        <w:t xml:space="preserve">5.3 Acceptance Criteria</w:t>
      </w:r>
    </w:p>
    <w:p>
      <w:pPr>
        <w:pStyle w:val="FirstParagraph"/>
      </w:pPr>
      <w:r>
        <w:t xml:space="preserve">Adding a nullable column to a Silver layer entity is automatically classified as BACKWARD_COMPATIBLE and can be deployed without approval.</w:t>
      </w:r>
    </w:p>
    <w:p>
      <w:pPr>
        <w:pStyle w:val="BodyText"/>
      </w:pPr>
      <w:r>
        <w:t xml:space="preserve">Removing a required column is classified as BREAKING and requires Architecture Review Board approval.</w:t>
      </w:r>
    </w:p>
    <w:p>
      <w:pPr>
        <w:pStyle w:val="BodyText"/>
      </w:pPr>
      <w:r>
        <w:t xml:space="preserve">A tenant on schema v2 and a tenant on schema v3 can both be queried correctly from the same analytical dashboard.</w:t>
      </w:r>
    </w:p>
    <w:p>
      <w:pPr>
        <w:pStyle w:val="BodyText"/>
      </w:pPr>
      <w:r>
        <w:t xml:space="preserve">A schema change affecting a Feature Store feature triggers automatic notification to the model owner before the change is deployed.</w:t>
      </w:r>
    </w:p>
    <w:p>
      <w:pPr>
        <w:pStyle w:val="BlockText"/>
      </w:pPr>
      <w:r>
        <w:rPr>
          <w:iCs/>
          <w:i/>
        </w:rPr>
        <w:t xml:space="preserve">⚠ QUESTION FOR SEEMA: How aggressively should the platform push tenants to upgrade schemas? Options: (a) tenants stay on old versions indefinitely (maximum flexibility, maximum maintenance burden), (b) tenants have a 90-day window after a new version before their version is deprecated (forces eventual migration), (c) backward-compatible changes are auto-applied, only breaking changes require explicit migration. I recommend option (c).</w:t>
      </w:r>
    </w:p>
    <w:p>
      <w:pPr>
        <w:pStyle w:val="FirstParagraph"/>
      </w:pPr>
      <w:r>
        <w:rPr>
          <w:iCs/>
          <w:i/>
        </w:rPr>
        <w:t xml:space="preserve">End of Foundation Layer (F01–F05) specifications. Data Platform Layer (D01–D06) specifications will follow after design questions above are answered.</w:t>
      </w:r>
    </w:p>
    <w:p>
      <w:pPr>
        <w:pStyle w:val="BodyText"/>
      </w:pPr>
      <w:r>
        <w:rPr>
          <w:bCs/>
          <w:b/>
        </w:rPr>
        <w:t xml:space="preserve">PART II</w:t>
      </w:r>
    </w:p>
    <w:p>
      <w:pPr>
        <w:pStyle w:val="BodyText"/>
      </w:pPr>
      <w:r>
        <w:t xml:space="preserve">Data Platform Layer — D01 through D06</w:t>
      </w:r>
    </w:p>
    <w:p>
      <w:pPr>
        <w:pStyle w:val="BodyText"/>
      </w:pPr>
      <w:r>
        <w:rPr>
          <w:bCs/>
          <w:b/>
        </w:rPr>
        <w:t xml:space="preserve">Detailed Module Specifications</w:t>
      </w:r>
    </w:p>
    <w:p>
      <w:pPr>
        <w:pStyle w:val="BodyText"/>
      </w:pPr>
      <w:r>
        <w:t xml:space="preserve">Data Platform Layer (D01–D06)</w:t>
      </w:r>
    </w:p>
    <w:p>
      <w:pPr>
        <w:pStyle w:val="BodyText"/>
      </w:pPr>
      <w:r>
        <w:t xml:space="preserve">Sevyn8 Intelligence &amp; Analytics Platform</w:t>
      </w:r>
    </w:p>
    <w:p>
      <w:pPr>
        <w:pStyle w:val="BodyText"/>
      </w:pPr>
      <w:r>
        <w:t xml:space="preserve">Version 1.0 — April 2026 — CONFIDENTIAL</w:t>
      </w:r>
    </w:p>
    <w:p>
      <w:pPr>
        <w:pStyle w:val="BodyText"/>
      </w:pPr>
      <w:r>
        <w:t xml:space="preserve">Retail-First Ontology • Omnichannel (POS+CRM+Loyalty+Inventory+E-commerce) • 5-Level Store Hierarchy • Store Performance + Customer Lifecycle Funnels</w:t>
      </w:r>
    </w:p>
    <w:bookmarkEnd w:id="64"/>
    <w:bookmarkEnd w:id="65"/>
    <w:bookmarkStart w:id="66" w:name="design-decisions-carried-forward"/>
    <w:p>
      <w:pPr>
        <w:pStyle w:val="Heading1"/>
      </w:pPr>
      <w:r>
        <w:t xml:space="preserve">Design Decisions Carried Forward</w:t>
      </w:r>
    </w:p>
    <w:tbl>
      <w:tblPr>
        <w:tblStyle w:val="Table"/>
        <w:tblW w:type="pct" w:w="4934"/>
        <w:tblLook w:firstRow="0" w:lastRow="0" w:firstColumn="0" w:lastColumn="0" w:noHBand="0" w:noVBand="0" w:val="0000"/>
        <w:jc w:val="start"/>
      </w:tblPr>
      <w:tblGrid>
        <w:gridCol w:w="1563"/>
        <w:gridCol w:w="6252"/>
      </w:tblGrid>
      <w:tr>
        <w:tc>
          <w:tcPr/>
          <w:p>
            <w:pPr>
              <w:pStyle w:val="Compact"/>
              <w:jc w:val="left"/>
            </w:pPr>
            <w:r>
              <w:rPr>
                <w:bCs/>
                <w:b/>
              </w:rPr>
              <w:t xml:space="preserve">Decision</w:t>
            </w:r>
          </w:p>
        </w:tc>
        <w:tc>
          <w:tcPr/>
          <w:p>
            <w:pPr>
              <w:pStyle w:val="Compact"/>
              <w:jc w:val="left"/>
            </w:pPr>
            <w:r>
              <w:rPr>
                <w:bCs/>
                <w:b/>
              </w:rPr>
              <w:t xml:space="preserve">Confirmed Choice</w:t>
            </w:r>
          </w:p>
        </w:tc>
      </w:tr>
      <w:tr>
        <w:tc>
          <w:tcPr/>
          <w:p>
            <w:pPr>
              <w:pStyle w:val="Compact"/>
              <w:jc w:val="left"/>
            </w:pPr>
            <w:r>
              <w:rPr>
                <w:bCs/>
                <w:b/>
              </w:rPr>
              <w:t xml:space="preserve">Cloud</w:t>
            </w:r>
          </w:p>
        </w:tc>
        <w:tc>
          <w:tcPr/>
          <w:p>
            <w:pPr>
              <w:pStyle w:val="Compact"/>
              <w:jc w:val="left"/>
            </w:pPr>
            <w:r>
              <w:t xml:space="preserve">GCP (Cloud SQL PostgreSQL 15+, BigQuery, GCS, Pub/Sub, GKE Autopilot)</w:t>
            </w:r>
          </w:p>
        </w:tc>
      </w:tr>
      <w:tr>
        <w:tc>
          <w:tcPr/>
          <w:p>
            <w:pPr>
              <w:pStyle w:val="Compact"/>
              <w:jc w:val="left"/>
            </w:pPr>
            <w:r>
              <w:rPr>
                <w:bCs/>
                <w:b/>
              </w:rPr>
              <w:t xml:space="preserve">DB Engine</w:t>
            </w:r>
          </w:p>
        </w:tc>
        <w:tc>
          <w:tcPr/>
          <w:p>
            <w:pPr>
              <w:pStyle w:val="Compact"/>
              <w:jc w:val="left"/>
            </w:pPr>
            <w:r>
              <w:t xml:space="preserve">PostgreSQL 15+ with bi-temporal columns (F03), RLS for hybrid isolation (F01)</w:t>
            </w:r>
          </w:p>
        </w:tc>
      </w:tr>
      <w:tr>
        <w:tc>
          <w:tcPr/>
          <w:p>
            <w:pPr>
              <w:pStyle w:val="Compact"/>
              <w:jc w:val="left"/>
            </w:pPr>
            <w:r>
              <w:rPr>
                <w:bCs/>
                <w:b/>
              </w:rPr>
              <w:t xml:space="preserve">Tenant Isolation</w:t>
            </w:r>
          </w:p>
        </w:tc>
        <w:tc>
          <w:tcPr/>
          <w:p>
            <w:pPr>
              <w:pStyle w:val="Compact"/>
              <w:jc w:val="left"/>
            </w:pPr>
            <w:r>
              <w:t xml:space="preserve">Super Admin chooses Mode A (shared+RLS) or Mode B (dedicated) at provisioning</w:t>
            </w:r>
          </w:p>
        </w:tc>
      </w:tr>
      <w:tr>
        <w:tc>
          <w:tcPr/>
          <w:p>
            <w:pPr>
              <w:pStyle w:val="Compact"/>
              <w:jc w:val="left"/>
            </w:pPr>
            <w:r>
              <w:rPr>
                <w:bCs/>
                <w:b/>
              </w:rPr>
              <w:t xml:space="preserve">First Vertical</w:t>
            </w:r>
          </w:p>
        </w:tc>
        <w:tc>
          <w:tcPr/>
          <w:p>
            <w:pPr>
              <w:pStyle w:val="Compact"/>
              <w:jc w:val="left"/>
            </w:pPr>
            <w:r>
              <w:t xml:space="preserve">Retail — omnichannel (POS + CRM + Loyalty + Inventory + E-commerce)</w:t>
            </w:r>
          </w:p>
        </w:tc>
      </w:tr>
      <w:tr>
        <w:tc>
          <w:tcPr/>
          <w:p>
            <w:pPr>
              <w:pStyle w:val="Compact"/>
              <w:jc w:val="left"/>
            </w:pPr>
            <w:r>
              <w:rPr>
                <w:bCs/>
                <w:b/>
              </w:rPr>
              <w:t xml:space="preserve">Store Hierarchy</w:t>
            </w:r>
          </w:p>
        </w:tc>
        <w:tc>
          <w:tcPr/>
          <w:p>
            <w:pPr>
              <w:pStyle w:val="Compact"/>
              <w:jc w:val="left"/>
            </w:pPr>
            <w:r>
              <w:t xml:space="preserve">Chain → Region → City → Store → Zone/Department (5 levels)</w:t>
            </w:r>
          </w:p>
        </w:tc>
      </w:tr>
      <w:tr>
        <w:tc>
          <w:tcPr/>
          <w:p>
            <w:pPr>
              <w:pStyle w:val="Compact"/>
              <w:jc w:val="left"/>
            </w:pPr>
            <w:r>
              <w:rPr>
                <w:bCs/>
                <w:b/>
              </w:rPr>
              <w:t xml:space="preserve">Analytics Funnels</w:t>
            </w:r>
          </w:p>
        </w:tc>
        <w:tc>
          <w:tcPr/>
          <w:p>
            <w:pPr>
              <w:pStyle w:val="Compact"/>
              <w:jc w:val="left"/>
            </w:pPr>
            <w:r>
              <w:t xml:space="preserve">Both: store performance (footfall→conversion→basket→revenue) AND customer lifecycle (acquisition→retention→LTV→churn)</w:t>
            </w:r>
          </w:p>
        </w:tc>
      </w:tr>
      <w:tr>
        <w:tc>
          <w:tcPr/>
          <w:p>
            <w:pPr>
              <w:pStyle w:val="Compact"/>
              <w:jc w:val="left"/>
            </w:pPr>
            <w:r>
              <w:rPr>
                <w:bCs/>
                <w:b/>
              </w:rPr>
              <w:t xml:space="preserve">SCD Defaults (Retail)</w:t>
            </w:r>
          </w:p>
        </w:tc>
        <w:tc>
          <w:tcPr/>
          <w:p>
            <w:pPr>
              <w:pStyle w:val="Compact"/>
              <w:jc w:val="left"/>
            </w:pPr>
            <w:r>
              <w:t xml:space="preserve">name/email/phone = Type 1 (overwrite). address/loyalty_tier = Type 2 (history).</w:t>
            </w:r>
          </w:p>
        </w:tc>
      </w:tr>
      <w:tr>
        <w:tc>
          <w:tcPr/>
          <w:p>
            <w:pPr>
              <w:pStyle w:val="Compact"/>
              <w:jc w:val="left"/>
            </w:pPr>
            <w:r>
              <w:rPr>
                <w:bCs/>
                <w:b/>
              </w:rPr>
              <w:t xml:space="preserve">Offboarding Hold Period</w:t>
            </w:r>
          </w:p>
        </w:tc>
        <w:tc>
          <w:tcPr/>
          <w:p>
            <w:pPr>
              <w:pStyle w:val="Compact"/>
              <w:jc w:val="left"/>
            </w:pPr>
            <w:r>
              <w:t xml:space="preserve">Configurable per contract: 30/60/90 days</w:t>
            </w:r>
          </w:p>
        </w:tc>
      </w:tr>
      <w:tr>
        <w:tc>
          <w:tcPr/>
          <w:p>
            <w:pPr>
              <w:pStyle w:val="Compact"/>
              <w:jc w:val="left"/>
            </w:pPr>
            <w:r>
              <w:rPr>
                <w:bCs/>
                <w:b/>
              </w:rPr>
              <w:t xml:space="preserve">ML Model Export</w:t>
            </w:r>
          </w:p>
        </w:tc>
        <w:tc>
          <w:tcPr/>
          <w:p>
            <w:pPr>
              <w:pStyle w:val="Compact"/>
              <w:jc w:val="left"/>
            </w:pPr>
            <w:r>
              <w:t xml:space="preserve">Configurable per contract (tenant may or may not receive derivative model artifacts)</w:t>
            </w:r>
          </w:p>
        </w:tc>
      </w:tr>
      <w:tr>
        <w:tc>
          <w:tcPr/>
          <w:p>
            <w:pPr>
              <w:pStyle w:val="Compact"/>
              <w:jc w:val="left"/>
            </w:pPr>
            <w:r>
              <w:rPr>
                <w:bCs/>
                <w:b/>
              </w:rPr>
              <w:t xml:space="preserve">Schema Evolution</w:t>
            </w:r>
          </w:p>
        </w:tc>
        <w:tc>
          <w:tcPr/>
          <w:p>
            <w:pPr>
              <w:pStyle w:val="Compact"/>
              <w:jc w:val="left"/>
            </w:pPr>
            <w:r>
              <w:t xml:space="preserve">Backward-compatible changes auto-applied. Breaking changes: 90-day deprecation window.</w:t>
            </w:r>
          </w:p>
        </w:tc>
      </w:tr>
    </w:tbl>
    <w:bookmarkEnd w:id="66"/>
    <w:bookmarkStart w:id="86" w:name="d01-canonical-data-model"/>
    <w:p>
      <w:pPr>
        <w:pStyle w:val="Heading1"/>
      </w:pPr>
      <w:r>
        <w:t xml:space="preserve">D01 — Canonical Data Model</w:t>
      </w:r>
    </w:p>
    <w:tbl>
      <w:tblPr>
        <w:tblStyle w:val="Table"/>
        <w:tblW w:type="pct" w:w="4922"/>
        <w:tblLook w:firstRow="0" w:lastRow="0" w:firstColumn="0" w:lastColumn="0" w:noHBand="0" w:noVBand="0" w:val="0000"/>
        <w:jc w:val="start"/>
      </w:tblPr>
      <w:tblGrid>
        <w:gridCol w:w="1361"/>
        <w:gridCol w:w="6435"/>
      </w:tblGrid>
      <w:t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rPr>
                <w:bCs/>
                <w:b/>
              </w:rPr>
              <w:t xml:space="preserve">Module ID</w:t>
            </w:r>
          </w:p>
        </w:tc>
        <w:tc>
          <w:tcPr/>
          <w:p>
            <w:pPr>
              <w:pStyle w:val="Compact"/>
              <w:jc w:val="left"/>
            </w:pPr>
            <w:r>
              <w:t xml:space="preserve">D01</w:t>
            </w:r>
          </w:p>
        </w:tc>
      </w:tr>
      <w:tr>
        <w:tc>
          <w:tcPr/>
          <w:p>
            <w:pPr>
              <w:pStyle w:val="Compact"/>
              <w:jc w:val="left"/>
            </w:pPr>
            <w:r>
              <w:rPr>
                <w:bCs/>
                <w:b/>
              </w:rPr>
              <w:t xml:space="preserve">Phase</w:t>
            </w:r>
          </w:p>
        </w:tc>
        <w:tc>
          <w:tcPr/>
          <w:p>
            <w:pPr>
              <w:pStyle w:val="Compact"/>
              <w:jc w:val="left"/>
            </w:pPr>
            <w:r>
              <w:t xml:space="preserve">0 (Core Foundation)</w:t>
            </w:r>
          </w:p>
        </w:tc>
      </w:tr>
      <w:tr>
        <w:tc>
          <w:tcPr/>
          <w:p>
            <w:pPr>
              <w:pStyle w:val="Compact"/>
              <w:jc w:val="left"/>
            </w:pPr>
            <w:r>
              <w:rPr>
                <w:bCs/>
                <w:b/>
              </w:rPr>
              <w:t xml:space="preserve">Complexity</w:t>
            </w:r>
          </w:p>
        </w:tc>
        <w:tc>
          <w:tcPr/>
          <w:p>
            <w:pPr>
              <w:pStyle w:val="Compact"/>
              <w:jc w:val="left"/>
            </w:pPr>
            <w:r>
              <w:t xml:space="preserve">Very High</w:t>
            </w:r>
          </w:p>
        </w:tc>
      </w:tr>
      <w:tr>
        <w:tc>
          <w:tcPr/>
          <w:p>
            <w:pPr>
              <w:pStyle w:val="Compact"/>
              <w:jc w:val="left"/>
            </w:pPr>
            <w:r>
              <w:rPr>
                <w:bCs/>
                <w:b/>
              </w:rPr>
              <w:t xml:space="preserve">Dependencies</w:t>
            </w:r>
          </w:p>
        </w:tc>
        <w:tc>
          <w:tcPr/>
          <w:p>
            <w:pPr>
              <w:pStyle w:val="Compact"/>
              <w:jc w:val="left"/>
            </w:pPr>
            <w:r>
              <w:t xml:space="preserve">F01 (Multi-Tenancy), F03 (Temporal Engine)</w:t>
            </w:r>
          </w:p>
        </w:tc>
      </w:tr>
      <w:tr>
        <w:tc>
          <w:tcPr/>
          <w:p>
            <w:pPr>
              <w:pStyle w:val="Compact"/>
              <w:jc w:val="left"/>
            </w:pPr>
            <w:r>
              <w:rPr>
                <w:bCs/>
                <w:b/>
              </w:rPr>
              <w:t xml:space="preserve">Depended On By</w:t>
            </w:r>
          </w:p>
        </w:tc>
        <w:tc>
          <w:tcPr/>
          <w:p>
            <w:pPr>
              <w:pStyle w:val="Compact"/>
              <w:jc w:val="left"/>
            </w:pPr>
            <w:r>
              <w:t xml:space="preserve">D02, D03, D04, D05, G01-G06, S01, A01, I01, PR01, PR06 — essentially every module that touches data</w:t>
            </w:r>
          </w:p>
        </w:tc>
      </w:tr>
      <w:tr>
        <w:tc>
          <w:tcPr/>
          <w:p>
            <w:pPr>
              <w:pStyle w:val="Compact"/>
              <w:jc w:val="left"/>
            </w:pPr>
            <w:r>
              <w:rPr>
                <w:bCs/>
                <w:b/>
              </w:rPr>
              <w:t xml:space="preserve">Owner</w:t>
            </w:r>
          </w:p>
        </w:tc>
        <w:tc>
          <w:tcPr/>
          <w:p>
            <w:pPr>
              <w:pStyle w:val="Compact"/>
              <w:jc w:val="left"/>
            </w:pPr>
            <w:r>
              <w:t xml:space="preserve">Data Architecture Lead</w:t>
            </w:r>
          </w:p>
        </w:tc>
      </w:tr>
    </w:tbl>
    <w:bookmarkStart w:id="67" w:name="purpose-5"/>
    <w:p>
      <w:pPr>
        <w:pStyle w:val="Heading2"/>
      </w:pPr>
      <w:r>
        <w:t xml:space="preserve">1.1 Purpose</w:t>
      </w:r>
    </w:p>
    <w:p>
      <w:pPr>
        <w:pStyle w:val="FirstParagraph"/>
      </w:pPr>
      <w:r>
        <w:t xml:space="preserve">D01 defines the canonical data model — the universal language that all data speaks once it enters the platform. Raw data arrives in hundreds of formats from dozens of sources; D01 is the single schema that all ingested data is transformed into, all analytics consume from, and all algorithms are trained on. It is the single most important architectural decision in the system.</w:t>
      </w:r>
    </w:p>
    <w:p>
      <w:pPr>
        <w:pStyle w:val="BodyText"/>
      </w:pPr>
      <w:r>
        <w:t xml:space="preserve">The model uses a three-tier ontology: Core (universal entities that span all industries), Industry Extension (entities specific to a vertical like retail), and Tenant Custom (entities specific to one tenant). This spec defines the Core tier and the Retail extension tier.</w:t>
      </w:r>
    </w:p>
    <w:bookmarkEnd w:id="67"/>
    <w:bookmarkStart w:id="68" w:name="three-tier-ontology-architecture"/>
    <w:p>
      <w:pPr>
        <w:pStyle w:val="Heading2"/>
      </w:pPr>
      <w:r>
        <w:t xml:space="preserve">1.2 Three-Tier Ontology Architecture</w:t>
      </w:r>
    </w:p>
    <w:p>
      <w:pPr>
        <w:pStyle w:val="FirstParagraph"/>
      </w:pPr>
      <w:r>
        <w:rPr>
          <w:bCs/>
          <w:b/>
        </w:rPr>
        <w:t xml:space="preserve">D01-FR-001</w:t>
      </w:r>
      <w:r>
        <w:t xml:space="preserve"> </w:t>
      </w:r>
      <w:r>
        <w:t xml:space="preserve">The canonical data model SHALL be structured as a three-tier ontology where each tier extends the one above without modifying it:</w:t>
      </w:r>
    </w:p>
    <w:tbl>
      <w:tblPr>
        <w:tblStyle w:val="Table"/>
        <w:tblW w:type="pct" w:w="4970"/>
        <w:tblLook w:firstRow="0" w:lastRow="0" w:firstColumn="0" w:lastColumn="0" w:noHBand="0" w:noVBand="0" w:val="0000"/>
        <w:jc w:val="start"/>
      </w:tblPr>
      <w:tblGrid>
        <w:gridCol w:w="591"/>
        <w:gridCol w:w="709"/>
        <w:gridCol w:w="1702"/>
        <w:gridCol w:w="4870"/>
      </w:tblGrid>
      <w:tr>
        <w:tc>
          <w:tcPr/>
          <w:p>
            <w:pPr>
              <w:pStyle w:val="Compact"/>
              <w:jc w:val="left"/>
            </w:pPr>
            <w:r>
              <w:rPr>
                <w:bCs/>
                <w:b/>
              </w:rPr>
              <w:t xml:space="preserve">Tier</w:t>
            </w:r>
          </w:p>
        </w:tc>
        <w:tc>
          <w:tcPr/>
          <w:p>
            <w:pPr>
              <w:pStyle w:val="Compact"/>
              <w:jc w:val="left"/>
            </w:pPr>
            <w:r>
              <w:rPr>
                <w:bCs/>
                <w:b/>
              </w:rPr>
              <w:t xml:space="preserve">Scope</w:t>
            </w:r>
          </w:p>
        </w:tc>
        <w:tc>
          <w:tcPr/>
          <w:p>
            <w:pPr>
              <w:pStyle w:val="Compact"/>
              <w:jc w:val="left"/>
            </w:pPr>
            <w:r>
              <w:rPr>
                <w:bCs/>
                <w:b/>
              </w:rPr>
              <w:t xml:space="preserve">Managed By</w:t>
            </w:r>
          </w:p>
        </w:tc>
        <w:tc>
          <w:tcPr/>
          <w:p>
            <w:pPr>
              <w:pStyle w:val="Compact"/>
              <w:jc w:val="left"/>
            </w:pPr>
            <w:r>
              <w:rPr>
                <w:bCs/>
                <w:b/>
              </w:rPr>
              <w:t xml:space="preserve">Rules</w:t>
            </w:r>
          </w:p>
        </w:tc>
      </w:tr>
      <w:tr>
        <w:tc>
          <w:tcPr/>
          <w:p>
            <w:pPr>
              <w:pStyle w:val="Compact"/>
              <w:jc w:val="left"/>
            </w:pPr>
            <w:r>
              <w:rPr>
                <w:bCs/>
                <w:b/>
              </w:rPr>
              <w:t xml:space="preserve">Core</w:t>
            </w:r>
          </w:p>
        </w:tc>
        <w:tc>
          <w:tcPr/>
          <w:p>
            <w:pPr>
              <w:pStyle w:val="Compact"/>
              <w:jc w:val="left"/>
            </w:pPr>
            <w:r>
              <w:t xml:space="preserve">All industries, all tenants</w:t>
            </w:r>
          </w:p>
        </w:tc>
        <w:tc>
          <w:tcPr/>
          <w:p>
            <w:pPr>
              <w:pStyle w:val="Compact"/>
              <w:jc w:val="left"/>
            </w:pPr>
            <w:r>
              <w:t xml:space="preserve">Sevyn8 Platform Team (Ontology Steward approval required for changes)</w:t>
            </w:r>
          </w:p>
        </w:tc>
        <w:tc>
          <w:tcPr/>
          <w:p>
            <w:pPr>
              <w:pStyle w:val="Compact"/>
              <w:jc w:val="left"/>
            </w:pPr>
            <w:r>
              <w:t xml:space="preserve">Maximum 30 entity types, 200 attributes. Backward-compatible changes only without ARB approval. Defines: Entity, Event, Observation, Metric, Relationship, Asset, Location, Channel, Campaign, Interaction.</w:t>
            </w:r>
          </w:p>
        </w:tc>
      </w:tr>
      <w:tr>
        <w:tc>
          <w:tcPr/>
          <w:p>
            <w:pPr>
              <w:pStyle w:val="Compact"/>
              <w:jc w:val="left"/>
            </w:pPr>
            <w:r>
              <w:rPr>
                <w:bCs/>
                <w:b/>
              </w:rPr>
              <w:t xml:space="preserve">Industry Extension</w:t>
            </w:r>
          </w:p>
        </w:tc>
        <w:tc>
          <w:tcPr/>
          <w:p>
            <w:pPr>
              <w:pStyle w:val="Compact"/>
              <w:jc w:val="left"/>
            </w:pPr>
            <w:r>
              <w:t xml:space="preserve">All tenants in a vertical</w:t>
            </w:r>
          </w:p>
        </w:tc>
        <w:tc>
          <w:tcPr/>
          <w:p>
            <w:pPr>
              <w:pStyle w:val="Compact"/>
              <w:jc w:val="left"/>
            </w:pPr>
            <w:r>
              <w:t xml:space="preserve">Sevyn8 + Industry Vertical Lead</w:t>
            </w:r>
          </w:p>
        </w:tc>
        <w:tc>
          <w:tcPr/>
          <w:p>
            <w:pPr>
              <w:pStyle w:val="Compact"/>
              <w:jc w:val="left"/>
            </w:pPr>
            <w:r>
              <w:t xml:space="preserve">Extends Core entities with industry-specific attributes and adds new entity types. Namespaced: retail.*, insurance.*, logistics.*. Cannot modify Core entity definitions.</w:t>
            </w:r>
          </w:p>
        </w:tc>
      </w:tr>
      <w:tr>
        <w:tc>
          <w:tcPr/>
          <w:p>
            <w:pPr>
              <w:pStyle w:val="Compact"/>
              <w:jc w:val="left"/>
            </w:pPr>
            <w:r>
              <w:rPr>
                <w:bCs/>
                <w:b/>
              </w:rPr>
              <w:t xml:space="preserve">Tenant Custom</w:t>
            </w:r>
          </w:p>
        </w:tc>
        <w:tc>
          <w:tcPr/>
          <w:p>
            <w:pPr>
              <w:pStyle w:val="Compact"/>
              <w:jc w:val="left"/>
            </w:pPr>
            <w:r>
              <w:t xml:space="preserve">One tenant only</w:t>
            </w:r>
          </w:p>
        </w:tc>
        <w:tc>
          <w:tcPr/>
          <w:p>
            <w:pPr>
              <w:pStyle w:val="Compact"/>
              <w:jc w:val="left"/>
            </w:pPr>
            <w:r>
              <w:t xml:space="preserve">Tenant Admin / Data Steward</w:t>
            </w:r>
          </w:p>
        </w:tc>
        <w:tc>
          <w:tcPr/>
          <w:p>
            <w:pPr>
              <w:pStyle w:val="Compact"/>
              <w:jc w:val="left"/>
            </w:pPr>
            <w:r>
              <w:t xml:space="preserve">Extends Industry entities with tenant-specific attributes. Namespaced: tenant_{id}.*. Cannot modify Core or Industry definitions. Maximum 100 custom attributes per tenant (guardrail).</w:t>
            </w:r>
          </w:p>
        </w:tc>
      </w:tr>
    </w:tbl>
    <w:p>
      <w:pPr>
        <w:pStyle w:val="BodyText"/>
      </w:pPr>
      <w:r>
        <w:rPr>
          <w:bCs/>
          <w:b/>
        </w:rPr>
        <w:t xml:space="preserve">D01-FR-002</w:t>
      </w:r>
      <w:r>
        <w:t xml:space="preserve"> </w:t>
      </w:r>
      <w:r>
        <w:t xml:space="preserve">Queries SHALL be able to join across tiers transparently. A query that references 'customer.name' (Core) and 'customer.loyalty_tier' (Retail extension) and 'customer.vip_segment' (Tenant custom) SHALL work as a single query against a unified view. The implementation uses PostgreSQL schema-qualified views that merge all three tiers.</w:t>
      </w:r>
    </w:p>
    <w:bookmarkEnd w:id="68"/>
    <w:bookmarkStart w:id="70" w:name="core-ontology-tier-1"/>
    <w:p>
      <w:pPr>
        <w:pStyle w:val="Heading2"/>
      </w:pPr>
      <w:r>
        <w:t xml:space="preserve">1.3 Core Ontology (Tier 1)</w:t>
      </w:r>
    </w:p>
    <w:p>
      <w:pPr>
        <w:pStyle w:val="FirstParagraph"/>
      </w:pPr>
      <w:r>
        <w:t xml:space="preserve">The Core ontology defines universal entity types that exist in every industry. These are abstract enough to be meaningful across retail, insurance, logistics, and any future vertical.</w:t>
      </w:r>
    </w:p>
    <w:bookmarkStart w:id="69" w:name="core-entity-types"/>
    <w:p>
      <w:pPr>
        <w:pStyle w:val="Heading3"/>
      </w:pPr>
      <w:r>
        <w:t xml:space="preserve">1.3.1 Core Entity Types</w:t>
      </w:r>
    </w:p>
    <w:tbl>
      <w:tblPr>
        <w:tblStyle w:val="Table"/>
        <w:tblW w:type="pct" w:w="4974"/>
        <w:tblLook w:firstRow="0" w:lastRow="0" w:firstColumn="0" w:lastColumn="0" w:noHBand="0" w:noVBand="0" w:val="0000"/>
        <w:jc w:val="start"/>
      </w:tblPr>
      <w:tblGrid>
        <w:gridCol w:w="387"/>
        <w:gridCol w:w="265"/>
        <w:gridCol w:w="7225"/>
      </w:tblGrid>
      <w:tr>
        <w:tc>
          <w:tcPr/>
          <w:p>
            <w:pPr>
              <w:pStyle w:val="Compact"/>
              <w:jc w:val="left"/>
            </w:pPr>
            <w:r>
              <w:rPr>
                <w:bCs/>
                <w:b/>
              </w:rPr>
              <w:t xml:space="preserve">Entity Type</w:t>
            </w:r>
          </w:p>
        </w:tc>
        <w:tc>
          <w:tcPr/>
          <w:p>
            <w:pPr>
              <w:pStyle w:val="Compact"/>
              <w:jc w:val="left"/>
            </w:pPr>
            <w:r>
              <w:rPr>
                <w:bCs/>
                <w:b/>
              </w:rPr>
              <w:t xml:space="preserve">Prefix</w:t>
            </w:r>
          </w:p>
        </w:tc>
        <w:tc>
          <w:tcPr/>
          <w:p>
            <w:pPr>
              <w:pStyle w:val="Compact"/>
              <w:jc w:val="left"/>
            </w:pPr>
            <w:r>
              <w:rPr>
                <w:bCs/>
                <w:b/>
              </w:rPr>
              <w:t xml:space="preserve">Description &amp; Core Attributes</w:t>
            </w:r>
          </w:p>
        </w:tc>
      </w:tr>
      <w:tr>
        <w:tc>
          <w:tcPr/>
          <w:p>
            <w:pPr>
              <w:pStyle w:val="Compact"/>
              <w:jc w:val="left"/>
            </w:pPr>
            <w:r>
              <w:rPr>
                <w:bCs/>
                <w:b/>
              </w:rPr>
              <w:t xml:space="preserve">Entity</w:t>
            </w:r>
          </w:p>
        </w:tc>
        <w:tc>
          <w:tcPr/>
          <w:p>
            <w:pPr>
              <w:pStyle w:val="Compact"/>
              <w:jc w:val="left"/>
            </w:pPr>
            <w:r>
              <w:t xml:space="preserve">ENT</w:t>
            </w:r>
          </w:p>
        </w:tc>
        <w:tc>
          <w:tcPr/>
          <w:p>
            <w:pPr>
              <w:pStyle w:val="Compact"/>
              <w:jc w:val="left"/>
            </w:pPr>
            <w:r>
              <w:t xml:space="preserve">A person, organisation, or identifiable actor in the system. Core attributes: entity_id (UEID from SIR), entity_type (PERSON, ORGANISATION, DEVICE, UNKNOWN), display_name, created_at, status (ACTIVE, MERGED, DELETED). Bi-temporal. Links to SIR for identity resolution.</w:t>
            </w:r>
          </w:p>
        </w:tc>
      </w:tr>
      <w:tr>
        <w:tc>
          <w:tcPr/>
          <w:p>
            <w:pPr>
              <w:pStyle w:val="Compact"/>
              <w:jc w:val="left"/>
            </w:pPr>
            <w:r>
              <w:rPr>
                <w:bCs/>
                <w:b/>
              </w:rPr>
              <w:t xml:space="preserve">Event</w:t>
            </w:r>
          </w:p>
        </w:tc>
        <w:tc>
          <w:tcPr/>
          <w:p>
            <w:pPr>
              <w:pStyle w:val="Compact"/>
              <w:jc w:val="left"/>
            </w:pPr>
            <w:r>
              <w:t xml:space="preserve">EVT</w:t>
            </w:r>
          </w:p>
        </w:tc>
        <w:tc>
          <w:tcPr/>
          <w:p>
            <w:pPr>
              <w:pStyle w:val="Compact"/>
              <w:jc w:val="left"/>
            </w:pPr>
            <w:r>
              <w:t xml:space="preserve">Something that happened at a point in time. Core attributes: event_id, event_type (extensible enum), entity_id (FK → who/what was involved), location_id (FK → where), channel_id (FK → how), occurred_at (valid_time), metadata (JSONB). The most common canonical type — POS transactions, website visits, sensor readings, video events all become Events.</w:t>
            </w:r>
          </w:p>
        </w:tc>
      </w:tr>
      <w:tr>
        <w:tc>
          <w:tcPr/>
          <w:p>
            <w:pPr>
              <w:pStyle w:val="Compact"/>
              <w:jc w:val="left"/>
            </w:pPr>
            <w:r>
              <w:rPr>
                <w:bCs/>
                <w:b/>
              </w:rPr>
              <w:t xml:space="preserve">Observation</w:t>
            </w:r>
          </w:p>
        </w:tc>
        <w:tc>
          <w:tcPr/>
          <w:p>
            <w:pPr>
              <w:pStyle w:val="Compact"/>
              <w:jc w:val="left"/>
            </w:pPr>
            <w:r>
              <w:t xml:space="preserve">OBS</w:t>
            </w:r>
          </w:p>
        </w:tc>
        <w:tc>
          <w:tcPr/>
          <w:p>
            <w:pPr>
              <w:pStyle w:val="Compact"/>
              <w:jc w:val="left"/>
            </w:pPr>
            <w:r>
              <w:t xml:space="preserve">A measured or derived attribute value at a point in time. Core attributes: observation_id, entity_id, metric_name, metric_value (NUMERIC), unit, observed_at, confidence (0-1), source. Used for: sensor readings, quality scores, algorithm outputs, KPI values.</w:t>
            </w:r>
          </w:p>
        </w:tc>
      </w:tr>
      <w:tr>
        <w:tc>
          <w:tcPr/>
          <w:p>
            <w:pPr>
              <w:pStyle w:val="Compact"/>
              <w:jc w:val="left"/>
            </w:pPr>
            <w:r>
              <w:rPr>
                <w:bCs/>
                <w:b/>
              </w:rPr>
              <w:t xml:space="preserve">Location</w:t>
            </w:r>
          </w:p>
        </w:tc>
        <w:tc>
          <w:tcPr/>
          <w:p>
            <w:pPr>
              <w:pStyle w:val="Compact"/>
              <w:jc w:val="left"/>
            </w:pPr>
            <w:r>
              <w:t xml:space="preserve">LOC</w:t>
            </w:r>
          </w:p>
        </w:tc>
        <w:tc>
          <w:tcPr/>
          <w:p>
            <w:pPr>
              <w:pStyle w:val="Compact"/>
              <w:jc w:val="left"/>
            </w:pPr>
            <w:r>
              <w:t xml:space="preserve">A physical or virtual place. Core attributes: location_id, location_type (STORE, WAREHOUSE, ZONE, WEBSITE, APP), name, address_line_1, address_line_2, city, state, country, postal_code, latitude, longitude, timezone, parent_location_id (self-referential for hierarchy). Links to AC02 hierarchy engine.</w:t>
            </w:r>
          </w:p>
        </w:tc>
      </w:tr>
      <w:tr>
        <w:tc>
          <w:tcPr/>
          <w:p>
            <w:pPr>
              <w:pStyle w:val="Compact"/>
              <w:jc w:val="left"/>
            </w:pPr>
            <w:r>
              <w:rPr>
                <w:bCs/>
                <w:b/>
              </w:rPr>
              <w:t xml:space="preserve">Asset</w:t>
            </w:r>
          </w:p>
        </w:tc>
        <w:tc>
          <w:tcPr/>
          <w:p>
            <w:pPr>
              <w:pStyle w:val="Compact"/>
              <w:jc w:val="left"/>
            </w:pPr>
            <w:r>
              <w:t xml:space="preserve">AST</w:t>
            </w:r>
          </w:p>
        </w:tc>
        <w:tc>
          <w:tcPr/>
          <w:p>
            <w:pPr>
              <w:pStyle w:val="Compact"/>
              <w:jc w:val="left"/>
            </w:pPr>
            <w:r>
              <w:t xml:space="preserve">A tangible or intangible item of value. Core attributes: asset_id, asset_type (PRODUCT, DOCUMENT, MEDIA, DEVICE, POLICY), name, description, status, metadata (JSONB). In retail: products. In insurance: policies. In logistics: vehicles.</w:t>
            </w:r>
          </w:p>
        </w:tc>
      </w:tr>
      <w:tr>
        <w:tc>
          <w:tcPr/>
          <w:p>
            <w:pPr>
              <w:pStyle w:val="Compact"/>
              <w:jc w:val="left"/>
            </w:pPr>
            <w:r>
              <w:rPr>
                <w:bCs/>
                <w:b/>
              </w:rPr>
              <w:t xml:space="preserve">Channel</w:t>
            </w:r>
          </w:p>
        </w:tc>
        <w:tc>
          <w:tcPr/>
          <w:p>
            <w:pPr>
              <w:pStyle w:val="Compact"/>
              <w:jc w:val="left"/>
            </w:pPr>
            <w:r>
              <w:t xml:space="preserve">CHN</w:t>
            </w:r>
          </w:p>
        </w:tc>
        <w:tc>
          <w:tcPr/>
          <w:p>
            <w:pPr>
              <w:pStyle w:val="Compact"/>
              <w:jc w:val="left"/>
            </w:pPr>
            <w:r>
              <w:t xml:space="preserve">The medium through which an interaction occurred. Core attributes: channel_id, channel_type (IN_STORE, E_COMMERCE, MOBILE_APP, CALL_CENTER, EMAIL, SOCIAL, KIOSK), name, is_digital (BOOLEAN). Enables omnichannel analytics.</w:t>
            </w:r>
          </w:p>
        </w:tc>
      </w:tr>
      <w:tr>
        <w:tc>
          <w:tcPr/>
          <w:p>
            <w:pPr>
              <w:pStyle w:val="Compact"/>
              <w:jc w:val="left"/>
            </w:pPr>
            <w:r>
              <w:rPr>
                <w:bCs/>
                <w:b/>
              </w:rPr>
              <w:t xml:space="preserve">Relationship</w:t>
            </w:r>
          </w:p>
        </w:tc>
        <w:tc>
          <w:tcPr/>
          <w:p>
            <w:pPr>
              <w:pStyle w:val="Compact"/>
              <w:jc w:val="left"/>
            </w:pPr>
            <w:r>
              <w:t xml:space="preserve">REL</w:t>
            </w:r>
          </w:p>
        </w:tc>
        <w:tc>
          <w:tcPr/>
          <w:p>
            <w:pPr>
              <w:pStyle w:val="Compact"/>
              <w:jc w:val="left"/>
            </w:pPr>
            <w:r>
              <w:t xml:space="preserve">A typed connection between two entities/assets/locations. Core attributes: relationship_id, source_id, source_type, target_id, target_type, relationship_type (extensible: PURCHASED, VISITED, EMPLOYED_BY, LOCATED_IN, MEMBER_OF), strength (NUMERIC, 0-1), valid_from, valid_to. Stored in both relational (Silver) and graph (I02) forms.</w:t>
            </w:r>
          </w:p>
        </w:tc>
      </w:tr>
      <w:tr>
        <w:tc>
          <w:tcPr/>
          <w:p>
            <w:pPr>
              <w:pStyle w:val="Compact"/>
              <w:jc w:val="left"/>
            </w:pPr>
            <w:r>
              <w:rPr>
                <w:bCs/>
                <w:b/>
              </w:rPr>
              <w:t xml:space="preserve">Campaign</w:t>
            </w:r>
          </w:p>
        </w:tc>
        <w:tc>
          <w:tcPr/>
          <w:p>
            <w:pPr>
              <w:pStyle w:val="Compact"/>
              <w:jc w:val="left"/>
            </w:pPr>
            <w:r>
              <w:t xml:space="preserve">CMP</w:t>
            </w:r>
          </w:p>
        </w:tc>
        <w:tc>
          <w:tcPr/>
          <w:p>
            <w:pPr>
              <w:pStyle w:val="Compact"/>
              <w:jc w:val="left"/>
            </w:pPr>
            <w:r>
              <w:t xml:space="preserve">A marketing or operational initiative. Core attributes: campaign_id, name, campaign_type (PROMOTION, LOYALTY, SEASONAL, LAUNCH), start_date, end_date, target_segment, status, budget. Links Events to the campaigns that influenced them.</w:t>
            </w:r>
          </w:p>
        </w:tc>
      </w:tr>
    </w:tbl>
    <w:bookmarkEnd w:id="69"/>
    <w:bookmarkEnd w:id="70"/>
    <w:bookmarkStart w:id="80" w:name="retail-extension-ontology-tier-2"/>
    <w:p>
      <w:pPr>
        <w:pStyle w:val="Heading2"/>
      </w:pPr>
      <w:r>
        <w:t xml:space="preserve">1.4 Retail Extension Ontology (Tier 2)</w:t>
      </w:r>
    </w:p>
    <w:p>
      <w:pPr>
        <w:pStyle w:val="FirstParagraph"/>
      </w:pPr>
      <w:r>
        <w:t xml:space="preserve">The Retail extension adds entity types and attributes specific to the retail industry. All retail extension entities live in the 'retail' namespace and extend Core entities.</w:t>
      </w:r>
    </w:p>
    <w:bookmarkStart w:id="71" w:name="retail-entity-extensions"/>
    <w:p>
      <w:pPr>
        <w:pStyle w:val="Heading3"/>
      </w:pPr>
      <w:r>
        <w:t xml:space="preserve">1.4.1 Retail Entity Extensions</w:t>
      </w:r>
    </w:p>
    <w:bookmarkEnd w:id="71"/>
    <w:bookmarkStart w:id="72" w:name="retail.customer-extends-entity"/>
    <w:p>
      <w:pPr>
        <w:pStyle w:val="Heading3"/>
      </w:pPr>
      <w:r>
        <w:t xml:space="preserve">retail.Customer (extends Entity)</w:t>
      </w:r>
    </w:p>
    <w:p>
      <w:pPr>
        <w:pStyle w:val="FirstParagraph"/>
      </w:pPr>
      <w:r>
        <w:t xml:space="preserve">Represents an identified or anonymous retail customer. Extends the Core Entity with retail-specific attributes.</w:t>
      </w:r>
    </w:p>
    <w:tbl>
      <w:tblPr>
        <w:tblStyle w:val="Table"/>
        <w:tblW w:type="pct" w:w="4958"/>
        <w:tblLook w:firstRow="0" w:lastRow="0" w:firstColumn="0" w:lastColumn="0" w:noHBand="0" w:noVBand="0" w:val="0000"/>
        <w:jc w:val="start"/>
      </w:tblPr>
      <w:tblGrid>
        <w:gridCol w:w="990"/>
        <w:gridCol w:w="528"/>
        <w:gridCol w:w="363"/>
        <w:gridCol w:w="5973"/>
      </w:tblGrid>
      <w:tr>
        <w:tc>
          <w:tcPr/>
          <w:p>
            <w:pPr>
              <w:pStyle w:val="Compact"/>
              <w:jc w:val="left"/>
            </w:pPr>
            <w:r>
              <w:rPr>
                <w:bCs/>
                <w:b/>
              </w:rPr>
              <w:t xml:space="preserve">Attribute</w:t>
            </w:r>
          </w:p>
        </w:tc>
        <w:tc>
          <w:tcPr/>
          <w:p>
            <w:pPr>
              <w:pStyle w:val="Compact"/>
              <w:jc w:val="left"/>
            </w:pPr>
            <w:r>
              <w:rPr>
                <w:bCs/>
                <w:b/>
              </w:rPr>
              <w:t xml:space="preserve">Type</w:t>
            </w:r>
          </w:p>
        </w:tc>
        <w:tc>
          <w:tcPr/>
          <w:p>
            <w:pPr>
              <w:pStyle w:val="Compact"/>
              <w:jc w:val="left"/>
            </w:pPr>
            <w:r>
              <w:rPr>
                <w:bCs/>
                <w:b/>
              </w:rPr>
              <w:t xml:space="preserve">SCD</w:t>
            </w:r>
          </w:p>
        </w:tc>
        <w:tc>
          <w:tcPr/>
          <w:p>
            <w:pPr>
              <w:pStyle w:val="Compact"/>
              <w:jc w:val="left"/>
            </w:pPr>
            <w:r>
              <w:rPr>
                <w:bCs/>
                <w:b/>
              </w:rPr>
              <w:t xml:space="preserve">Description</w:t>
            </w:r>
          </w:p>
        </w:tc>
      </w:tr>
      <w:tr>
        <w:tc>
          <w:tcPr/>
          <w:p>
            <w:pPr>
              <w:pStyle w:val="Compact"/>
              <w:jc w:val="left"/>
            </w:pPr>
            <w:r>
              <w:rPr>
                <w:bCs/>
                <w:b/>
              </w:rPr>
              <w:t xml:space="preserve">entity_id</w:t>
            </w:r>
          </w:p>
        </w:tc>
        <w:tc>
          <w:tcPr/>
          <w:p>
            <w:pPr>
              <w:pStyle w:val="Compact"/>
              <w:jc w:val="left"/>
            </w:pPr>
            <w:r>
              <w:t xml:space="preserve">UUID (FK)</w:t>
            </w:r>
          </w:p>
        </w:tc>
        <w:tc>
          <w:tcPr/>
          <w:p>
            <w:pPr>
              <w:pStyle w:val="Compact"/>
            </w:pPr>
          </w:p>
        </w:tc>
        <w:tc>
          <w:tcPr/>
          <w:p>
            <w:pPr>
              <w:pStyle w:val="Compact"/>
              <w:jc w:val="left"/>
            </w:pPr>
            <w:r>
              <w:t xml:space="preserve">Links to Core Entity. The UEID from SIR. All identity resolution happens at Core level.</w:t>
            </w:r>
          </w:p>
        </w:tc>
      </w:tr>
      <w:tr>
        <w:tc>
          <w:tcPr/>
          <w:p>
            <w:pPr>
              <w:pStyle w:val="Compact"/>
              <w:jc w:val="left"/>
            </w:pPr>
            <w:r>
              <w:rPr>
                <w:bCs/>
                <w:b/>
              </w:rPr>
              <w:t xml:space="preserve">first_purchase_date</w:t>
            </w:r>
          </w:p>
        </w:tc>
        <w:tc>
          <w:tcPr/>
          <w:p>
            <w:pPr>
              <w:pStyle w:val="Compact"/>
              <w:jc w:val="left"/>
            </w:pPr>
            <w:r>
              <w:t xml:space="preserve">DATE</w:t>
            </w:r>
          </w:p>
        </w:tc>
        <w:tc>
          <w:tcPr/>
          <w:p>
            <w:pPr>
              <w:pStyle w:val="Compact"/>
              <w:jc w:val="left"/>
            </w:pPr>
            <w:r>
              <w:t xml:space="preserve">T2</w:t>
            </w:r>
          </w:p>
        </w:tc>
        <w:tc>
          <w:tcPr/>
          <w:p>
            <w:pPr>
              <w:pStyle w:val="Compact"/>
              <w:jc w:val="left"/>
            </w:pPr>
            <w:r>
              <w:t xml:space="preserve">Date of first-ever transaction. Set by ingestion pipeline on first POS/e-commerce event. Immutable once set.</w:t>
            </w:r>
          </w:p>
        </w:tc>
      </w:tr>
      <w:tr>
        <w:tc>
          <w:tcPr/>
          <w:p>
            <w:pPr>
              <w:pStyle w:val="Compact"/>
              <w:jc w:val="left"/>
            </w:pPr>
            <w:r>
              <w:rPr>
                <w:bCs/>
                <w:b/>
              </w:rPr>
              <w:t xml:space="preserve">last_purchase_date</w:t>
            </w:r>
          </w:p>
        </w:tc>
        <w:tc>
          <w:tcPr/>
          <w:p>
            <w:pPr>
              <w:pStyle w:val="Compact"/>
              <w:jc w:val="left"/>
            </w:pPr>
            <w:r>
              <w:t xml:space="preserve">DATE</w:t>
            </w:r>
          </w:p>
        </w:tc>
        <w:tc>
          <w:tcPr/>
          <w:p>
            <w:pPr>
              <w:pStyle w:val="Compact"/>
              <w:jc w:val="left"/>
            </w:pPr>
            <w:r>
              <w:t xml:space="preserve">T1</w:t>
            </w:r>
          </w:p>
        </w:tc>
        <w:tc>
          <w:tcPr/>
          <w:p>
            <w:pPr>
              <w:pStyle w:val="Compact"/>
              <w:jc w:val="left"/>
            </w:pPr>
            <w:r>
              <w:t xml:space="preserve">Date of most recent transaction. Updated on every new transaction event.</w:t>
            </w:r>
          </w:p>
        </w:tc>
      </w:tr>
      <w:tr>
        <w:tc>
          <w:tcPr/>
          <w:p>
            <w:pPr>
              <w:pStyle w:val="Compact"/>
              <w:jc w:val="left"/>
            </w:pPr>
            <w:r>
              <w:rPr>
                <w:bCs/>
                <w:b/>
              </w:rPr>
              <w:t xml:space="preserve">total_transaction_count</w:t>
            </w:r>
          </w:p>
        </w:tc>
        <w:tc>
          <w:tcPr/>
          <w:p>
            <w:pPr>
              <w:pStyle w:val="Compact"/>
              <w:jc w:val="left"/>
            </w:pPr>
            <w:r>
              <w:t xml:space="preserve">INT</w:t>
            </w:r>
          </w:p>
        </w:tc>
        <w:tc>
          <w:tcPr/>
          <w:p>
            <w:pPr>
              <w:pStyle w:val="Compact"/>
              <w:jc w:val="left"/>
            </w:pPr>
            <w:r>
              <w:t xml:space="preserve">T1</w:t>
            </w:r>
          </w:p>
        </w:tc>
        <w:tc>
          <w:tcPr/>
          <w:p>
            <w:pPr>
              <w:pStyle w:val="Compact"/>
              <w:jc w:val="left"/>
            </w:pPr>
            <w:r>
              <w:t xml:space="preserve">Lifetime transaction count. Incremented by Gold layer aggregation. Not set by ingestion — computed.</w:t>
            </w:r>
          </w:p>
        </w:tc>
      </w:tr>
      <w:tr>
        <w:tc>
          <w:tcPr/>
          <w:p>
            <w:pPr>
              <w:pStyle w:val="Compact"/>
              <w:jc w:val="left"/>
            </w:pPr>
            <w:r>
              <w:rPr>
                <w:bCs/>
                <w:b/>
              </w:rPr>
              <w:t xml:space="preserve">total_spend</w:t>
            </w:r>
          </w:p>
        </w:tc>
        <w:tc>
          <w:tcPr/>
          <w:p>
            <w:pPr>
              <w:pStyle w:val="Compact"/>
              <w:jc w:val="left"/>
            </w:pPr>
            <w:r>
              <w:t xml:space="preserve">NUMERIC(12,2)</w:t>
            </w:r>
          </w:p>
        </w:tc>
        <w:tc>
          <w:tcPr/>
          <w:p>
            <w:pPr>
              <w:pStyle w:val="Compact"/>
              <w:jc w:val="left"/>
            </w:pPr>
            <w:r>
              <w:t xml:space="preserve">T1</w:t>
            </w:r>
          </w:p>
        </w:tc>
        <w:tc>
          <w:tcPr/>
          <w:p>
            <w:pPr>
              <w:pStyle w:val="Compact"/>
              <w:jc w:val="left"/>
            </w:pPr>
            <w:r>
              <w:t xml:space="preserve">Lifetime spend in tenant’s base currency. Computed in Gold layer.</w:t>
            </w:r>
          </w:p>
        </w:tc>
      </w:tr>
      <w:tr>
        <w:tc>
          <w:tcPr/>
          <w:p>
            <w:pPr>
              <w:pStyle w:val="Compact"/>
              <w:jc w:val="left"/>
            </w:pPr>
            <w:r>
              <w:rPr>
                <w:bCs/>
                <w:b/>
              </w:rPr>
              <w:t xml:space="preserve">average_basket_value</w:t>
            </w:r>
          </w:p>
        </w:tc>
        <w:tc>
          <w:tcPr/>
          <w:p>
            <w:pPr>
              <w:pStyle w:val="Compact"/>
              <w:jc w:val="left"/>
            </w:pPr>
            <w:r>
              <w:t xml:space="preserve">NUMERIC(10,2)</w:t>
            </w:r>
          </w:p>
        </w:tc>
        <w:tc>
          <w:tcPr/>
          <w:p>
            <w:pPr>
              <w:pStyle w:val="Compact"/>
              <w:jc w:val="left"/>
            </w:pPr>
            <w:r>
              <w:t xml:space="preserve">T1</w:t>
            </w:r>
          </w:p>
        </w:tc>
        <w:tc>
          <w:tcPr/>
          <w:p>
            <w:pPr>
              <w:pStyle w:val="Compact"/>
              <w:jc w:val="left"/>
            </w:pPr>
            <w:r>
              <w:t xml:space="preserve">total_spend / total_transaction_count. Computed.</w:t>
            </w:r>
          </w:p>
        </w:tc>
      </w:tr>
      <w:tr>
        <w:tc>
          <w:tcPr/>
          <w:p>
            <w:pPr>
              <w:pStyle w:val="Compact"/>
              <w:jc w:val="left"/>
            </w:pPr>
            <w:r>
              <w:rPr>
                <w:bCs/>
                <w:b/>
              </w:rPr>
              <w:t xml:space="preserve">preferred_store_id</w:t>
            </w:r>
          </w:p>
        </w:tc>
        <w:tc>
          <w:tcPr/>
          <w:p>
            <w:pPr>
              <w:pStyle w:val="Compact"/>
              <w:jc w:val="left"/>
            </w:pPr>
            <w:r>
              <w:t xml:space="preserve">UUID (FK)</w:t>
            </w:r>
          </w:p>
        </w:tc>
        <w:tc>
          <w:tcPr/>
          <w:p>
            <w:pPr>
              <w:pStyle w:val="Compact"/>
              <w:jc w:val="left"/>
            </w:pPr>
            <w:r>
              <w:t xml:space="preserve">T2</w:t>
            </w:r>
          </w:p>
        </w:tc>
        <w:tc>
          <w:tcPr/>
          <w:p>
            <w:pPr>
              <w:pStyle w:val="Compact"/>
              <w:jc w:val="left"/>
            </w:pPr>
            <w:r>
              <w:t xml:space="preserve">Store where the customer transacts most frequently. Computed by algorithm (most frequent store in last 90 days). Type 2 because store preference shifts are analytically valuable.</w:t>
            </w:r>
          </w:p>
        </w:tc>
      </w:tr>
      <w:tr>
        <w:tc>
          <w:tcPr/>
          <w:p>
            <w:pPr>
              <w:pStyle w:val="Compact"/>
              <w:jc w:val="left"/>
            </w:pPr>
            <w:r>
              <w:rPr>
                <w:bCs/>
                <w:b/>
              </w:rPr>
              <w:t xml:space="preserve">preferred_channel</w:t>
            </w:r>
          </w:p>
        </w:tc>
        <w:tc>
          <w:tcPr/>
          <w:p>
            <w:pPr>
              <w:pStyle w:val="Compact"/>
              <w:jc w:val="left"/>
            </w:pPr>
            <w:r>
              <w:t xml:space="preserve">ENUM</w:t>
            </w:r>
          </w:p>
        </w:tc>
        <w:tc>
          <w:tcPr/>
          <w:p>
            <w:pPr>
              <w:pStyle w:val="Compact"/>
              <w:jc w:val="left"/>
            </w:pPr>
            <w:r>
              <w:t xml:space="preserve">T2</w:t>
            </w:r>
          </w:p>
        </w:tc>
        <w:tc>
          <w:tcPr/>
          <w:p>
            <w:pPr>
              <w:pStyle w:val="Compact"/>
              <w:jc w:val="left"/>
            </w:pPr>
            <w:r>
              <w:t xml:space="preserve">IN_STORE, E_COMMERCE, OMNICHANNEL. Based on channel mix in last 90 days.</w:t>
            </w:r>
          </w:p>
        </w:tc>
      </w:tr>
      <w:tr>
        <w:tc>
          <w:tcPr/>
          <w:p>
            <w:pPr>
              <w:pStyle w:val="Compact"/>
              <w:jc w:val="left"/>
            </w:pPr>
            <w:r>
              <w:rPr>
                <w:bCs/>
                <w:b/>
              </w:rPr>
              <w:t xml:space="preserve">customer_segment</w:t>
            </w:r>
          </w:p>
        </w:tc>
        <w:tc>
          <w:tcPr/>
          <w:p>
            <w:pPr>
              <w:pStyle w:val="Compact"/>
              <w:jc w:val="left"/>
            </w:pPr>
            <w:r>
              <w:t xml:space="preserve">VARCHAR</w:t>
            </w:r>
          </w:p>
        </w:tc>
        <w:tc>
          <w:tcPr/>
          <w:p>
            <w:pPr>
              <w:pStyle w:val="Compact"/>
              <w:jc w:val="left"/>
            </w:pPr>
            <w:r>
              <w:t xml:space="preserve">T2</w:t>
            </w:r>
          </w:p>
        </w:tc>
        <w:tc>
          <w:tcPr/>
          <w:p>
            <w:pPr>
              <w:pStyle w:val="Compact"/>
              <w:jc w:val="left"/>
            </w:pPr>
            <w:r>
              <w:t xml:space="preserve">Segment assigned by segmentation algorithm (e.g., 'High Value Regular', 'Lapsed Occasional'). Type 2 to track segment migration.</w:t>
            </w:r>
          </w:p>
        </w:tc>
      </w:tr>
      <w:tr>
        <w:tc>
          <w:tcPr/>
          <w:p>
            <w:pPr>
              <w:pStyle w:val="Compact"/>
              <w:jc w:val="left"/>
            </w:pPr>
            <w:r>
              <w:rPr>
                <w:bCs/>
                <w:b/>
              </w:rPr>
              <w:t xml:space="preserve">acquisition_channel</w:t>
            </w:r>
          </w:p>
        </w:tc>
        <w:tc>
          <w:tcPr/>
          <w:p>
            <w:pPr>
              <w:pStyle w:val="Compact"/>
              <w:jc w:val="left"/>
            </w:pPr>
            <w:r>
              <w:t xml:space="preserve">ENUM</w:t>
            </w:r>
          </w:p>
        </w:tc>
        <w:tc>
          <w:tcPr/>
          <w:p>
            <w:pPr>
              <w:pStyle w:val="Compact"/>
              <w:jc w:val="left"/>
            </w:pPr>
            <w:r>
              <w:t xml:space="preserve">T1</w:t>
            </w:r>
          </w:p>
        </w:tc>
        <w:tc>
          <w:tcPr/>
          <w:p>
            <w:pPr>
              <w:pStyle w:val="Compact"/>
              <w:jc w:val="left"/>
            </w:pPr>
            <w:r>
              <w:t xml:space="preserve">Channel through which the customer was first acquired: IN_STORE, E_COMMERCE, REFERRAL, CAMPAIGN. Set once, not changed.</w:t>
            </w:r>
          </w:p>
        </w:tc>
      </w:tr>
      <w:tr>
        <w:tc>
          <w:tcPr/>
          <w:p>
            <w:pPr>
              <w:pStyle w:val="Compact"/>
              <w:jc w:val="left"/>
            </w:pPr>
            <w:r>
              <w:rPr>
                <w:bCs/>
                <w:b/>
              </w:rPr>
              <w:t xml:space="preserve">churn_risk_score</w:t>
            </w:r>
          </w:p>
        </w:tc>
        <w:tc>
          <w:tcPr/>
          <w:p>
            <w:pPr>
              <w:pStyle w:val="Compact"/>
              <w:jc w:val="left"/>
            </w:pPr>
            <w:r>
              <w:t xml:space="preserve">NUMERIC(5,4)</w:t>
            </w:r>
          </w:p>
        </w:tc>
        <w:tc>
          <w:tcPr/>
          <w:p>
            <w:pPr>
              <w:pStyle w:val="Compact"/>
              <w:jc w:val="left"/>
            </w:pPr>
            <w:r>
              <w:t xml:space="preserve">T1</w:t>
            </w:r>
          </w:p>
        </w:tc>
        <w:tc>
          <w:tcPr/>
          <w:p>
            <w:pPr>
              <w:pStyle w:val="Compact"/>
              <w:jc w:val="left"/>
            </w:pPr>
            <w:r>
              <w:t xml:space="preserve">0-1 probability of churn in next 90 days. Computed by churn prediction algorithm. Updated on each model run.</w:t>
            </w:r>
          </w:p>
        </w:tc>
      </w:tr>
      <w:tr>
        <w:tc>
          <w:tcPr/>
          <w:p>
            <w:pPr>
              <w:pStyle w:val="Compact"/>
              <w:jc w:val="left"/>
            </w:pPr>
            <w:r>
              <w:rPr>
                <w:bCs/>
                <w:b/>
              </w:rPr>
              <w:t xml:space="preserve">consent_status</w:t>
            </w:r>
          </w:p>
        </w:tc>
        <w:tc>
          <w:tcPr/>
          <w:p>
            <w:pPr>
              <w:pStyle w:val="Compact"/>
              <w:jc w:val="left"/>
            </w:pPr>
            <w:r>
              <w:t xml:space="preserve">JSONB</w:t>
            </w:r>
          </w:p>
        </w:tc>
        <w:tc>
          <w:tcPr/>
          <w:p>
            <w:pPr>
              <w:pStyle w:val="Compact"/>
              <w:jc w:val="left"/>
            </w:pPr>
            <w:r>
              <w:t xml:space="preserve">T1</w:t>
            </w:r>
          </w:p>
        </w:tc>
        <w:tc>
          <w:tcPr/>
          <w:p>
            <w:pPr>
              <w:pStyle w:val="Compact"/>
              <w:jc w:val="left"/>
            </w:pPr>
            <w:r>
              <w:t xml:space="preserve">Per-purpose consent status: { 'marketing': true, 'analytics': true, 'recognition': false }. Updated by AC03 on consent change.</w:t>
            </w:r>
          </w:p>
        </w:tc>
      </w:tr>
    </w:tbl>
    <w:bookmarkEnd w:id="72"/>
    <w:bookmarkStart w:id="73" w:name="retail.store-extends-location"/>
    <w:p>
      <w:pPr>
        <w:pStyle w:val="Heading3"/>
      </w:pPr>
      <w:r>
        <w:t xml:space="preserve">retail.Store (extends Location)</w:t>
      </w:r>
    </w:p>
    <w:p>
      <w:pPr>
        <w:pStyle w:val="FirstParagraph"/>
      </w:pPr>
      <w:r>
        <w:t xml:space="preserve">A physical retail store. Extends Core Location with retail-specific operational attributes.</w:t>
      </w:r>
    </w:p>
    <w:tbl>
      <w:tblPr>
        <w:tblStyle w:val="Table"/>
        <w:tblW w:type="pct" w:w="4950"/>
        <w:tblLook w:firstRow="0" w:lastRow="0" w:firstColumn="0" w:lastColumn="0" w:noHBand="0" w:noVBand="0" w:val="0000"/>
        <w:jc w:val="start"/>
      </w:tblPr>
      <w:tblGrid>
        <w:gridCol w:w="1058"/>
        <w:gridCol w:w="627"/>
        <w:gridCol w:w="431"/>
        <w:gridCol w:w="5724"/>
      </w:tblGrid>
      <w:tr>
        <w:tc>
          <w:tcPr/>
          <w:p>
            <w:pPr>
              <w:pStyle w:val="Compact"/>
              <w:jc w:val="left"/>
            </w:pPr>
            <w:r>
              <w:rPr>
                <w:bCs/>
                <w:b/>
              </w:rPr>
              <w:t xml:space="preserve">Attribute</w:t>
            </w:r>
          </w:p>
        </w:tc>
        <w:tc>
          <w:tcPr/>
          <w:p>
            <w:pPr>
              <w:pStyle w:val="Compact"/>
              <w:jc w:val="left"/>
            </w:pPr>
            <w:r>
              <w:rPr>
                <w:bCs/>
                <w:b/>
              </w:rPr>
              <w:t xml:space="preserve">Type</w:t>
            </w:r>
          </w:p>
        </w:tc>
        <w:tc>
          <w:tcPr/>
          <w:p>
            <w:pPr>
              <w:pStyle w:val="Compact"/>
              <w:jc w:val="left"/>
            </w:pPr>
            <w:r>
              <w:rPr>
                <w:bCs/>
                <w:b/>
              </w:rPr>
              <w:t xml:space="preserve">SCD</w:t>
            </w:r>
          </w:p>
        </w:tc>
        <w:tc>
          <w:tcPr/>
          <w:p>
            <w:pPr>
              <w:pStyle w:val="Compact"/>
              <w:jc w:val="left"/>
            </w:pPr>
            <w:r>
              <w:rPr>
                <w:bCs/>
                <w:b/>
              </w:rPr>
              <w:t xml:space="preserve">Description</w:t>
            </w:r>
          </w:p>
        </w:tc>
      </w:tr>
      <w:tr>
        <w:tc>
          <w:tcPr/>
          <w:p>
            <w:pPr>
              <w:pStyle w:val="Compact"/>
              <w:jc w:val="left"/>
            </w:pPr>
            <w:r>
              <w:rPr>
                <w:bCs/>
                <w:b/>
              </w:rPr>
              <w:t xml:space="preserve">location_id</w:t>
            </w:r>
          </w:p>
        </w:tc>
        <w:tc>
          <w:tcPr/>
          <w:p>
            <w:pPr>
              <w:pStyle w:val="Compact"/>
              <w:jc w:val="left"/>
            </w:pPr>
            <w:r>
              <w:t xml:space="preserve">UUID (FK)</w:t>
            </w:r>
          </w:p>
        </w:tc>
        <w:tc>
          <w:tcPr/>
          <w:p>
            <w:pPr>
              <w:pStyle w:val="Compact"/>
            </w:pPr>
          </w:p>
        </w:tc>
        <w:tc>
          <w:tcPr/>
          <w:p>
            <w:pPr>
              <w:pStyle w:val="Compact"/>
              <w:jc w:val="left"/>
            </w:pPr>
            <w:r>
              <w:t xml:space="preserve">Links to Core Location.</w:t>
            </w:r>
          </w:p>
        </w:tc>
      </w:tr>
      <w:tr>
        <w:tc>
          <w:tcPr/>
          <w:p>
            <w:pPr>
              <w:pStyle w:val="Compact"/>
              <w:jc w:val="left"/>
            </w:pPr>
            <w:r>
              <w:rPr>
                <w:bCs/>
                <w:b/>
              </w:rPr>
              <w:t xml:space="preserve">store_code</w:t>
            </w:r>
          </w:p>
        </w:tc>
        <w:tc>
          <w:tcPr/>
          <w:p>
            <w:pPr>
              <w:pStyle w:val="Compact"/>
              <w:jc w:val="left"/>
            </w:pPr>
            <w:r>
              <w:t xml:space="preserve">VARCHAR(20)</w:t>
            </w:r>
          </w:p>
        </w:tc>
        <w:tc>
          <w:tcPr/>
          <w:p>
            <w:pPr>
              <w:pStyle w:val="Compact"/>
              <w:jc w:val="left"/>
            </w:pPr>
            <w:r>
              <w:t xml:space="preserve">T1</w:t>
            </w:r>
          </w:p>
        </w:tc>
        <w:tc>
          <w:tcPr/>
          <w:p>
            <w:pPr>
              <w:pStyle w:val="Compact"/>
              <w:jc w:val="left"/>
            </w:pPr>
            <w:r>
              <w:t xml:space="preserve">Tenant’s internal store code (e.g., 'MUM-BKC-001'). Unique within tenant.</w:t>
            </w:r>
          </w:p>
        </w:tc>
      </w:tr>
      <w:tr>
        <w:tc>
          <w:tcPr/>
          <w:p>
            <w:pPr>
              <w:pStyle w:val="Compact"/>
              <w:jc w:val="left"/>
            </w:pPr>
            <w:r>
              <w:rPr>
                <w:bCs/>
                <w:b/>
              </w:rPr>
              <w:t xml:space="preserve">format_type</w:t>
            </w:r>
          </w:p>
        </w:tc>
        <w:tc>
          <w:tcPr/>
          <w:p>
            <w:pPr>
              <w:pStyle w:val="Compact"/>
              <w:jc w:val="left"/>
            </w:pPr>
            <w:r>
              <w:t xml:space="preserve">ENUM</w:t>
            </w:r>
          </w:p>
        </w:tc>
        <w:tc>
          <w:tcPr/>
          <w:p>
            <w:pPr>
              <w:pStyle w:val="Compact"/>
              <w:jc w:val="left"/>
            </w:pPr>
            <w:r>
              <w:t xml:space="preserve">T2</w:t>
            </w:r>
          </w:p>
        </w:tc>
        <w:tc>
          <w:tcPr/>
          <w:p>
            <w:pPr>
              <w:pStyle w:val="Compact"/>
              <w:jc w:val="left"/>
            </w:pPr>
            <w:r>
              <w:t xml:space="preserve">FLAGSHIP, HIGH_STREET, MALL, AIRPORT, KIOSK, POP_UP. Type 2 because format changes (kiosk upgraded to full store) are analytically significant.</w:t>
            </w:r>
          </w:p>
        </w:tc>
      </w:tr>
      <w:tr>
        <w:tc>
          <w:tcPr/>
          <w:p>
            <w:pPr>
              <w:pStyle w:val="Compact"/>
              <w:jc w:val="left"/>
            </w:pPr>
            <w:r>
              <w:rPr>
                <w:bCs/>
                <w:b/>
              </w:rPr>
              <w:t xml:space="preserve">area_sqft</w:t>
            </w:r>
          </w:p>
        </w:tc>
        <w:tc>
          <w:tcPr/>
          <w:p>
            <w:pPr>
              <w:pStyle w:val="Compact"/>
              <w:jc w:val="left"/>
            </w:pPr>
            <w:r>
              <w:t xml:space="preserve">NUMERIC(10,2)</w:t>
            </w:r>
          </w:p>
        </w:tc>
        <w:tc>
          <w:tcPr/>
          <w:p>
            <w:pPr>
              <w:pStyle w:val="Compact"/>
              <w:jc w:val="left"/>
            </w:pPr>
            <w:r>
              <w:t xml:space="preserve">T2</w:t>
            </w:r>
          </w:p>
        </w:tc>
        <w:tc>
          <w:tcPr/>
          <w:p>
            <w:pPr>
              <w:pStyle w:val="Compact"/>
              <w:jc w:val="left"/>
            </w:pPr>
            <w:r>
              <w:t xml:space="preserve">Retail selling area in square feet. Used for revenue-per-sqft KPI.</w:t>
            </w:r>
          </w:p>
        </w:tc>
      </w:tr>
      <w:tr>
        <w:tc>
          <w:tcPr/>
          <w:p>
            <w:pPr>
              <w:pStyle w:val="Compact"/>
              <w:jc w:val="left"/>
            </w:pPr>
            <w:r>
              <w:rPr>
                <w:bCs/>
                <w:b/>
              </w:rPr>
              <w:t xml:space="preserve">opening_date</w:t>
            </w:r>
          </w:p>
        </w:tc>
        <w:tc>
          <w:tcPr/>
          <w:p>
            <w:pPr>
              <w:pStyle w:val="Compact"/>
              <w:jc w:val="left"/>
            </w:pPr>
            <w:r>
              <w:t xml:space="preserve">DATE</w:t>
            </w:r>
          </w:p>
        </w:tc>
        <w:tc>
          <w:tcPr/>
          <w:p>
            <w:pPr>
              <w:pStyle w:val="Compact"/>
              <w:jc w:val="left"/>
            </w:pPr>
            <w:r>
              <w:t xml:space="preserve">T1</w:t>
            </w:r>
          </w:p>
        </w:tc>
        <w:tc>
          <w:tcPr/>
          <w:p>
            <w:pPr>
              <w:pStyle w:val="Compact"/>
              <w:jc w:val="left"/>
            </w:pPr>
            <w:r>
              <w:t xml:space="preserve">Store opening date.</w:t>
            </w:r>
          </w:p>
        </w:tc>
      </w:tr>
      <w:tr>
        <w:tc>
          <w:tcPr/>
          <w:p>
            <w:pPr>
              <w:pStyle w:val="Compact"/>
              <w:jc w:val="left"/>
            </w:pPr>
            <w:r>
              <w:rPr>
                <w:bCs/>
                <w:b/>
              </w:rPr>
              <w:t xml:space="preserve">closing_date</w:t>
            </w:r>
          </w:p>
        </w:tc>
        <w:tc>
          <w:tcPr/>
          <w:p>
            <w:pPr>
              <w:pStyle w:val="Compact"/>
              <w:jc w:val="left"/>
            </w:pPr>
            <w:r>
              <w:t xml:space="preserve">DATE</w:t>
            </w:r>
          </w:p>
        </w:tc>
        <w:tc>
          <w:tcPr/>
          <w:p>
            <w:pPr>
              <w:pStyle w:val="Compact"/>
              <w:jc w:val="left"/>
            </w:pPr>
            <w:r>
              <w:t xml:space="preserve">T1</w:t>
            </w:r>
          </w:p>
        </w:tc>
        <w:tc>
          <w:tcPr/>
          <w:p>
            <w:pPr>
              <w:pStyle w:val="Compact"/>
              <w:jc w:val="left"/>
            </w:pPr>
            <w:r>
              <w:t xml:space="preserve">Store closing date. NULL if currently operating.</w:t>
            </w:r>
          </w:p>
        </w:tc>
      </w:tr>
      <w:tr>
        <w:tc>
          <w:tcPr/>
          <w:p>
            <w:pPr>
              <w:pStyle w:val="Compact"/>
              <w:jc w:val="left"/>
            </w:pPr>
            <w:r>
              <w:rPr>
                <w:bCs/>
                <w:b/>
              </w:rPr>
              <w:t xml:space="preserve">operating_hours</w:t>
            </w:r>
          </w:p>
        </w:tc>
        <w:tc>
          <w:tcPr/>
          <w:p>
            <w:pPr>
              <w:pStyle w:val="Compact"/>
              <w:jc w:val="left"/>
            </w:pPr>
            <w:r>
              <w:t xml:space="preserve">JSONB</w:t>
            </w:r>
          </w:p>
        </w:tc>
        <w:tc>
          <w:tcPr/>
          <w:p>
            <w:pPr>
              <w:pStyle w:val="Compact"/>
              <w:jc w:val="left"/>
            </w:pPr>
            <w:r>
              <w:t xml:space="preserve">T1</w:t>
            </w:r>
          </w:p>
        </w:tc>
        <w:tc>
          <w:tcPr/>
          <w:p>
            <w:pPr>
              <w:pStyle w:val="Compact"/>
              <w:jc w:val="left"/>
            </w:pPr>
            <w:r>
              <w:t xml:space="preserve">Weekly operating hours: { 'mon': {'open':'10:00','close':'21:00'}, ... }</w:t>
            </w:r>
          </w:p>
        </w:tc>
      </w:tr>
      <w:tr>
        <w:tc>
          <w:tcPr/>
          <w:p>
            <w:pPr>
              <w:pStyle w:val="Compact"/>
              <w:jc w:val="left"/>
            </w:pPr>
            <w:r>
              <w:rPr>
                <w:bCs/>
                <w:b/>
              </w:rPr>
              <w:t xml:space="preserve">manager_entity_id</w:t>
            </w:r>
          </w:p>
        </w:tc>
        <w:tc>
          <w:tcPr/>
          <w:p>
            <w:pPr>
              <w:pStyle w:val="Compact"/>
              <w:jc w:val="left"/>
            </w:pPr>
            <w:r>
              <w:t xml:space="preserve">UUID (FK)</w:t>
            </w:r>
          </w:p>
        </w:tc>
        <w:tc>
          <w:tcPr/>
          <w:p>
            <w:pPr>
              <w:pStyle w:val="Compact"/>
              <w:jc w:val="left"/>
            </w:pPr>
            <w:r>
              <w:t xml:space="preserve">T2</w:t>
            </w:r>
          </w:p>
        </w:tc>
        <w:tc>
          <w:tcPr/>
          <w:p>
            <w:pPr>
              <w:pStyle w:val="Compact"/>
              <w:jc w:val="left"/>
            </w:pPr>
            <w:r>
              <w:t xml:space="preserve">Entity ID of the current store manager. Type 2 to track manager tenure.</w:t>
            </w:r>
          </w:p>
        </w:tc>
      </w:tr>
      <w:tr>
        <w:tc>
          <w:tcPr/>
          <w:p>
            <w:pPr>
              <w:pStyle w:val="Compact"/>
              <w:jc w:val="left"/>
            </w:pPr>
            <w:r>
              <w:rPr>
                <w:bCs/>
                <w:b/>
              </w:rPr>
              <w:t xml:space="preserve">zone_count</w:t>
            </w:r>
          </w:p>
        </w:tc>
        <w:tc>
          <w:tcPr/>
          <w:p>
            <w:pPr>
              <w:pStyle w:val="Compact"/>
              <w:jc w:val="left"/>
            </w:pPr>
            <w:r>
              <w:t xml:space="preserve">INT</w:t>
            </w:r>
          </w:p>
        </w:tc>
        <w:tc>
          <w:tcPr/>
          <w:p>
            <w:pPr>
              <w:pStyle w:val="Compact"/>
              <w:jc w:val="left"/>
            </w:pPr>
            <w:r>
              <w:t xml:space="preserve">T1</w:t>
            </w:r>
          </w:p>
        </w:tc>
        <w:tc>
          <w:tcPr/>
          <w:p>
            <w:pPr>
              <w:pStyle w:val="Compact"/>
              <w:jc w:val="left"/>
            </w:pPr>
            <w:r>
              <w:t xml:space="preserve">Number of zones/departments in the store.</w:t>
            </w:r>
          </w:p>
        </w:tc>
      </w:tr>
      <w:tr>
        <w:tc>
          <w:tcPr/>
          <w:p>
            <w:pPr>
              <w:pStyle w:val="Compact"/>
              <w:jc w:val="left"/>
            </w:pPr>
            <w:r>
              <w:rPr>
                <w:bCs/>
                <w:b/>
              </w:rPr>
              <w:t xml:space="preserve">has_ecommerce_pickup</w:t>
            </w:r>
          </w:p>
        </w:tc>
        <w:tc>
          <w:tcPr/>
          <w:p>
            <w:pPr>
              <w:pStyle w:val="Compact"/>
              <w:jc w:val="left"/>
            </w:pPr>
            <w:r>
              <w:t xml:space="preserve">BOOLEAN</w:t>
            </w:r>
          </w:p>
        </w:tc>
        <w:tc>
          <w:tcPr/>
          <w:p>
            <w:pPr>
              <w:pStyle w:val="Compact"/>
              <w:jc w:val="left"/>
            </w:pPr>
            <w:r>
              <w:t xml:space="preserve">T1</w:t>
            </w:r>
          </w:p>
        </w:tc>
        <w:tc>
          <w:tcPr/>
          <w:p>
            <w:pPr>
              <w:pStyle w:val="Compact"/>
              <w:jc w:val="left"/>
            </w:pPr>
            <w:r>
              <w:t xml:space="preserve">Whether the store supports click-and-collect.</w:t>
            </w:r>
          </w:p>
        </w:tc>
      </w:tr>
      <w:tr>
        <w:tc>
          <w:tcPr/>
          <w:p>
            <w:pPr>
              <w:pStyle w:val="Compact"/>
              <w:jc w:val="left"/>
            </w:pPr>
            <w:r>
              <w:rPr>
                <w:bCs/>
                <w:b/>
              </w:rPr>
              <w:t xml:space="preserve">hierarchy_node_id</w:t>
            </w:r>
          </w:p>
        </w:tc>
        <w:tc>
          <w:tcPr/>
          <w:p>
            <w:pPr>
              <w:pStyle w:val="Compact"/>
              <w:jc w:val="left"/>
            </w:pPr>
            <w:r>
              <w:t xml:space="preserve">UUID (FK)</w:t>
            </w:r>
          </w:p>
        </w:tc>
        <w:tc>
          <w:tcPr/>
          <w:p>
            <w:pPr>
              <w:pStyle w:val="Compact"/>
            </w:pPr>
          </w:p>
        </w:tc>
        <w:tc>
          <w:tcPr/>
          <w:p>
            <w:pPr>
              <w:pStyle w:val="Compact"/>
              <w:jc w:val="left"/>
            </w:pPr>
            <w:r>
              <w:t xml:space="preserve">Links to AC02 hierarchy engine. Position in Chain→Region→City→Store→Zone tree.</w:t>
            </w:r>
          </w:p>
        </w:tc>
      </w:tr>
    </w:tbl>
    <w:bookmarkEnd w:id="73"/>
    <w:bookmarkStart w:id="74" w:name="retail.product-extends-asset"/>
    <w:p>
      <w:pPr>
        <w:pStyle w:val="Heading3"/>
      </w:pPr>
      <w:r>
        <w:t xml:space="preserve">retail.Product (extends Asset)</w:t>
      </w:r>
    </w:p>
    <w:p>
      <w:pPr>
        <w:pStyle w:val="FirstParagraph"/>
      </w:pPr>
      <w:r>
        <w:t xml:space="preserve">A sellable product in the retail catalog.</w:t>
      </w:r>
    </w:p>
    <w:tbl>
      <w:tblPr>
        <w:tblStyle w:val="Table"/>
        <w:tblW w:type="pct" w:w="4948"/>
        <w:tblLook w:firstRow="0" w:lastRow="0" w:firstColumn="0" w:lastColumn="0" w:noHBand="0" w:noVBand="0" w:val="0000"/>
        <w:jc w:val="start"/>
      </w:tblPr>
      <w:tblGrid>
        <w:gridCol w:w="948"/>
        <w:gridCol w:w="660"/>
        <w:gridCol w:w="453"/>
        <w:gridCol w:w="5775"/>
      </w:tblGrid>
      <w:tr>
        <w:tc>
          <w:tcPr/>
          <w:p>
            <w:pPr>
              <w:pStyle w:val="Compact"/>
              <w:jc w:val="left"/>
            </w:pPr>
            <w:r>
              <w:rPr>
                <w:bCs/>
                <w:b/>
              </w:rPr>
              <w:t xml:space="preserve">Attribute</w:t>
            </w:r>
          </w:p>
        </w:tc>
        <w:tc>
          <w:tcPr/>
          <w:p>
            <w:pPr>
              <w:pStyle w:val="Compact"/>
              <w:jc w:val="left"/>
            </w:pPr>
            <w:r>
              <w:rPr>
                <w:bCs/>
                <w:b/>
              </w:rPr>
              <w:t xml:space="preserve">Type</w:t>
            </w:r>
          </w:p>
        </w:tc>
        <w:tc>
          <w:tcPr/>
          <w:p>
            <w:pPr>
              <w:pStyle w:val="Compact"/>
              <w:jc w:val="left"/>
            </w:pPr>
            <w:r>
              <w:rPr>
                <w:bCs/>
                <w:b/>
              </w:rPr>
              <w:t xml:space="preserve">SCD</w:t>
            </w:r>
          </w:p>
        </w:tc>
        <w:tc>
          <w:tcPr/>
          <w:p>
            <w:pPr>
              <w:pStyle w:val="Compact"/>
              <w:jc w:val="left"/>
            </w:pPr>
            <w:r>
              <w:rPr>
                <w:bCs/>
                <w:b/>
              </w:rPr>
              <w:t xml:space="preserve">Description</w:t>
            </w:r>
          </w:p>
        </w:tc>
      </w:tr>
      <w:tr>
        <w:tc>
          <w:tcPr/>
          <w:p>
            <w:pPr>
              <w:pStyle w:val="Compact"/>
              <w:jc w:val="left"/>
            </w:pPr>
            <w:r>
              <w:rPr>
                <w:bCs/>
                <w:b/>
              </w:rPr>
              <w:t xml:space="preserve">asset_id</w:t>
            </w:r>
          </w:p>
        </w:tc>
        <w:tc>
          <w:tcPr/>
          <w:p>
            <w:pPr>
              <w:pStyle w:val="Compact"/>
              <w:jc w:val="left"/>
            </w:pPr>
            <w:r>
              <w:t xml:space="preserve">UUID (FK)</w:t>
            </w:r>
          </w:p>
        </w:tc>
        <w:tc>
          <w:tcPr/>
          <w:p>
            <w:pPr>
              <w:pStyle w:val="Compact"/>
            </w:pPr>
          </w:p>
        </w:tc>
        <w:tc>
          <w:tcPr/>
          <w:p>
            <w:pPr>
              <w:pStyle w:val="Compact"/>
              <w:jc w:val="left"/>
            </w:pPr>
            <w:r>
              <w:t xml:space="preserve">Links to Core Asset.</w:t>
            </w:r>
          </w:p>
        </w:tc>
      </w:tr>
      <w:tr>
        <w:tc>
          <w:tcPr/>
          <w:p>
            <w:pPr>
              <w:pStyle w:val="Compact"/>
              <w:jc w:val="left"/>
            </w:pPr>
            <w:r>
              <w:rPr>
                <w:bCs/>
                <w:b/>
              </w:rPr>
              <w:t xml:space="preserve">sku</w:t>
            </w:r>
          </w:p>
        </w:tc>
        <w:tc>
          <w:tcPr/>
          <w:p>
            <w:pPr>
              <w:pStyle w:val="Compact"/>
              <w:jc w:val="left"/>
            </w:pPr>
            <w:r>
              <w:t xml:space="preserve">VARCHAR(50)</w:t>
            </w:r>
          </w:p>
        </w:tc>
        <w:tc>
          <w:tcPr/>
          <w:p>
            <w:pPr>
              <w:pStyle w:val="Compact"/>
              <w:jc w:val="left"/>
            </w:pPr>
            <w:r>
              <w:t xml:space="preserve">T1</w:t>
            </w:r>
          </w:p>
        </w:tc>
        <w:tc>
          <w:tcPr/>
          <w:p>
            <w:pPr>
              <w:pStyle w:val="Compact"/>
              <w:jc w:val="left"/>
            </w:pPr>
            <w:r>
              <w:t xml:space="preserve">Stock Keeping Unit code. Unique within tenant.</w:t>
            </w:r>
          </w:p>
        </w:tc>
      </w:tr>
      <w:tr>
        <w:tc>
          <w:tcPr/>
          <w:p>
            <w:pPr>
              <w:pStyle w:val="Compact"/>
              <w:jc w:val="left"/>
            </w:pPr>
            <w:r>
              <w:rPr>
                <w:bCs/>
                <w:b/>
              </w:rPr>
              <w:t xml:space="preserve">barcode</w:t>
            </w:r>
          </w:p>
        </w:tc>
        <w:tc>
          <w:tcPr/>
          <w:p>
            <w:pPr>
              <w:pStyle w:val="Compact"/>
              <w:jc w:val="left"/>
            </w:pPr>
            <w:r>
              <w:t xml:space="preserve">VARCHAR(20)</w:t>
            </w:r>
          </w:p>
        </w:tc>
        <w:tc>
          <w:tcPr/>
          <w:p>
            <w:pPr>
              <w:pStyle w:val="Compact"/>
              <w:jc w:val="left"/>
            </w:pPr>
            <w:r>
              <w:t xml:space="preserve">T1</w:t>
            </w:r>
          </w:p>
        </w:tc>
        <w:tc>
          <w:tcPr/>
          <w:p>
            <w:pPr>
              <w:pStyle w:val="Compact"/>
              <w:jc w:val="left"/>
            </w:pPr>
            <w:r>
              <w:t xml:space="preserve">EAN/UPC barcode.</w:t>
            </w:r>
          </w:p>
        </w:tc>
      </w:tr>
      <w:tr>
        <w:tc>
          <w:tcPr/>
          <w:p>
            <w:pPr>
              <w:pStyle w:val="Compact"/>
              <w:jc w:val="left"/>
            </w:pPr>
            <w:r>
              <w:rPr>
                <w:bCs/>
                <w:b/>
              </w:rPr>
              <w:t xml:space="preserve">product_name</w:t>
            </w:r>
          </w:p>
        </w:tc>
        <w:tc>
          <w:tcPr/>
          <w:p>
            <w:pPr>
              <w:pStyle w:val="Compact"/>
              <w:jc w:val="left"/>
            </w:pPr>
            <w:r>
              <w:t xml:space="preserve">VARCHAR(255)</w:t>
            </w:r>
          </w:p>
        </w:tc>
        <w:tc>
          <w:tcPr/>
          <w:p>
            <w:pPr>
              <w:pStyle w:val="Compact"/>
              <w:jc w:val="left"/>
            </w:pPr>
            <w:r>
              <w:t xml:space="preserve">T1</w:t>
            </w:r>
          </w:p>
        </w:tc>
        <w:tc>
          <w:tcPr/>
          <w:p>
            <w:pPr>
              <w:pStyle w:val="Compact"/>
              <w:jc w:val="left"/>
            </w:pPr>
            <w:r>
              <w:t xml:space="preserve">Display name.</w:t>
            </w:r>
          </w:p>
        </w:tc>
      </w:tr>
      <w:tr>
        <w:tc>
          <w:tcPr/>
          <w:p>
            <w:pPr>
              <w:pStyle w:val="Compact"/>
              <w:jc w:val="left"/>
            </w:pPr>
            <w:r>
              <w:rPr>
                <w:bCs/>
                <w:b/>
              </w:rPr>
              <w:t xml:space="preserve">brand</w:t>
            </w:r>
          </w:p>
        </w:tc>
        <w:tc>
          <w:tcPr/>
          <w:p>
            <w:pPr>
              <w:pStyle w:val="Compact"/>
              <w:jc w:val="left"/>
            </w:pPr>
            <w:r>
              <w:t xml:space="preserve">VARCHAR(100)</w:t>
            </w:r>
          </w:p>
        </w:tc>
        <w:tc>
          <w:tcPr/>
          <w:p>
            <w:pPr>
              <w:pStyle w:val="Compact"/>
              <w:jc w:val="left"/>
            </w:pPr>
            <w:r>
              <w:t xml:space="preserve">T1</w:t>
            </w:r>
          </w:p>
        </w:tc>
        <w:tc>
          <w:tcPr/>
          <w:p>
            <w:pPr>
              <w:pStyle w:val="Compact"/>
              <w:jc w:val="left"/>
            </w:pPr>
            <w:r>
              <w:t xml:space="preserve">Product brand (may differ from tenant brand for multi-brand retailers).</w:t>
            </w:r>
          </w:p>
        </w:tc>
      </w:tr>
      <w:tr>
        <w:tc>
          <w:tcPr/>
          <w:p>
            <w:pPr>
              <w:pStyle w:val="Compact"/>
              <w:jc w:val="left"/>
            </w:pPr>
            <w:r>
              <w:rPr>
                <w:bCs/>
                <w:b/>
              </w:rPr>
              <w:t xml:space="preserve">category_l1</w:t>
            </w:r>
          </w:p>
        </w:tc>
        <w:tc>
          <w:tcPr/>
          <w:p>
            <w:pPr>
              <w:pStyle w:val="Compact"/>
              <w:jc w:val="left"/>
            </w:pPr>
            <w:r>
              <w:t xml:space="preserve">VARCHAR(100)</w:t>
            </w:r>
          </w:p>
        </w:tc>
        <w:tc>
          <w:tcPr/>
          <w:p>
            <w:pPr>
              <w:pStyle w:val="Compact"/>
              <w:jc w:val="left"/>
            </w:pPr>
            <w:r>
              <w:t xml:space="preserve">T2</w:t>
            </w:r>
          </w:p>
        </w:tc>
        <w:tc>
          <w:tcPr/>
          <w:p>
            <w:pPr>
              <w:pStyle w:val="Compact"/>
              <w:jc w:val="left"/>
            </w:pPr>
            <w:r>
              <w:t xml:space="preserve">Top-level product category (e.g., 'Skincare', 'Haircare', 'Makeup'). Type 2: category reclassification is analytically significant.</w:t>
            </w:r>
          </w:p>
        </w:tc>
      </w:tr>
      <w:tr>
        <w:tc>
          <w:tcPr/>
          <w:p>
            <w:pPr>
              <w:pStyle w:val="Compact"/>
              <w:jc w:val="left"/>
            </w:pPr>
            <w:r>
              <w:rPr>
                <w:bCs/>
                <w:b/>
              </w:rPr>
              <w:t xml:space="preserve">category_l2</w:t>
            </w:r>
          </w:p>
        </w:tc>
        <w:tc>
          <w:tcPr/>
          <w:p>
            <w:pPr>
              <w:pStyle w:val="Compact"/>
              <w:jc w:val="left"/>
            </w:pPr>
            <w:r>
              <w:t xml:space="preserve">VARCHAR(100)</w:t>
            </w:r>
          </w:p>
        </w:tc>
        <w:tc>
          <w:tcPr/>
          <w:p>
            <w:pPr>
              <w:pStyle w:val="Compact"/>
              <w:jc w:val="left"/>
            </w:pPr>
            <w:r>
              <w:t xml:space="preserve">T2</w:t>
            </w:r>
          </w:p>
        </w:tc>
        <w:tc>
          <w:tcPr/>
          <w:p>
            <w:pPr>
              <w:pStyle w:val="Compact"/>
              <w:jc w:val="left"/>
            </w:pPr>
            <w:r>
              <w:t xml:space="preserve">Sub-category (e.g., 'Moisturizers', 'Serums', 'Masks').</w:t>
            </w:r>
          </w:p>
        </w:tc>
      </w:tr>
      <w:tr>
        <w:tc>
          <w:tcPr/>
          <w:p>
            <w:pPr>
              <w:pStyle w:val="Compact"/>
              <w:jc w:val="left"/>
            </w:pPr>
            <w:r>
              <w:rPr>
                <w:bCs/>
                <w:b/>
              </w:rPr>
              <w:t xml:space="preserve">category_l3</w:t>
            </w:r>
          </w:p>
        </w:tc>
        <w:tc>
          <w:tcPr/>
          <w:p>
            <w:pPr>
              <w:pStyle w:val="Compact"/>
              <w:jc w:val="left"/>
            </w:pPr>
            <w:r>
              <w:t xml:space="preserve">VARCHAR(100)</w:t>
            </w:r>
          </w:p>
        </w:tc>
        <w:tc>
          <w:tcPr/>
          <w:p>
            <w:pPr>
              <w:pStyle w:val="Compact"/>
              <w:jc w:val="left"/>
            </w:pPr>
            <w:r>
              <w:t xml:space="preserve">T2</w:t>
            </w:r>
          </w:p>
        </w:tc>
        <w:tc>
          <w:tcPr/>
          <w:p>
            <w:pPr>
              <w:pStyle w:val="Compact"/>
              <w:jc w:val="left"/>
            </w:pPr>
            <w:r>
              <w:t xml:space="preserve">Product line (e.g., 'Tea Tree', 'Vitamin E', 'British Rose').</w:t>
            </w:r>
          </w:p>
        </w:tc>
      </w:tr>
      <w:tr>
        <w:tc>
          <w:tcPr/>
          <w:p>
            <w:pPr>
              <w:pStyle w:val="Compact"/>
              <w:jc w:val="left"/>
            </w:pPr>
            <w:r>
              <w:rPr>
                <w:bCs/>
                <w:b/>
              </w:rPr>
              <w:t xml:space="preserve">mrp</w:t>
            </w:r>
          </w:p>
        </w:tc>
        <w:tc>
          <w:tcPr/>
          <w:p>
            <w:pPr>
              <w:pStyle w:val="Compact"/>
              <w:jc w:val="left"/>
            </w:pPr>
            <w:r>
              <w:t xml:space="preserve">NUMERIC(10,2)</w:t>
            </w:r>
          </w:p>
        </w:tc>
        <w:tc>
          <w:tcPr/>
          <w:p>
            <w:pPr>
              <w:pStyle w:val="Compact"/>
              <w:jc w:val="left"/>
            </w:pPr>
            <w:r>
              <w:t xml:space="preserve">T2</w:t>
            </w:r>
          </w:p>
        </w:tc>
        <w:tc>
          <w:tcPr/>
          <w:p>
            <w:pPr>
              <w:pStyle w:val="Compact"/>
              <w:jc w:val="left"/>
            </w:pPr>
            <w:r>
              <w:t xml:space="preserve">Maximum retail price. Type 2 to track price changes over time.</w:t>
            </w:r>
          </w:p>
        </w:tc>
      </w:tr>
      <w:tr>
        <w:tc>
          <w:tcPr/>
          <w:p>
            <w:pPr>
              <w:pStyle w:val="Compact"/>
              <w:jc w:val="left"/>
            </w:pPr>
            <w:r>
              <w:rPr>
                <w:bCs/>
                <w:b/>
              </w:rPr>
              <w:t xml:space="preserve">cost_price</w:t>
            </w:r>
          </w:p>
        </w:tc>
        <w:tc>
          <w:tcPr/>
          <w:p>
            <w:pPr>
              <w:pStyle w:val="Compact"/>
              <w:jc w:val="left"/>
            </w:pPr>
            <w:r>
              <w:t xml:space="preserve">NUMERIC(10,2)</w:t>
            </w:r>
          </w:p>
        </w:tc>
        <w:tc>
          <w:tcPr/>
          <w:p>
            <w:pPr>
              <w:pStyle w:val="Compact"/>
              <w:jc w:val="left"/>
            </w:pPr>
            <w:r>
              <w:t xml:space="preserve">T2</w:t>
            </w:r>
          </w:p>
        </w:tc>
        <w:tc>
          <w:tcPr/>
          <w:p>
            <w:pPr>
              <w:pStyle w:val="Compact"/>
              <w:jc w:val="left"/>
            </w:pPr>
            <w:r>
              <w:t xml:space="preserve">Cost price (if tenant provides). Used for margin analysis.</w:t>
            </w:r>
          </w:p>
        </w:tc>
      </w:tr>
      <w:tr>
        <w:tc>
          <w:tcPr/>
          <w:p>
            <w:pPr>
              <w:pStyle w:val="Compact"/>
              <w:jc w:val="left"/>
            </w:pPr>
            <w:r>
              <w:rPr>
                <w:bCs/>
                <w:b/>
              </w:rPr>
              <w:t xml:space="preserve">is_active</w:t>
            </w:r>
          </w:p>
        </w:tc>
        <w:tc>
          <w:tcPr/>
          <w:p>
            <w:pPr>
              <w:pStyle w:val="Compact"/>
              <w:jc w:val="left"/>
            </w:pPr>
            <w:r>
              <w:t xml:space="preserve">BOOLEAN</w:t>
            </w:r>
          </w:p>
        </w:tc>
        <w:tc>
          <w:tcPr/>
          <w:p>
            <w:pPr>
              <w:pStyle w:val="Compact"/>
              <w:jc w:val="left"/>
            </w:pPr>
            <w:r>
              <w:t xml:space="preserve">T1</w:t>
            </w:r>
          </w:p>
        </w:tc>
        <w:tc>
          <w:tcPr/>
          <w:p>
            <w:pPr>
              <w:pStyle w:val="Compact"/>
              <w:jc w:val="left"/>
            </w:pPr>
            <w:r>
              <w:t xml:space="preserve">Whether the product is currently in the active catalog.</w:t>
            </w:r>
          </w:p>
        </w:tc>
      </w:tr>
      <w:tr>
        <w:tc>
          <w:tcPr/>
          <w:p>
            <w:pPr>
              <w:pStyle w:val="Compact"/>
              <w:jc w:val="left"/>
            </w:pPr>
            <w:r>
              <w:rPr>
                <w:bCs/>
                <w:b/>
              </w:rPr>
              <w:t xml:space="preserve">launch_date</w:t>
            </w:r>
          </w:p>
        </w:tc>
        <w:tc>
          <w:tcPr/>
          <w:p>
            <w:pPr>
              <w:pStyle w:val="Compact"/>
              <w:jc w:val="left"/>
            </w:pPr>
            <w:r>
              <w:t xml:space="preserve">DATE</w:t>
            </w:r>
          </w:p>
        </w:tc>
        <w:tc>
          <w:tcPr/>
          <w:p>
            <w:pPr>
              <w:pStyle w:val="Compact"/>
              <w:jc w:val="left"/>
            </w:pPr>
            <w:r>
              <w:t xml:space="preserve">T1</w:t>
            </w:r>
          </w:p>
        </w:tc>
        <w:tc>
          <w:tcPr/>
          <w:p>
            <w:pPr>
              <w:pStyle w:val="Compact"/>
              <w:jc w:val="left"/>
            </w:pPr>
            <w:r>
              <w:t xml:space="preserve">Product launch date.</w:t>
            </w:r>
          </w:p>
        </w:tc>
      </w:tr>
      <w:tr>
        <w:tc>
          <w:tcPr/>
          <w:p>
            <w:pPr>
              <w:pStyle w:val="Compact"/>
              <w:jc w:val="left"/>
            </w:pPr>
            <w:r>
              <w:rPr>
                <w:bCs/>
                <w:b/>
              </w:rPr>
              <w:t xml:space="preserve">weight_grams</w:t>
            </w:r>
          </w:p>
        </w:tc>
        <w:tc>
          <w:tcPr/>
          <w:p>
            <w:pPr>
              <w:pStyle w:val="Compact"/>
              <w:jc w:val="left"/>
            </w:pPr>
            <w:r>
              <w:t xml:space="preserve">NUMERIC(10,2)</w:t>
            </w:r>
          </w:p>
        </w:tc>
        <w:tc>
          <w:tcPr/>
          <w:p>
            <w:pPr>
              <w:pStyle w:val="Compact"/>
              <w:jc w:val="left"/>
            </w:pPr>
            <w:r>
              <w:t xml:space="preserve">T1</w:t>
            </w:r>
          </w:p>
        </w:tc>
        <w:tc>
          <w:tcPr/>
          <w:p>
            <w:pPr>
              <w:pStyle w:val="Compact"/>
              <w:jc w:val="left"/>
            </w:pPr>
            <w:r>
              <w:t xml:space="preserve">Product weight.</w:t>
            </w:r>
          </w:p>
        </w:tc>
      </w:tr>
      <w:tr>
        <w:tc>
          <w:tcPr/>
          <w:p>
            <w:pPr>
              <w:pStyle w:val="Compact"/>
              <w:jc w:val="left"/>
            </w:pPr>
            <w:r>
              <w:rPr>
                <w:bCs/>
                <w:b/>
              </w:rPr>
              <w:t xml:space="preserve">is_vegan</w:t>
            </w:r>
          </w:p>
        </w:tc>
        <w:tc>
          <w:tcPr/>
          <w:p>
            <w:pPr>
              <w:pStyle w:val="Compact"/>
              <w:jc w:val="left"/>
            </w:pPr>
            <w:r>
              <w:t xml:space="preserve">BOOLEAN</w:t>
            </w:r>
          </w:p>
        </w:tc>
        <w:tc>
          <w:tcPr/>
          <w:p>
            <w:pPr>
              <w:pStyle w:val="Compact"/>
              <w:jc w:val="left"/>
            </w:pPr>
            <w:r>
              <w:t xml:space="preserve">T1</w:t>
            </w:r>
          </w:p>
        </w:tc>
        <w:tc>
          <w:tcPr/>
          <w:p>
            <w:pPr>
              <w:pStyle w:val="Compact"/>
              <w:jc w:val="left"/>
            </w:pPr>
            <w:r>
              <w:t xml:space="preserve">Relevant for Body Shop: vegan certification flag.</w:t>
            </w:r>
          </w:p>
        </w:tc>
      </w:tr>
      <w:tr>
        <w:tc>
          <w:tcPr/>
          <w:p>
            <w:pPr>
              <w:pStyle w:val="Compact"/>
              <w:jc w:val="left"/>
            </w:pPr>
            <w:r>
              <w:rPr>
                <w:bCs/>
                <w:b/>
              </w:rPr>
              <w:t xml:space="preserve">ingredients_tags</w:t>
            </w:r>
          </w:p>
        </w:tc>
        <w:tc>
          <w:tcPr/>
          <w:p>
            <w:pPr>
              <w:pStyle w:val="Compact"/>
              <w:jc w:val="left"/>
            </w:pPr>
            <w:r>
              <w:t xml:space="preserve">TEXT[]</w:t>
            </w:r>
          </w:p>
        </w:tc>
        <w:tc>
          <w:tcPr/>
          <w:p>
            <w:pPr>
              <w:pStyle w:val="Compact"/>
              <w:jc w:val="left"/>
            </w:pPr>
            <w:r>
              <w:t xml:space="preserve">T1</w:t>
            </w:r>
          </w:p>
        </w:tc>
        <w:tc>
          <w:tcPr/>
          <w:p>
            <w:pPr>
              <w:pStyle w:val="Compact"/>
              <w:jc w:val="left"/>
            </w:pPr>
            <w:r>
              <w:t xml:space="preserve">Array of key ingredient tags for product matching/recommendation.</w:t>
            </w:r>
          </w:p>
        </w:tc>
      </w:tr>
    </w:tbl>
    <w:bookmarkEnd w:id="74"/>
    <w:bookmarkStart w:id="75" w:name="retail.transaction-extends-event"/>
    <w:p>
      <w:pPr>
        <w:pStyle w:val="Heading3"/>
      </w:pPr>
      <w:r>
        <w:t xml:space="preserve">retail.Transaction (extends Event)</w:t>
      </w:r>
    </w:p>
    <w:p>
      <w:pPr>
        <w:pStyle w:val="FirstParagraph"/>
      </w:pPr>
      <w:r>
        <w:t xml:space="preserve">A purchase transaction — the primary revenue event. Each transaction contains one or more line items (retail.TransactionLineItem).</w:t>
      </w:r>
    </w:p>
    <w:tbl>
      <w:tblPr>
        <w:tblStyle w:val="Table"/>
        <w:tblW w:type="pct" w:w="4935"/>
        <w:tblLook w:firstRow="0" w:lastRow="0" w:firstColumn="0" w:lastColumn="0" w:noHBand="0" w:noVBand="0" w:val="0000"/>
        <w:jc w:val="start"/>
      </w:tblPr>
      <w:tblGrid>
        <w:gridCol w:w="1584"/>
        <w:gridCol w:w="817"/>
        <w:gridCol w:w="562"/>
        <w:gridCol w:w="4854"/>
      </w:tblGrid>
      <w:tr>
        <w:tc>
          <w:tcPr/>
          <w:p>
            <w:pPr>
              <w:pStyle w:val="Compact"/>
              <w:jc w:val="left"/>
            </w:pPr>
            <w:r>
              <w:rPr>
                <w:bCs/>
                <w:b/>
              </w:rPr>
              <w:t xml:space="preserve">Attribute</w:t>
            </w:r>
          </w:p>
        </w:tc>
        <w:tc>
          <w:tcPr/>
          <w:p>
            <w:pPr>
              <w:pStyle w:val="Compact"/>
              <w:jc w:val="left"/>
            </w:pPr>
            <w:r>
              <w:rPr>
                <w:bCs/>
                <w:b/>
              </w:rPr>
              <w:t xml:space="preserve">Type</w:t>
            </w:r>
          </w:p>
        </w:tc>
        <w:tc>
          <w:tcPr/>
          <w:p>
            <w:pPr>
              <w:pStyle w:val="Compact"/>
              <w:jc w:val="left"/>
            </w:pPr>
            <w:r>
              <w:rPr>
                <w:bCs/>
                <w:b/>
              </w:rPr>
              <w:t xml:space="preserve">SCD</w:t>
            </w:r>
          </w:p>
        </w:tc>
        <w:tc>
          <w:tcPr/>
          <w:p>
            <w:pPr>
              <w:pStyle w:val="Compact"/>
              <w:jc w:val="left"/>
            </w:pPr>
            <w:r>
              <w:rPr>
                <w:bCs/>
                <w:b/>
              </w:rPr>
              <w:t xml:space="preserve">Description</w:t>
            </w:r>
          </w:p>
        </w:tc>
      </w:tr>
      <w:tr>
        <w:tc>
          <w:tcPr/>
          <w:p>
            <w:pPr>
              <w:pStyle w:val="Compact"/>
              <w:jc w:val="left"/>
            </w:pPr>
            <w:r>
              <w:rPr>
                <w:bCs/>
                <w:b/>
              </w:rPr>
              <w:t xml:space="preserve">event_id</w:t>
            </w:r>
          </w:p>
        </w:tc>
        <w:tc>
          <w:tcPr/>
          <w:p>
            <w:pPr>
              <w:pStyle w:val="Compact"/>
              <w:jc w:val="left"/>
            </w:pPr>
            <w:r>
              <w:t xml:space="preserve">UUID (FK)</w:t>
            </w:r>
          </w:p>
        </w:tc>
        <w:tc>
          <w:tcPr/>
          <w:p>
            <w:pPr>
              <w:pStyle w:val="Compact"/>
            </w:pPr>
          </w:p>
        </w:tc>
        <w:tc>
          <w:tcPr/>
          <w:p>
            <w:pPr>
              <w:pStyle w:val="Compact"/>
              <w:jc w:val="left"/>
            </w:pPr>
            <w:r>
              <w:t xml:space="preserve">Links to Core Event. event_type = 'TRANSACTION'.</w:t>
            </w:r>
          </w:p>
        </w:tc>
      </w:tr>
      <w:tr>
        <w:tc>
          <w:tcPr/>
          <w:p>
            <w:pPr>
              <w:pStyle w:val="Compact"/>
              <w:jc w:val="left"/>
            </w:pPr>
            <w:r>
              <w:rPr>
                <w:bCs/>
                <w:b/>
              </w:rPr>
              <w:t xml:space="preserve">transaction_ref</w:t>
            </w:r>
          </w:p>
        </w:tc>
        <w:tc>
          <w:tcPr/>
          <w:p>
            <w:pPr>
              <w:pStyle w:val="Compact"/>
              <w:jc w:val="left"/>
            </w:pPr>
            <w:r>
              <w:t xml:space="preserve">VARCHAR(50)</w:t>
            </w:r>
          </w:p>
        </w:tc>
        <w:tc>
          <w:tcPr/>
          <w:p>
            <w:pPr>
              <w:pStyle w:val="Compact"/>
              <w:jc w:val="left"/>
            </w:pPr>
            <w:r>
              <w:t xml:space="preserve">T1</w:t>
            </w:r>
          </w:p>
        </w:tc>
        <w:tc>
          <w:tcPr/>
          <w:p>
            <w:pPr>
              <w:pStyle w:val="Compact"/>
              <w:jc w:val="left"/>
            </w:pPr>
            <w:r>
              <w:t xml:space="preserve">POS or e-commerce order reference number. Unique within source system.</w:t>
            </w:r>
          </w:p>
        </w:tc>
      </w:tr>
      <w:tr>
        <w:tc>
          <w:tcPr/>
          <w:p>
            <w:pPr>
              <w:pStyle w:val="Compact"/>
              <w:jc w:val="left"/>
            </w:pPr>
            <w:r>
              <w:rPr>
                <w:bCs/>
                <w:b/>
              </w:rPr>
              <w:t xml:space="preserve">store_id</w:t>
            </w:r>
          </w:p>
        </w:tc>
        <w:tc>
          <w:tcPr/>
          <w:p>
            <w:pPr>
              <w:pStyle w:val="Compact"/>
              <w:jc w:val="left"/>
            </w:pPr>
            <w:r>
              <w:t xml:space="preserve">UUID (FK)</w:t>
            </w:r>
          </w:p>
        </w:tc>
        <w:tc>
          <w:tcPr/>
          <w:p>
            <w:pPr>
              <w:pStyle w:val="Compact"/>
            </w:pPr>
          </w:p>
        </w:tc>
        <w:tc>
          <w:tcPr/>
          <w:p>
            <w:pPr>
              <w:pStyle w:val="Compact"/>
              <w:jc w:val="left"/>
            </w:pPr>
            <w:r>
              <w:t xml:space="preserve">Store where transaction occurred (NULL for e-commerce).</w:t>
            </w:r>
          </w:p>
        </w:tc>
      </w:tr>
      <w:tr>
        <w:tc>
          <w:tcPr/>
          <w:p>
            <w:pPr>
              <w:pStyle w:val="Compact"/>
              <w:jc w:val="left"/>
            </w:pPr>
            <w:r>
              <w:rPr>
                <w:bCs/>
                <w:b/>
              </w:rPr>
              <w:t xml:space="preserve">channel_id</w:t>
            </w:r>
          </w:p>
        </w:tc>
        <w:tc>
          <w:tcPr/>
          <w:p>
            <w:pPr>
              <w:pStyle w:val="Compact"/>
              <w:jc w:val="left"/>
            </w:pPr>
            <w:r>
              <w:t xml:space="preserve">UUID (FK)</w:t>
            </w:r>
          </w:p>
        </w:tc>
        <w:tc>
          <w:tcPr/>
          <w:p>
            <w:pPr>
              <w:pStyle w:val="Compact"/>
            </w:pPr>
          </w:p>
        </w:tc>
        <w:tc>
          <w:tcPr/>
          <w:p>
            <w:pPr>
              <w:pStyle w:val="Compact"/>
              <w:jc w:val="left"/>
            </w:pPr>
            <w:r>
              <w:t xml:space="preserve">Channel: IN_STORE, E_COMMERCE, MOBILE_APP. Links to Core Channel.</w:t>
            </w:r>
          </w:p>
        </w:tc>
      </w:tr>
      <w:tr>
        <w:tc>
          <w:tcPr/>
          <w:p>
            <w:pPr>
              <w:pStyle w:val="Compact"/>
              <w:jc w:val="left"/>
            </w:pPr>
            <w:r>
              <w:rPr>
                <w:bCs/>
                <w:b/>
              </w:rPr>
              <w:t xml:space="preserve">customer_entity_id</w:t>
            </w:r>
          </w:p>
        </w:tc>
        <w:tc>
          <w:tcPr/>
          <w:p>
            <w:pPr>
              <w:pStyle w:val="Compact"/>
              <w:jc w:val="left"/>
            </w:pPr>
            <w:r>
              <w:t xml:space="preserve">UUID (FK)</w:t>
            </w:r>
          </w:p>
        </w:tc>
        <w:tc>
          <w:tcPr/>
          <w:p>
            <w:pPr>
              <w:pStyle w:val="Compact"/>
            </w:pPr>
          </w:p>
        </w:tc>
        <w:tc>
          <w:tcPr/>
          <w:p>
            <w:pPr>
              <w:pStyle w:val="Compact"/>
              <w:jc w:val="left"/>
            </w:pPr>
            <w:r>
              <w:t xml:space="preserve">Identified customer (NULL for anonymous walk-in transactions). Links to SIR-resolved Entity.</w:t>
            </w:r>
          </w:p>
        </w:tc>
      </w:tr>
      <w:tr>
        <w:tc>
          <w:tcPr/>
          <w:p>
            <w:pPr>
              <w:pStyle w:val="Compact"/>
              <w:jc w:val="left"/>
            </w:pPr>
            <w:r>
              <w:rPr>
                <w:bCs/>
                <w:b/>
              </w:rPr>
              <w:t xml:space="preserve">transaction_datetime</w:t>
            </w:r>
          </w:p>
        </w:tc>
        <w:tc>
          <w:tcPr/>
          <w:p>
            <w:pPr>
              <w:pStyle w:val="Compact"/>
              <w:jc w:val="left"/>
            </w:pPr>
            <w:r>
              <w:t xml:space="preserve">TIMESTAMPTZ</w:t>
            </w:r>
          </w:p>
        </w:tc>
        <w:tc>
          <w:tcPr/>
          <w:p>
            <w:pPr>
              <w:pStyle w:val="Compact"/>
            </w:pPr>
          </w:p>
        </w:tc>
        <w:tc>
          <w:tcPr/>
          <w:p>
            <w:pPr>
              <w:pStyle w:val="Compact"/>
              <w:jc w:val="left"/>
            </w:pPr>
            <w:r>
              <w:t xml:space="preserve">Exact timestamp of transaction. Maps to valid_from in bi-temporal.</w:t>
            </w:r>
          </w:p>
        </w:tc>
      </w:tr>
      <w:tr>
        <w:tc>
          <w:tcPr/>
          <w:p>
            <w:pPr>
              <w:pStyle w:val="Compact"/>
              <w:jc w:val="left"/>
            </w:pPr>
            <w:r>
              <w:rPr>
                <w:bCs/>
                <w:b/>
              </w:rPr>
              <w:t xml:space="preserve">subtotal</w:t>
            </w:r>
          </w:p>
        </w:tc>
        <w:tc>
          <w:tcPr/>
          <w:p>
            <w:pPr>
              <w:pStyle w:val="Compact"/>
              <w:jc w:val="left"/>
            </w:pPr>
            <w:r>
              <w:t xml:space="preserve">NUMERIC(12,2)</w:t>
            </w:r>
          </w:p>
        </w:tc>
        <w:tc>
          <w:tcPr/>
          <w:p>
            <w:pPr>
              <w:pStyle w:val="Compact"/>
            </w:pPr>
          </w:p>
        </w:tc>
        <w:tc>
          <w:tcPr/>
          <w:p>
            <w:pPr>
              <w:pStyle w:val="Compact"/>
              <w:jc w:val="left"/>
            </w:pPr>
            <w:r>
              <w:t xml:space="preserve">Sum of line item amounts before tax and discount.</w:t>
            </w:r>
          </w:p>
        </w:tc>
      </w:tr>
      <w:tr>
        <w:tc>
          <w:tcPr/>
          <w:p>
            <w:pPr>
              <w:pStyle w:val="Compact"/>
              <w:jc w:val="left"/>
            </w:pPr>
            <w:r>
              <w:rPr>
                <w:bCs/>
                <w:b/>
              </w:rPr>
              <w:t xml:space="preserve">discount_amount</w:t>
            </w:r>
          </w:p>
        </w:tc>
        <w:tc>
          <w:tcPr/>
          <w:p>
            <w:pPr>
              <w:pStyle w:val="Compact"/>
              <w:jc w:val="left"/>
            </w:pPr>
            <w:r>
              <w:t xml:space="preserve">NUMERIC(10,2)</w:t>
            </w:r>
          </w:p>
        </w:tc>
        <w:tc>
          <w:tcPr/>
          <w:p>
            <w:pPr>
              <w:pStyle w:val="Compact"/>
            </w:pPr>
          </w:p>
        </w:tc>
        <w:tc>
          <w:tcPr/>
          <w:p>
            <w:pPr>
              <w:pStyle w:val="Compact"/>
              <w:jc w:val="left"/>
            </w:pPr>
            <w:r>
              <w:t xml:space="preserve">Total discount applied.</w:t>
            </w:r>
          </w:p>
        </w:tc>
      </w:tr>
      <w:tr>
        <w:tc>
          <w:tcPr/>
          <w:p>
            <w:pPr>
              <w:pStyle w:val="Compact"/>
              <w:jc w:val="left"/>
            </w:pPr>
            <w:r>
              <w:rPr>
                <w:bCs/>
                <w:b/>
              </w:rPr>
              <w:t xml:space="preserve">tax_amount</w:t>
            </w:r>
          </w:p>
        </w:tc>
        <w:tc>
          <w:tcPr/>
          <w:p>
            <w:pPr>
              <w:pStyle w:val="Compact"/>
              <w:jc w:val="left"/>
            </w:pPr>
            <w:r>
              <w:t xml:space="preserve">NUMERIC(10,2)</w:t>
            </w:r>
          </w:p>
        </w:tc>
        <w:tc>
          <w:tcPr/>
          <w:p>
            <w:pPr>
              <w:pStyle w:val="Compact"/>
            </w:pPr>
          </w:p>
        </w:tc>
        <w:tc>
          <w:tcPr/>
          <w:p>
            <w:pPr>
              <w:pStyle w:val="Compact"/>
              <w:jc w:val="left"/>
            </w:pPr>
            <w:r>
              <w:t xml:space="preserve">Tax amount (GST in India).</w:t>
            </w:r>
          </w:p>
        </w:tc>
      </w:tr>
      <w:tr>
        <w:tc>
          <w:tcPr/>
          <w:p>
            <w:pPr>
              <w:pStyle w:val="Compact"/>
              <w:jc w:val="left"/>
            </w:pPr>
            <w:r>
              <w:rPr>
                <w:bCs/>
                <w:b/>
              </w:rPr>
              <w:t xml:space="preserve">total_amount</w:t>
            </w:r>
          </w:p>
        </w:tc>
        <w:tc>
          <w:tcPr/>
          <w:p>
            <w:pPr>
              <w:pStyle w:val="Compact"/>
              <w:jc w:val="left"/>
            </w:pPr>
            <w:r>
              <w:t xml:space="preserve">NUMERIC(12,2)</w:t>
            </w:r>
          </w:p>
        </w:tc>
        <w:tc>
          <w:tcPr/>
          <w:p>
            <w:pPr>
              <w:pStyle w:val="Compact"/>
            </w:pPr>
          </w:p>
        </w:tc>
        <w:tc>
          <w:tcPr/>
          <w:p>
            <w:pPr>
              <w:pStyle w:val="Compact"/>
              <w:jc w:val="left"/>
            </w:pPr>
            <w:r>
              <w:t xml:space="preserve">Final amount paid.</w:t>
            </w:r>
          </w:p>
        </w:tc>
      </w:tr>
      <w:tr>
        <w:tc>
          <w:tcPr/>
          <w:p>
            <w:pPr>
              <w:pStyle w:val="Compact"/>
              <w:jc w:val="left"/>
            </w:pPr>
            <w:r>
              <w:rPr>
                <w:bCs/>
                <w:b/>
              </w:rPr>
              <w:t xml:space="preserve">payment_method</w:t>
            </w:r>
          </w:p>
        </w:tc>
        <w:tc>
          <w:tcPr/>
          <w:p>
            <w:pPr>
              <w:pStyle w:val="Compact"/>
              <w:jc w:val="left"/>
            </w:pPr>
            <w:r>
              <w:t xml:space="preserve">ENUM</w:t>
            </w:r>
          </w:p>
        </w:tc>
        <w:tc>
          <w:tcPr/>
          <w:p>
            <w:pPr>
              <w:pStyle w:val="Compact"/>
            </w:pPr>
          </w:p>
        </w:tc>
        <w:tc>
          <w:tcPr/>
          <w:p>
            <w:pPr>
              <w:pStyle w:val="Compact"/>
              <w:jc w:val="left"/>
            </w:pPr>
            <w:r>
              <w:t xml:space="preserve">CASH, CARD, UPI, WALLET, MIXED.</w:t>
            </w:r>
          </w:p>
        </w:tc>
      </w:tr>
      <w:tr>
        <w:tc>
          <w:tcPr/>
          <w:p>
            <w:pPr>
              <w:pStyle w:val="Compact"/>
              <w:jc w:val="left"/>
            </w:pPr>
            <w:r>
              <w:rPr>
                <w:bCs/>
                <w:b/>
              </w:rPr>
              <w:t xml:space="preserve">line_item_count</w:t>
            </w:r>
          </w:p>
        </w:tc>
        <w:tc>
          <w:tcPr/>
          <w:p>
            <w:pPr>
              <w:pStyle w:val="Compact"/>
              <w:jc w:val="left"/>
            </w:pPr>
            <w:r>
              <w:t xml:space="preserve">INT</w:t>
            </w:r>
          </w:p>
        </w:tc>
        <w:tc>
          <w:tcPr/>
          <w:p>
            <w:pPr>
              <w:pStyle w:val="Compact"/>
            </w:pPr>
          </w:p>
        </w:tc>
        <w:tc>
          <w:tcPr/>
          <w:p>
            <w:pPr>
              <w:pStyle w:val="Compact"/>
              <w:jc w:val="left"/>
            </w:pPr>
            <w:r>
              <w:t xml:space="preserve">Number of distinct SKUs in the basket.</w:t>
            </w:r>
          </w:p>
        </w:tc>
      </w:tr>
      <w:tr>
        <w:tc>
          <w:tcPr/>
          <w:p>
            <w:pPr>
              <w:pStyle w:val="Compact"/>
              <w:jc w:val="left"/>
            </w:pPr>
            <w:r>
              <w:rPr>
                <w:bCs/>
                <w:b/>
              </w:rPr>
              <w:t xml:space="preserve">total_quantity</w:t>
            </w:r>
          </w:p>
        </w:tc>
        <w:tc>
          <w:tcPr/>
          <w:p>
            <w:pPr>
              <w:pStyle w:val="Compact"/>
              <w:jc w:val="left"/>
            </w:pPr>
            <w:r>
              <w:t xml:space="preserve">INT</w:t>
            </w:r>
          </w:p>
        </w:tc>
        <w:tc>
          <w:tcPr/>
          <w:p>
            <w:pPr>
              <w:pStyle w:val="Compact"/>
            </w:pPr>
          </w:p>
        </w:tc>
        <w:tc>
          <w:tcPr/>
          <w:p>
            <w:pPr>
              <w:pStyle w:val="Compact"/>
              <w:jc w:val="left"/>
            </w:pPr>
            <w:r>
              <w:t xml:space="preserve">Total units purchased across all line items.</w:t>
            </w:r>
          </w:p>
        </w:tc>
      </w:tr>
      <w:tr>
        <w:tc>
          <w:tcPr/>
          <w:p>
            <w:pPr>
              <w:pStyle w:val="Compact"/>
              <w:jc w:val="left"/>
            </w:pPr>
            <w:r>
              <w:rPr>
                <w:bCs/>
                <w:b/>
              </w:rPr>
              <w:t xml:space="preserve">loyalty_points_earned</w:t>
            </w:r>
          </w:p>
        </w:tc>
        <w:tc>
          <w:tcPr/>
          <w:p>
            <w:pPr>
              <w:pStyle w:val="Compact"/>
              <w:jc w:val="left"/>
            </w:pPr>
            <w:r>
              <w:t xml:space="preserve">INT</w:t>
            </w:r>
          </w:p>
        </w:tc>
        <w:tc>
          <w:tcPr/>
          <w:p>
            <w:pPr>
              <w:pStyle w:val="Compact"/>
            </w:pPr>
          </w:p>
        </w:tc>
        <w:tc>
          <w:tcPr/>
          <w:p>
            <w:pPr>
              <w:pStyle w:val="Compact"/>
              <w:jc w:val="left"/>
            </w:pPr>
            <w:r>
              <w:t xml:space="preserve">Points earned on this transaction (if loyalty linked).</w:t>
            </w:r>
          </w:p>
        </w:tc>
      </w:tr>
      <w:tr>
        <w:tc>
          <w:tcPr/>
          <w:p>
            <w:pPr>
              <w:pStyle w:val="Compact"/>
              <w:jc w:val="left"/>
            </w:pPr>
            <w:r>
              <w:rPr>
                <w:bCs/>
                <w:b/>
              </w:rPr>
              <w:t xml:space="preserve">loyalty_points_redeemed</w:t>
            </w:r>
          </w:p>
        </w:tc>
        <w:tc>
          <w:tcPr/>
          <w:p>
            <w:pPr>
              <w:pStyle w:val="Compact"/>
              <w:jc w:val="left"/>
            </w:pPr>
            <w:r>
              <w:t xml:space="preserve">INT</w:t>
            </w:r>
          </w:p>
        </w:tc>
        <w:tc>
          <w:tcPr/>
          <w:p>
            <w:pPr>
              <w:pStyle w:val="Compact"/>
            </w:pPr>
          </w:p>
        </w:tc>
        <w:tc>
          <w:tcPr/>
          <w:p>
            <w:pPr>
              <w:pStyle w:val="Compact"/>
              <w:jc w:val="left"/>
            </w:pPr>
            <w:r>
              <w:t xml:space="preserve">Points redeemed on this transaction.</w:t>
            </w:r>
          </w:p>
        </w:tc>
      </w:tr>
      <w:tr>
        <w:tc>
          <w:tcPr/>
          <w:p>
            <w:pPr>
              <w:pStyle w:val="Compact"/>
              <w:jc w:val="left"/>
            </w:pPr>
            <w:r>
              <w:rPr>
                <w:bCs/>
                <w:b/>
              </w:rPr>
              <w:t xml:space="preserve">campaign_ids</w:t>
            </w:r>
          </w:p>
        </w:tc>
        <w:tc>
          <w:tcPr/>
          <w:p>
            <w:pPr>
              <w:pStyle w:val="Compact"/>
              <w:jc w:val="left"/>
            </w:pPr>
            <w:r>
              <w:t xml:space="preserve">UUID[]</w:t>
            </w:r>
          </w:p>
        </w:tc>
        <w:tc>
          <w:tcPr/>
          <w:p>
            <w:pPr>
              <w:pStyle w:val="Compact"/>
            </w:pPr>
          </w:p>
        </w:tc>
        <w:tc>
          <w:tcPr/>
          <w:p>
            <w:pPr>
              <w:pStyle w:val="Compact"/>
              <w:jc w:val="left"/>
            </w:pPr>
            <w:r>
              <w:t xml:space="preserve">Campaigns that influenced this transaction (promotional codes, in-store offers).</w:t>
            </w:r>
          </w:p>
        </w:tc>
      </w:tr>
      <w:tr>
        <w:tc>
          <w:tcPr/>
          <w:p>
            <w:pPr>
              <w:pStyle w:val="Compact"/>
              <w:jc w:val="left"/>
            </w:pPr>
            <w:r>
              <w:rPr>
                <w:bCs/>
                <w:b/>
              </w:rPr>
              <w:t xml:space="preserve">is_return</w:t>
            </w:r>
          </w:p>
        </w:tc>
        <w:tc>
          <w:tcPr/>
          <w:p>
            <w:pPr>
              <w:pStyle w:val="Compact"/>
              <w:jc w:val="left"/>
            </w:pPr>
            <w:r>
              <w:t xml:space="preserve">BOOLEAN</w:t>
            </w:r>
          </w:p>
        </w:tc>
        <w:tc>
          <w:tcPr/>
          <w:p>
            <w:pPr>
              <w:pStyle w:val="Compact"/>
            </w:pPr>
          </w:p>
        </w:tc>
        <w:tc>
          <w:tcPr/>
          <w:p>
            <w:pPr>
              <w:pStyle w:val="Compact"/>
              <w:jc w:val="left"/>
            </w:pPr>
            <w:r>
              <w:t xml:space="preserve">Whether this is a return/refund transaction.</w:t>
            </w:r>
          </w:p>
        </w:tc>
      </w:tr>
      <w:tr>
        <w:tc>
          <w:tcPr/>
          <w:p>
            <w:pPr>
              <w:pStyle w:val="Compact"/>
              <w:jc w:val="left"/>
            </w:pPr>
            <w:r>
              <w:rPr>
                <w:bCs/>
                <w:b/>
              </w:rPr>
              <w:t xml:space="preserve">original_transaction_ref</w:t>
            </w:r>
          </w:p>
        </w:tc>
        <w:tc>
          <w:tcPr/>
          <w:p>
            <w:pPr>
              <w:pStyle w:val="Compact"/>
              <w:jc w:val="left"/>
            </w:pPr>
            <w:r>
              <w:t xml:space="preserve">VARCHAR(50)</w:t>
            </w:r>
          </w:p>
        </w:tc>
        <w:tc>
          <w:tcPr/>
          <w:p>
            <w:pPr>
              <w:pStyle w:val="Compact"/>
            </w:pPr>
          </w:p>
        </w:tc>
        <w:tc>
          <w:tcPr/>
          <w:p>
            <w:pPr>
              <w:pStyle w:val="Compact"/>
              <w:jc w:val="left"/>
            </w:pPr>
            <w:r>
              <w:t xml:space="preserve">For returns: reference to the original purchase transaction.</w:t>
            </w:r>
          </w:p>
        </w:tc>
      </w:tr>
    </w:tbl>
    <w:bookmarkEnd w:id="75"/>
    <w:bookmarkStart w:id="76" w:name="retail.transactionlineitem"/>
    <w:p>
      <w:pPr>
        <w:pStyle w:val="Heading3"/>
      </w:pPr>
      <w:r>
        <w:t xml:space="preserve">retail.TransactionLineItem</w:t>
      </w:r>
    </w:p>
    <w:p>
      <w:pPr>
        <w:pStyle w:val="FirstParagraph"/>
      </w:pPr>
      <w:r>
        <w:t xml:space="preserve">Individual line items within a transaction. Not a Core Event extension — a child table of retail.Transaction.</w:t>
      </w:r>
    </w:p>
    <w:tbl>
      <w:tblPr>
        <w:tblStyle w:val="Table"/>
        <w:tblW w:type="pct" w:w="4926"/>
        <w:tblLook w:firstRow="0" w:lastRow="0" w:firstColumn="0" w:lastColumn="0" w:noHBand="0" w:noVBand="0" w:val="0000"/>
        <w:jc w:val="start"/>
      </w:tblPr>
      <w:tblGrid>
        <w:gridCol w:w="1173"/>
        <w:gridCol w:w="938"/>
        <w:gridCol w:w="645"/>
        <w:gridCol w:w="5045"/>
      </w:tblGrid>
      <w:tr>
        <w:tc>
          <w:tcPr/>
          <w:p>
            <w:pPr>
              <w:pStyle w:val="Compact"/>
              <w:jc w:val="left"/>
            </w:pPr>
            <w:r>
              <w:rPr>
                <w:bCs/>
                <w:b/>
              </w:rPr>
              <w:t xml:space="preserve">Attribute</w:t>
            </w:r>
          </w:p>
        </w:tc>
        <w:tc>
          <w:tcPr/>
          <w:p>
            <w:pPr>
              <w:pStyle w:val="Compact"/>
              <w:jc w:val="left"/>
            </w:pPr>
            <w:r>
              <w:rPr>
                <w:bCs/>
                <w:b/>
              </w:rPr>
              <w:t xml:space="preserve">Type</w:t>
            </w:r>
          </w:p>
        </w:tc>
        <w:tc>
          <w:tcPr/>
          <w:p>
            <w:pPr>
              <w:pStyle w:val="Compact"/>
              <w:jc w:val="left"/>
            </w:pPr>
            <w:r>
              <w:rPr>
                <w:bCs/>
                <w:b/>
              </w:rPr>
              <w:t xml:space="preserve">SCD</w:t>
            </w:r>
          </w:p>
        </w:tc>
        <w:tc>
          <w:tcPr/>
          <w:p>
            <w:pPr>
              <w:pStyle w:val="Compact"/>
              <w:jc w:val="left"/>
            </w:pPr>
            <w:r>
              <w:rPr>
                <w:bCs/>
                <w:b/>
              </w:rPr>
              <w:t xml:space="preserve">Description</w:t>
            </w:r>
          </w:p>
        </w:tc>
      </w:tr>
      <w:tr>
        <w:tc>
          <w:tcPr/>
          <w:p>
            <w:pPr>
              <w:pStyle w:val="Compact"/>
              <w:jc w:val="left"/>
            </w:pPr>
            <w:r>
              <w:rPr>
                <w:bCs/>
                <w:b/>
              </w:rPr>
              <w:t xml:space="preserve">line_item_id</w:t>
            </w:r>
          </w:p>
        </w:tc>
        <w:tc>
          <w:tcPr/>
          <w:p>
            <w:pPr>
              <w:pStyle w:val="Compact"/>
              <w:jc w:val="left"/>
            </w:pPr>
            <w:r>
              <w:t xml:space="preserve">UUID (PK)</w:t>
            </w:r>
          </w:p>
        </w:tc>
        <w:tc>
          <w:tcPr/>
          <w:p>
            <w:pPr>
              <w:pStyle w:val="Compact"/>
            </w:pPr>
          </w:p>
        </w:tc>
        <w:tc>
          <w:tcPr/>
          <w:p>
            <w:pPr>
              <w:pStyle w:val="Compact"/>
              <w:jc w:val="left"/>
            </w:pPr>
            <w:r>
              <w:t xml:space="preserve">Unique line item identifier.</w:t>
            </w:r>
          </w:p>
        </w:tc>
      </w:tr>
      <w:tr>
        <w:tc>
          <w:tcPr/>
          <w:p>
            <w:pPr>
              <w:pStyle w:val="Compact"/>
              <w:jc w:val="left"/>
            </w:pPr>
            <w:r>
              <w:rPr>
                <w:bCs/>
                <w:b/>
              </w:rPr>
              <w:t xml:space="preserve">event_id</w:t>
            </w:r>
          </w:p>
        </w:tc>
        <w:tc>
          <w:tcPr/>
          <w:p>
            <w:pPr>
              <w:pStyle w:val="Compact"/>
              <w:jc w:val="left"/>
            </w:pPr>
            <w:r>
              <w:t xml:space="preserve">UUID (FK)</w:t>
            </w:r>
          </w:p>
        </w:tc>
        <w:tc>
          <w:tcPr/>
          <w:p>
            <w:pPr>
              <w:pStyle w:val="Compact"/>
            </w:pPr>
          </w:p>
        </w:tc>
        <w:tc>
          <w:tcPr/>
          <w:p>
            <w:pPr>
              <w:pStyle w:val="Compact"/>
              <w:jc w:val="left"/>
            </w:pPr>
            <w:r>
              <w:t xml:space="preserve">Parent transaction.</w:t>
            </w:r>
          </w:p>
        </w:tc>
      </w:tr>
      <w:tr>
        <w:tc>
          <w:tcPr/>
          <w:p>
            <w:pPr>
              <w:pStyle w:val="Compact"/>
              <w:jc w:val="left"/>
            </w:pPr>
            <w:r>
              <w:rPr>
                <w:bCs/>
                <w:b/>
              </w:rPr>
              <w:t xml:space="preserve">product_id</w:t>
            </w:r>
          </w:p>
        </w:tc>
        <w:tc>
          <w:tcPr/>
          <w:p>
            <w:pPr>
              <w:pStyle w:val="Compact"/>
              <w:jc w:val="left"/>
            </w:pPr>
            <w:r>
              <w:t xml:space="preserve">UUID (FK)</w:t>
            </w:r>
          </w:p>
        </w:tc>
        <w:tc>
          <w:tcPr/>
          <w:p>
            <w:pPr>
              <w:pStyle w:val="Compact"/>
            </w:pPr>
          </w:p>
        </w:tc>
        <w:tc>
          <w:tcPr/>
          <w:p>
            <w:pPr>
              <w:pStyle w:val="Compact"/>
              <w:jc w:val="left"/>
            </w:pPr>
            <w:r>
              <w:t xml:space="preserve">Product purchased. Links to retail.Product.</w:t>
            </w:r>
          </w:p>
        </w:tc>
      </w:tr>
      <w:tr>
        <w:tc>
          <w:tcPr/>
          <w:p>
            <w:pPr>
              <w:pStyle w:val="Compact"/>
              <w:jc w:val="left"/>
            </w:pPr>
            <w:r>
              <w:rPr>
                <w:bCs/>
                <w:b/>
              </w:rPr>
              <w:t xml:space="preserve">quantity</w:t>
            </w:r>
          </w:p>
        </w:tc>
        <w:tc>
          <w:tcPr/>
          <w:p>
            <w:pPr>
              <w:pStyle w:val="Compact"/>
              <w:jc w:val="left"/>
            </w:pPr>
            <w:r>
              <w:t xml:space="preserve">INT</w:t>
            </w:r>
          </w:p>
        </w:tc>
        <w:tc>
          <w:tcPr/>
          <w:p>
            <w:pPr>
              <w:pStyle w:val="Compact"/>
            </w:pPr>
          </w:p>
        </w:tc>
        <w:tc>
          <w:tcPr/>
          <w:p>
            <w:pPr>
              <w:pStyle w:val="Compact"/>
              <w:jc w:val="left"/>
            </w:pPr>
            <w:r>
              <w:t xml:space="preserve">Units purchased.</w:t>
            </w:r>
          </w:p>
        </w:tc>
      </w:tr>
      <w:tr>
        <w:tc>
          <w:tcPr/>
          <w:p>
            <w:pPr>
              <w:pStyle w:val="Compact"/>
              <w:jc w:val="left"/>
            </w:pPr>
            <w:r>
              <w:rPr>
                <w:bCs/>
                <w:b/>
              </w:rPr>
              <w:t xml:space="preserve">unit_price</w:t>
            </w:r>
          </w:p>
        </w:tc>
        <w:tc>
          <w:tcPr/>
          <w:p>
            <w:pPr>
              <w:pStyle w:val="Compact"/>
              <w:jc w:val="left"/>
            </w:pPr>
            <w:r>
              <w:t xml:space="preserve">NUMERIC(10,2)</w:t>
            </w:r>
          </w:p>
        </w:tc>
        <w:tc>
          <w:tcPr/>
          <w:p>
            <w:pPr>
              <w:pStyle w:val="Compact"/>
            </w:pPr>
          </w:p>
        </w:tc>
        <w:tc>
          <w:tcPr/>
          <w:p>
            <w:pPr>
              <w:pStyle w:val="Compact"/>
              <w:jc w:val="left"/>
            </w:pPr>
            <w:r>
              <w:t xml:space="preserve">Price per unit at time of purchase (may differ from current MRP due to promotions).</w:t>
            </w:r>
          </w:p>
        </w:tc>
      </w:tr>
      <w:tr>
        <w:tc>
          <w:tcPr/>
          <w:p>
            <w:pPr>
              <w:pStyle w:val="Compact"/>
              <w:jc w:val="left"/>
            </w:pPr>
            <w:r>
              <w:rPr>
                <w:bCs/>
                <w:b/>
              </w:rPr>
              <w:t xml:space="preserve">line_discount</w:t>
            </w:r>
          </w:p>
        </w:tc>
        <w:tc>
          <w:tcPr/>
          <w:p>
            <w:pPr>
              <w:pStyle w:val="Compact"/>
              <w:jc w:val="left"/>
            </w:pPr>
            <w:r>
              <w:t xml:space="preserve">NUMERIC(10,2)</w:t>
            </w:r>
          </w:p>
        </w:tc>
        <w:tc>
          <w:tcPr/>
          <w:p>
            <w:pPr>
              <w:pStyle w:val="Compact"/>
            </w:pPr>
          </w:p>
        </w:tc>
        <w:tc>
          <w:tcPr/>
          <w:p>
            <w:pPr>
              <w:pStyle w:val="Compact"/>
              <w:jc w:val="left"/>
            </w:pPr>
            <w:r>
              <w:t xml:space="preserve">Discount applied to this line item.</w:t>
            </w:r>
          </w:p>
        </w:tc>
      </w:tr>
      <w:tr>
        <w:tc>
          <w:tcPr/>
          <w:p>
            <w:pPr>
              <w:pStyle w:val="Compact"/>
              <w:jc w:val="left"/>
            </w:pPr>
            <w:r>
              <w:rPr>
                <w:bCs/>
                <w:b/>
              </w:rPr>
              <w:t xml:space="preserve">line_total</w:t>
            </w:r>
          </w:p>
        </w:tc>
        <w:tc>
          <w:tcPr/>
          <w:p>
            <w:pPr>
              <w:pStyle w:val="Compact"/>
              <w:jc w:val="left"/>
            </w:pPr>
            <w:r>
              <w:t xml:space="preserve">NUMERIC(10,2)</w:t>
            </w:r>
          </w:p>
        </w:tc>
        <w:tc>
          <w:tcPr/>
          <w:p>
            <w:pPr>
              <w:pStyle w:val="Compact"/>
            </w:pPr>
          </w:p>
        </w:tc>
        <w:tc>
          <w:tcPr/>
          <w:p>
            <w:pPr>
              <w:pStyle w:val="Compact"/>
              <w:jc w:val="left"/>
            </w:pPr>
            <w:r>
              <w:t xml:space="preserve">(quantity * unit_price) - line_discount.</w:t>
            </w:r>
          </w:p>
        </w:tc>
      </w:tr>
      <w:tr>
        <w:tc>
          <w:tcPr/>
          <w:p>
            <w:pPr>
              <w:pStyle w:val="Compact"/>
              <w:jc w:val="left"/>
            </w:pPr>
            <w:r>
              <w:rPr>
                <w:bCs/>
                <w:b/>
              </w:rPr>
              <w:t xml:space="preserve">promotion_id</w:t>
            </w:r>
          </w:p>
        </w:tc>
        <w:tc>
          <w:tcPr/>
          <w:p>
            <w:pPr>
              <w:pStyle w:val="Compact"/>
              <w:jc w:val="left"/>
            </w:pPr>
            <w:r>
              <w:t xml:space="preserve">UUID</w:t>
            </w:r>
          </w:p>
        </w:tc>
        <w:tc>
          <w:tcPr/>
          <w:p>
            <w:pPr>
              <w:pStyle w:val="Compact"/>
            </w:pPr>
          </w:p>
        </w:tc>
        <w:tc>
          <w:tcPr/>
          <w:p>
            <w:pPr>
              <w:pStyle w:val="Compact"/>
              <w:jc w:val="left"/>
            </w:pPr>
            <w:r>
              <w:t xml:space="preserve">Promotion applied to this line item, if any.</w:t>
            </w:r>
          </w:p>
        </w:tc>
      </w:tr>
    </w:tbl>
    <w:bookmarkEnd w:id="76"/>
    <w:bookmarkStart w:id="77" w:name="X7403550527badbfb9662cb69d02444e675d8ca6"/>
    <w:p>
      <w:pPr>
        <w:pStyle w:val="Heading3"/>
      </w:pPr>
      <w:r>
        <w:t xml:space="preserve">retail.LoyaltyAccount (extends Relationship: Entity → Programme)</w:t>
      </w:r>
    </w:p>
    <w:p>
      <w:pPr>
        <w:pStyle w:val="FirstParagraph"/>
      </w:pPr>
      <w:r>
        <w:t xml:space="preserve">A customer’s membership in the loyalty programme.</w:t>
      </w:r>
    </w:p>
    <w:tbl>
      <w:tblPr>
        <w:tblStyle w:val="Table"/>
        <w:tblW w:type="pct" w:w="4939"/>
        <w:tblLook w:firstRow="0" w:lastRow="0" w:firstColumn="0" w:lastColumn="0" w:noHBand="0" w:noVBand="0" w:val="0000"/>
        <w:jc w:val="start"/>
      </w:tblPr>
      <w:tblGrid>
        <w:gridCol w:w="1263"/>
        <w:gridCol w:w="680"/>
        <w:gridCol w:w="534"/>
        <w:gridCol w:w="5344"/>
      </w:tblGrid>
      <w:tr>
        <w:tc>
          <w:tcPr/>
          <w:p>
            <w:pPr>
              <w:pStyle w:val="Compact"/>
              <w:jc w:val="left"/>
            </w:pPr>
            <w:r>
              <w:rPr>
                <w:bCs/>
                <w:b/>
              </w:rPr>
              <w:t xml:space="preserve">Attribute</w:t>
            </w:r>
          </w:p>
        </w:tc>
        <w:tc>
          <w:tcPr/>
          <w:p>
            <w:pPr>
              <w:pStyle w:val="Compact"/>
              <w:jc w:val="left"/>
            </w:pPr>
            <w:r>
              <w:rPr>
                <w:bCs/>
                <w:b/>
              </w:rPr>
              <w:t xml:space="preserve">Type</w:t>
            </w:r>
          </w:p>
        </w:tc>
        <w:tc>
          <w:tcPr/>
          <w:p>
            <w:pPr>
              <w:pStyle w:val="Compact"/>
              <w:jc w:val="left"/>
            </w:pPr>
            <w:r>
              <w:rPr>
                <w:bCs/>
                <w:b/>
              </w:rPr>
              <w:t xml:space="preserve">SCD</w:t>
            </w:r>
          </w:p>
        </w:tc>
        <w:tc>
          <w:tcPr/>
          <w:p>
            <w:pPr>
              <w:pStyle w:val="Compact"/>
              <w:jc w:val="left"/>
            </w:pPr>
            <w:r>
              <w:rPr>
                <w:bCs/>
                <w:b/>
              </w:rPr>
              <w:t xml:space="preserve">Description</w:t>
            </w:r>
          </w:p>
        </w:tc>
      </w:tr>
      <w:tr>
        <w:tc>
          <w:tcPr/>
          <w:p>
            <w:pPr>
              <w:pStyle w:val="Compact"/>
              <w:jc w:val="left"/>
            </w:pPr>
            <w:r>
              <w:rPr>
                <w:bCs/>
                <w:b/>
              </w:rPr>
              <w:t xml:space="preserve">loyalty_id</w:t>
            </w:r>
          </w:p>
        </w:tc>
        <w:tc>
          <w:tcPr/>
          <w:p>
            <w:pPr>
              <w:pStyle w:val="Compact"/>
              <w:jc w:val="left"/>
            </w:pPr>
            <w:r>
              <w:t xml:space="preserve">UUID (PK)</w:t>
            </w:r>
          </w:p>
        </w:tc>
        <w:tc>
          <w:tcPr/>
          <w:p>
            <w:pPr>
              <w:pStyle w:val="Compact"/>
            </w:pPr>
          </w:p>
        </w:tc>
        <w:tc>
          <w:tcPr/>
          <w:p>
            <w:pPr>
              <w:pStyle w:val="Compact"/>
              <w:jc w:val="left"/>
            </w:pPr>
            <w:r>
              <w:t xml:space="preserve">Unique loyalty account identifier.</w:t>
            </w:r>
          </w:p>
        </w:tc>
      </w:tr>
      <w:tr>
        <w:tc>
          <w:tcPr/>
          <w:p>
            <w:pPr>
              <w:pStyle w:val="Compact"/>
              <w:jc w:val="left"/>
            </w:pPr>
            <w:r>
              <w:rPr>
                <w:bCs/>
                <w:b/>
              </w:rPr>
              <w:t xml:space="preserve">entity_id</w:t>
            </w:r>
          </w:p>
        </w:tc>
        <w:tc>
          <w:tcPr/>
          <w:p>
            <w:pPr>
              <w:pStyle w:val="Compact"/>
              <w:jc w:val="left"/>
            </w:pPr>
            <w:r>
              <w:t xml:space="preserve">UUID (FK)</w:t>
            </w:r>
          </w:p>
        </w:tc>
        <w:tc>
          <w:tcPr/>
          <w:p>
            <w:pPr>
              <w:pStyle w:val="Compact"/>
            </w:pPr>
          </w:p>
        </w:tc>
        <w:tc>
          <w:tcPr/>
          <w:p>
            <w:pPr>
              <w:pStyle w:val="Compact"/>
              <w:jc w:val="left"/>
            </w:pPr>
            <w:r>
              <w:t xml:space="preserve">Customer entity. Links to SIR.</w:t>
            </w:r>
          </w:p>
        </w:tc>
      </w:tr>
      <w:tr>
        <w:tc>
          <w:tcPr/>
          <w:p>
            <w:pPr>
              <w:pStyle w:val="Compact"/>
              <w:jc w:val="left"/>
            </w:pPr>
            <w:r>
              <w:rPr>
                <w:bCs/>
                <w:b/>
              </w:rPr>
              <w:t xml:space="preserve">loyalty_card_number</w:t>
            </w:r>
          </w:p>
        </w:tc>
        <w:tc>
          <w:tcPr/>
          <w:p>
            <w:pPr>
              <w:pStyle w:val="Compact"/>
              <w:jc w:val="left"/>
            </w:pPr>
            <w:r>
              <w:t xml:space="preserve">VARCHAR(30)</w:t>
            </w:r>
          </w:p>
        </w:tc>
        <w:tc>
          <w:tcPr/>
          <w:p>
            <w:pPr>
              <w:pStyle w:val="Compact"/>
              <w:jc w:val="left"/>
            </w:pPr>
            <w:r>
              <w:t xml:space="preserve">T1</w:t>
            </w:r>
          </w:p>
        </w:tc>
        <w:tc>
          <w:tcPr/>
          <w:p>
            <w:pPr>
              <w:pStyle w:val="Compact"/>
              <w:jc w:val="left"/>
            </w:pPr>
            <w:r>
              <w:t xml:space="preserve">Physical or digital loyalty card number.</w:t>
            </w:r>
          </w:p>
        </w:tc>
      </w:tr>
      <w:tr>
        <w:tc>
          <w:tcPr/>
          <w:p>
            <w:pPr>
              <w:pStyle w:val="Compact"/>
              <w:jc w:val="left"/>
            </w:pPr>
            <w:r>
              <w:rPr>
                <w:bCs/>
                <w:b/>
              </w:rPr>
              <w:t xml:space="preserve">tier</w:t>
            </w:r>
          </w:p>
        </w:tc>
        <w:tc>
          <w:tcPr/>
          <w:p>
            <w:pPr>
              <w:pStyle w:val="Compact"/>
              <w:jc w:val="left"/>
            </w:pPr>
            <w:r>
              <w:t xml:space="preserve">ENUM</w:t>
            </w:r>
          </w:p>
        </w:tc>
        <w:tc>
          <w:tcPr/>
          <w:p>
            <w:pPr>
              <w:pStyle w:val="Compact"/>
              <w:jc w:val="left"/>
            </w:pPr>
            <w:r>
              <w:t xml:space="preserve">T2</w:t>
            </w:r>
          </w:p>
        </w:tc>
        <w:tc>
          <w:tcPr/>
          <w:p>
            <w:pPr>
              <w:pStyle w:val="Compact"/>
              <w:jc w:val="left"/>
            </w:pPr>
            <w:r>
              <w:t xml:space="preserve">BRONZE, SILVER, GOLD, PLATINUM (or tenant-defined tiers). Type 2: tier migration is a key analytics metric.</w:t>
            </w:r>
          </w:p>
        </w:tc>
      </w:tr>
      <w:tr>
        <w:tc>
          <w:tcPr/>
          <w:p>
            <w:pPr>
              <w:pStyle w:val="Compact"/>
              <w:jc w:val="left"/>
            </w:pPr>
            <w:r>
              <w:rPr>
                <w:bCs/>
                <w:b/>
              </w:rPr>
              <w:t xml:space="preserve">tier_since</w:t>
            </w:r>
          </w:p>
        </w:tc>
        <w:tc>
          <w:tcPr/>
          <w:p>
            <w:pPr>
              <w:pStyle w:val="Compact"/>
              <w:jc w:val="left"/>
            </w:pPr>
            <w:r>
              <w:t xml:space="preserve">DATE</w:t>
            </w:r>
          </w:p>
        </w:tc>
        <w:tc>
          <w:tcPr/>
          <w:p>
            <w:pPr>
              <w:pStyle w:val="Compact"/>
              <w:jc w:val="left"/>
            </w:pPr>
            <w:r>
              <w:t xml:space="preserve">T1</w:t>
            </w:r>
          </w:p>
        </w:tc>
        <w:tc>
          <w:tcPr/>
          <w:p>
            <w:pPr>
              <w:pStyle w:val="Compact"/>
              <w:jc w:val="left"/>
            </w:pPr>
            <w:r>
              <w:t xml:space="preserve">Date current tier was achieved.</w:t>
            </w:r>
          </w:p>
        </w:tc>
      </w:tr>
      <w:tr>
        <w:tc>
          <w:tcPr/>
          <w:p>
            <w:pPr>
              <w:pStyle w:val="Compact"/>
              <w:jc w:val="left"/>
            </w:pPr>
            <w:r>
              <w:rPr>
                <w:bCs/>
                <w:b/>
              </w:rPr>
              <w:t xml:space="preserve">points_balance</w:t>
            </w:r>
          </w:p>
        </w:tc>
        <w:tc>
          <w:tcPr/>
          <w:p>
            <w:pPr>
              <w:pStyle w:val="Compact"/>
              <w:jc w:val="left"/>
            </w:pPr>
            <w:r>
              <w:t xml:space="preserve">INT</w:t>
            </w:r>
          </w:p>
        </w:tc>
        <w:tc>
          <w:tcPr/>
          <w:p>
            <w:pPr>
              <w:pStyle w:val="Compact"/>
              <w:jc w:val="left"/>
            </w:pPr>
            <w:r>
              <w:t xml:space="preserve">T1</w:t>
            </w:r>
          </w:p>
        </w:tc>
        <w:tc>
          <w:tcPr/>
          <w:p>
            <w:pPr>
              <w:pStyle w:val="Compact"/>
              <w:jc w:val="left"/>
            </w:pPr>
            <w:r>
              <w:t xml:space="preserve">Current available points. Updated on every transaction.</w:t>
            </w:r>
          </w:p>
        </w:tc>
      </w:tr>
      <w:tr>
        <w:tc>
          <w:tcPr/>
          <w:p>
            <w:pPr>
              <w:pStyle w:val="Compact"/>
              <w:jc w:val="left"/>
            </w:pPr>
            <w:r>
              <w:rPr>
                <w:bCs/>
                <w:b/>
              </w:rPr>
              <w:t xml:space="preserve">lifetime_points</w:t>
            </w:r>
          </w:p>
        </w:tc>
        <w:tc>
          <w:tcPr/>
          <w:p>
            <w:pPr>
              <w:pStyle w:val="Compact"/>
              <w:jc w:val="left"/>
            </w:pPr>
            <w:r>
              <w:t xml:space="preserve">INT</w:t>
            </w:r>
          </w:p>
        </w:tc>
        <w:tc>
          <w:tcPr/>
          <w:p>
            <w:pPr>
              <w:pStyle w:val="Compact"/>
              <w:jc w:val="left"/>
            </w:pPr>
            <w:r>
              <w:t xml:space="preserve">T1</w:t>
            </w:r>
          </w:p>
        </w:tc>
        <w:tc>
          <w:tcPr/>
          <w:p>
            <w:pPr>
              <w:pStyle w:val="Compact"/>
              <w:jc w:val="left"/>
            </w:pPr>
            <w:r>
              <w:t xml:space="preserve">Total points ever earned (not reduced by redemption).</w:t>
            </w:r>
          </w:p>
        </w:tc>
      </w:tr>
      <w:tr>
        <w:tc>
          <w:tcPr/>
          <w:p>
            <w:pPr>
              <w:pStyle w:val="Compact"/>
              <w:jc w:val="left"/>
            </w:pPr>
            <w:r>
              <w:rPr>
                <w:bCs/>
                <w:b/>
              </w:rPr>
              <w:t xml:space="preserve">enrolled_at</w:t>
            </w:r>
          </w:p>
        </w:tc>
        <w:tc>
          <w:tcPr/>
          <w:p>
            <w:pPr>
              <w:pStyle w:val="Compact"/>
              <w:jc w:val="left"/>
            </w:pPr>
            <w:r>
              <w:t xml:space="preserve">TIMESTAMPTZ</w:t>
            </w:r>
          </w:p>
        </w:tc>
        <w:tc>
          <w:tcPr/>
          <w:p>
            <w:pPr>
              <w:pStyle w:val="Compact"/>
              <w:jc w:val="left"/>
            </w:pPr>
            <w:r>
              <w:t xml:space="preserve">T1</w:t>
            </w:r>
          </w:p>
        </w:tc>
        <w:tc>
          <w:tcPr/>
          <w:p>
            <w:pPr>
              <w:pStyle w:val="Compact"/>
              <w:jc w:val="left"/>
            </w:pPr>
            <w:r>
              <w:t xml:space="preserve">Enrollment date.</w:t>
            </w:r>
          </w:p>
        </w:tc>
      </w:tr>
      <w:tr>
        <w:tc>
          <w:tcPr/>
          <w:p>
            <w:pPr>
              <w:pStyle w:val="Compact"/>
              <w:jc w:val="left"/>
            </w:pPr>
            <w:r>
              <w:rPr>
                <w:bCs/>
                <w:b/>
              </w:rPr>
              <w:t xml:space="preserve">enrolled_channel</w:t>
            </w:r>
          </w:p>
        </w:tc>
        <w:tc>
          <w:tcPr/>
          <w:p>
            <w:pPr>
              <w:pStyle w:val="Compact"/>
              <w:jc w:val="left"/>
            </w:pPr>
            <w:r>
              <w:t xml:space="preserve">ENUM</w:t>
            </w:r>
          </w:p>
        </w:tc>
        <w:tc>
          <w:tcPr/>
          <w:p>
            <w:pPr>
              <w:pStyle w:val="Compact"/>
              <w:jc w:val="left"/>
            </w:pPr>
            <w:r>
              <w:t xml:space="preserve">T1</w:t>
            </w:r>
          </w:p>
        </w:tc>
        <w:tc>
          <w:tcPr/>
          <w:p>
            <w:pPr>
              <w:pStyle w:val="Compact"/>
              <w:jc w:val="left"/>
            </w:pPr>
            <w:r>
              <w:t xml:space="preserve">IN_STORE, E_COMMERCE, MOBILE_APP.</w:t>
            </w:r>
          </w:p>
        </w:tc>
      </w:tr>
      <w:tr>
        <w:tc>
          <w:tcPr/>
          <w:p>
            <w:pPr>
              <w:pStyle w:val="Compact"/>
              <w:jc w:val="left"/>
            </w:pPr>
            <w:r>
              <w:rPr>
                <w:bCs/>
                <w:b/>
              </w:rPr>
              <w:t xml:space="preserve">status</w:t>
            </w:r>
          </w:p>
        </w:tc>
        <w:tc>
          <w:tcPr/>
          <w:p>
            <w:pPr>
              <w:pStyle w:val="Compact"/>
              <w:jc w:val="left"/>
            </w:pPr>
            <w:r>
              <w:t xml:space="preserve">ENUM</w:t>
            </w:r>
          </w:p>
        </w:tc>
        <w:tc>
          <w:tcPr/>
          <w:p>
            <w:pPr>
              <w:pStyle w:val="Compact"/>
              <w:jc w:val="left"/>
            </w:pPr>
            <w:r>
              <w:t xml:space="preserve">T1</w:t>
            </w:r>
          </w:p>
        </w:tc>
        <w:tc>
          <w:tcPr/>
          <w:p>
            <w:pPr>
              <w:pStyle w:val="Compact"/>
              <w:jc w:val="left"/>
            </w:pPr>
            <w:r>
              <w:t xml:space="preserve">ACTIVE, INACTIVE, SUSPENDED.</w:t>
            </w:r>
          </w:p>
        </w:tc>
      </w:tr>
    </w:tbl>
    <w:bookmarkEnd w:id="77"/>
    <w:bookmarkStart w:id="78" w:name="retail.stocklevel-extends-observation"/>
    <w:p>
      <w:pPr>
        <w:pStyle w:val="Heading3"/>
      </w:pPr>
      <w:r>
        <w:t xml:space="preserve">retail.StockLevel (extends Observation)</w:t>
      </w:r>
    </w:p>
    <w:p>
      <w:pPr>
        <w:pStyle w:val="FirstParagraph"/>
      </w:pPr>
      <w:r>
        <w:t xml:space="preserve">Point-in-time inventory observation for a product at a location.</w:t>
      </w:r>
    </w:p>
    <w:tbl>
      <w:tblPr>
        <w:tblStyle w:val="Table"/>
        <w:tblW w:type="pct" w:w="4911"/>
        <w:tblLook w:firstRow="0" w:lastRow="0" w:firstColumn="0" w:lastColumn="0" w:noHBand="0" w:noVBand="0" w:val="0000"/>
        <w:jc w:val="start"/>
      </w:tblPr>
      <w:tblGrid>
        <w:gridCol w:w="1767"/>
        <w:gridCol w:w="990"/>
        <w:gridCol w:w="777"/>
        <w:gridCol w:w="4242"/>
      </w:tblGrid>
      <w:tr>
        <w:tc>
          <w:tcPr/>
          <w:p>
            <w:pPr>
              <w:pStyle w:val="Compact"/>
              <w:jc w:val="left"/>
            </w:pPr>
            <w:r>
              <w:rPr>
                <w:bCs/>
                <w:b/>
              </w:rPr>
              <w:t xml:space="preserve">Attribute</w:t>
            </w:r>
          </w:p>
        </w:tc>
        <w:tc>
          <w:tcPr/>
          <w:p>
            <w:pPr>
              <w:pStyle w:val="Compact"/>
              <w:jc w:val="left"/>
            </w:pPr>
            <w:r>
              <w:rPr>
                <w:bCs/>
                <w:b/>
              </w:rPr>
              <w:t xml:space="preserve">Type</w:t>
            </w:r>
          </w:p>
        </w:tc>
        <w:tc>
          <w:tcPr/>
          <w:p>
            <w:pPr>
              <w:pStyle w:val="Compact"/>
              <w:jc w:val="left"/>
            </w:pPr>
            <w:r>
              <w:rPr>
                <w:bCs/>
                <w:b/>
              </w:rPr>
              <w:t xml:space="preserve">SCD</w:t>
            </w:r>
          </w:p>
        </w:tc>
        <w:tc>
          <w:tcPr/>
          <w:p>
            <w:pPr>
              <w:pStyle w:val="Compact"/>
              <w:jc w:val="left"/>
            </w:pPr>
            <w:r>
              <w:rPr>
                <w:bCs/>
                <w:b/>
              </w:rPr>
              <w:t xml:space="preserve">Description</w:t>
            </w:r>
          </w:p>
        </w:tc>
      </w:tr>
      <w:tr>
        <w:tc>
          <w:tcPr/>
          <w:p>
            <w:pPr>
              <w:pStyle w:val="Compact"/>
              <w:jc w:val="left"/>
            </w:pPr>
            <w:r>
              <w:rPr>
                <w:bCs/>
                <w:b/>
              </w:rPr>
              <w:t xml:space="preserve">observation_id</w:t>
            </w:r>
          </w:p>
        </w:tc>
        <w:tc>
          <w:tcPr/>
          <w:p>
            <w:pPr>
              <w:pStyle w:val="Compact"/>
              <w:jc w:val="left"/>
            </w:pPr>
            <w:r>
              <w:t xml:space="preserve">UUID (FK)</w:t>
            </w:r>
          </w:p>
        </w:tc>
        <w:tc>
          <w:tcPr/>
          <w:p>
            <w:pPr>
              <w:pStyle w:val="Compact"/>
            </w:pPr>
          </w:p>
        </w:tc>
        <w:tc>
          <w:tcPr/>
          <w:p>
            <w:pPr>
              <w:pStyle w:val="Compact"/>
              <w:jc w:val="left"/>
            </w:pPr>
            <w:r>
              <w:t xml:space="preserve">Links to Core Observation. metric_name = 'STOCK_LEVEL'.</w:t>
            </w:r>
          </w:p>
        </w:tc>
      </w:tr>
      <w:tr>
        <w:tc>
          <w:tcPr/>
          <w:p>
            <w:pPr>
              <w:pStyle w:val="Compact"/>
              <w:jc w:val="left"/>
            </w:pPr>
            <w:r>
              <w:rPr>
                <w:bCs/>
                <w:b/>
              </w:rPr>
              <w:t xml:space="preserve">product_id</w:t>
            </w:r>
          </w:p>
        </w:tc>
        <w:tc>
          <w:tcPr/>
          <w:p>
            <w:pPr>
              <w:pStyle w:val="Compact"/>
              <w:jc w:val="left"/>
            </w:pPr>
            <w:r>
              <w:t xml:space="preserve">UUID (FK)</w:t>
            </w:r>
          </w:p>
        </w:tc>
        <w:tc>
          <w:tcPr/>
          <w:p>
            <w:pPr>
              <w:pStyle w:val="Compact"/>
            </w:pPr>
          </w:p>
        </w:tc>
        <w:tc>
          <w:tcPr/>
          <w:p>
            <w:pPr>
              <w:pStyle w:val="Compact"/>
              <w:jc w:val="left"/>
            </w:pPr>
            <w:r>
              <w:t xml:space="preserve">Product. Links to retail.Product.</w:t>
            </w:r>
          </w:p>
        </w:tc>
      </w:tr>
      <w:tr>
        <w:tc>
          <w:tcPr/>
          <w:p>
            <w:pPr>
              <w:pStyle w:val="Compact"/>
              <w:jc w:val="left"/>
            </w:pPr>
            <w:r>
              <w:rPr>
                <w:bCs/>
                <w:b/>
              </w:rPr>
              <w:t xml:space="preserve">location_id</w:t>
            </w:r>
          </w:p>
        </w:tc>
        <w:tc>
          <w:tcPr/>
          <w:p>
            <w:pPr>
              <w:pStyle w:val="Compact"/>
              <w:jc w:val="left"/>
            </w:pPr>
            <w:r>
              <w:t xml:space="preserve">UUID (FK)</w:t>
            </w:r>
          </w:p>
        </w:tc>
        <w:tc>
          <w:tcPr/>
          <w:p>
            <w:pPr>
              <w:pStyle w:val="Compact"/>
            </w:pPr>
          </w:p>
        </w:tc>
        <w:tc>
          <w:tcPr/>
          <w:p>
            <w:pPr>
              <w:pStyle w:val="Compact"/>
              <w:jc w:val="left"/>
            </w:pPr>
            <w:r>
              <w:t xml:space="preserve">Store or warehouse. Links to Core Location.</w:t>
            </w:r>
          </w:p>
        </w:tc>
      </w:tr>
      <w:tr>
        <w:tc>
          <w:tcPr/>
          <w:p>
            <w:pPr>
              <w:pStyle w:val="Compact"/>
              <w:jc w:val="left"/>
            </w:pPr>
            <w:r>
              <w:rPr>
                <w:bCs/>
                <w:b/>
              </w:rPr>
              <w:t xml:space="preserve">quantity_on_hand</w:t>
            </w:r>
          </w:p>
        </w:tc>
        <w:tc>
          <w:tcPr/>
          <w:p>
            <w:pPr>
              <w:pStyle w:val="Compact"/>
              <w:jc w:val="left"/>
            </w:pPr>
            <w:r>
              <w:t xml:space="preserve">INT</w:t>
            </w:r>
          </w:p>
        </w:tc>
        <w:tc>
          <w:tcPr/>
          <w:p>
            <w:pPr>
              <w:pStyle w:val="Compact"/>
            </w:pPr>
          </w:p>
        </w:tc>
        <w:tc>
          <w:tcPr/>
          <w:p>
            <w:pPr>
              <w:pStyle w:val="Compact"/>
              <w:jc w:val="left"/>
            </w:pPr>
            <w:r>
              <w:t xml:space="preserve">Units currently in stock at this location.</w:t>
            </w:r>
          </w:p>
        </w:tc>
      </w:tr>
      <w:tr>
        <w:tc>
          <w:tcPr/>
          <w:p>
            <w:pPr>
              <w:pStyle w:val="Compact"/>
              <w:jc w:val="left"/>
            </w:pPr>
            <w:r>
              <w:rPr>
                <w:bCs/>
                <w:b/>
              </w:rPr>
              <w:t xml:space="preserve">quantity_reserved</w:t>
            </w:r>
          </w:p>
        </w:tc>
        <w:tc>
          <w:tcPr/>
          <w:p>
            <w:pPr>
              <w:pStyle w:val="Compact"/>
              <w:jc w:val="left"/>
            </w:pPr>
            <w:r>
              <w:t xml:space="preserve">INT</w:t>
            </w:r>
          </w:p>
        </w:tc>
        <w:tc>
          <w:tcPr/>
          <w:p>
            <w:pPr>
              <w:pStyle w:val="Compact"/>
            </w:pPr>
          </w:p>
        </w:tc>
        <w:tc>
          <w:tcPr/>
          <w:p>
            <w:pPr>
              <w:pStyle w:val="Compact"/>
              <w:jc w:val="left"/>
            </w:pPr>
            <w:r>
              <w:t xml:space="preserve">Units reserved for click-and-collect orders.</w:t>
            </w:r>
          </w:p>
        </w:tc>
      </w:tr>
      <w:tr>
        <w:tc>
          <w:tcPr/>
          <w:p>
            <w:pPr>
              <w:pStyle w:val="Compact"/>
              <w:jc w:val="left"/>
            </w:pPr>
            <w:r>
              <w:rPr>
                <w:bCs/>
                <w:b/>
              </w:rPr>
              <w:t xml:space="preserve">quantity_available</w:t>
            </w:r>
          </w:p>
        </w:tc>
        <w:tc>
          <w:tcPr/>
          <w:p>
            <w:pPr>
              <w:pStyle w:val="Compact"/>
              <w:jc w:val="left"/>
            </w:pPr>
            <w:r>
              <w:t xml:space="preserve">INT</w:t>
            </w:r>
          </w:p>
        </w:tc>
        <w:tc>
          <w:tcPr/>
          <w:p>
            <w:pPr>
              <w:pStyle w:val="Compact"/>
            </w:pPr>
          </w:p>
        </w:tc>
        <w:tc>
          <w:tcPr/>
          <w:p>
            <w:pPr>
              <w:pStyle w:val="Compact"/>
              <w:jc w:val="left"/>
            </w:pPr>
            <w:r>
              <w:t xml:space="preserve">quantity_on_hand - quantity_reserved. Available for sale.</w:t>
            </w:r>
          </w:p>
        </w:tc>
      </w:tr>
      <w:tr>
        <w:tc>
          <w:tcPr/>
          <w:p>
            <w:pPr>
              <w:pStyle w:val="Compact"/>
              <w:jc w:val="left"/>
            </w:pPr>
            <w:r>
              <w:rPr>
                <w:bCs/>
                <w:b/>
              </w:rPr>
              <w:t xml:space="preserve">reorder_point</w:t>
            </w:r>
          </w:p>
        </w:tc>
        <w:tc>
          <w:tcPr/>
          <w:p>
            <w:pPr>
              <w:pStyle w:val="Compact"/>
              <w:jc w:val="left"/>
            </w:pPr>
            <w:r>
              <w:t xml:space="preserve">INT</w:t>
            </w:r>
          </w:p>
        </w:tc>
        <w:tc>
          <w:tcPr/>
          <w:p>
            <w:pPr>
              <w:pStyle w:val="Compact"/>
            </w:pPr>
          </w:p>
        </w:tc>
        <w:tc>
          <w:tcPr/>
          <w:p>
            <w:pPr>
              <w:pStyle w:val="Compact"/>
              <w:jc w:val="left"/>
            </w:pPr>
            <w:r>
              <w:t xml:space="preserve">Threshold below which replenishment is triggered.</w:t>
            </w:r>
          </w:p>
        </w:tc>
      </w:tr>
      <w:tr>
        <w:tc>
          <w:tcPr/>
          <w:p>
            <w:pPr>
              <w:pStyle w:val="Compact"/>
              <w:jc w:val="left"/>
            </w:pPr>
            <w:r>
              <w:rPr>
                <w:bCs/>
                <w:b/>
              </w:rPr>
              <w:t xml:space="preserve">observed_at</w:t>
            </w:r>
          </w:p>
        </w:tc>
        <w:tc>
          <w:tcPr/>
          <w:p>
            <w:pPr>
              <w:pStyle w:val="Compact"/>
              <w:jc w:val="left"/>
            </w:pPr>
            <w:r>
              <w:t xml:space="preserve">TIMESTAMPTZ</w:t>
            </w:r>
          </w:p>
        </w:tc>
        <w:tc>
          <w:tcPr/>
          <w:p>
            <w:pPr>
              <w:pStyle w:val="Compact"/>
            </w:pPr>
          </w:p>
        </w:tc>
        <w:tc>
          <w:tcPr/>
          <w:p>
            <w:pPr>
              <w:pStyle w:val="Compact"/>
              <w:jc w:val="left"/>
            </w:pPr>
            <w:r>
              <w:t xml:space="preserve">Timestamp of this stock snapshot.</w:t>
            </w:r>
          </w:p>
        </w:tc>
      </w:tr>
    </w:tbl>
    <w:bookmarkEnd w:id="78"/>
    <w:bookmarkStart w:id="79" w:name="retail.onlinesession-extends-event"/>
    <w:p>
      <w:pPr>
        <w:pStyle w:val="Heading3"/>
      </w:pPr>
      <w:r>
        <w:t xml:space="preserve">retail.OnlineSession (extends Event)</w:t>
      </w:r>
    </w:p>
    <w:p>
      <w:pPr>
        <w:pStyle w:val="FirstParagraph"/>
      </w:pPr>
      <w:r>
        <w:t xml:space="preserve">A website or mobile app browsing session. Enables online-to-offline attribution.</w:t>
      </w:r>
    </w:p>
    <w:tbl>
      <w:tblPr>
        <w:tblStyle w:val="Table"/>
        <w:tblW w:type="pct" w:w="4912"/>
        <w:tblLook w:firstRow="0" w:lastRow="0" w:firstColumn="0" w:lastColumn="0" w:noHBand="0" w:noVBand="0" w:val="0000"/>
        <w:jc w:val="start"/>
      </w:tblPr>
      <w:tblGrid>
        <w:gridCol w:w="1541"/>
        <w:gridCol w:w="1051"/>
        <w:gridCol w:w="770"/>
        <w:gridCol w:w="4415"/>
      </w:tblGrid>
      <w:tr>
        <w:tc>
          <w:tcPr/>
          <w:p>
            <w:pPr>
              <w:pStyle w:val="Compact"/>
              <w:jc w:val="left"/>
            </w:pPr>
            <w:r>
              <w:rPr>
                <w:bCs/>
                <w:b/>
              </w:rPr>
              <w:t xml:space="preserve">Attribute</w:t>
            </w:r>
          </w:p>
        </w:tc>
        <w:tc>
          <w:tcPr/>
          <w:p>
            <w:pPr>
              <w:pStyle w:val="Compact"/>
              <w:jc w:val="left"/>
            </w:pPr>
            <w:r>
              <w:rPr>
                <w:bCs/>
                <w:b/>
              </w:rPr>
              <w:t xml:space="preserve">Type</w:t>
            </w:r>
          </w:p>
        </w:tc>
        <w:tc>
          <w:tcPr/>
          <w:p>
            <w:pPr>
              <w:pStyle w:val="Compact"/>
              <w:jc w:val="left"/>
            </w:pPr>
            <w:r>
              <w:rPr>
                <w:bCs/>
                <w:b/>
              </w:rPr>
              <w:t xml:space="preserve">SCD</w:t>
            </w:r>
          </w:p>
        </w:tc>
        <w:tc>
          <w:tcPr/>
          <w:p>
            <w:pPr>
              <w:pStyle w:val="Compact"/>
              <w:jc w:val="left"/>
            </w:pPr>
            <w:r>
              <w:rPr>
                <w:bCs/>
                <w:b/>
              </w:rPr>
              <w:t xml:space="preserve">Description</w:t>
            </w:r>
          </w:p>
        </w:tc>
      </w:tr>
      <w:tr>
        <w:tc>
          <w:tcPr/>
          <w:p>
            <w:pPr>
              <w:pStyle w:val="Compact"/>
              <w:jc w:val="left"/>
            </w:pPr>
            <w:r>
              <w:rPr>
                <w:bCs/>
                <w:b/>
              </w:rPr>
              <w:t xml:space="preserve">event_id</w:t>
            </w:r>
          </w:p>
        </w:tc>
        <w:tc>
          <w:tcPr/>
          <w:p>
            <w:pPr>
              <w:pStyle w:val="Compact"/>
              <w:jc w:val="left"/>
            </w:pPr>
            <w:r>
              <w:t xml:space="preserve">UUID (FK)</w:t>
            </w:r>
          </w:p>
        </w:tc>
        <w:tc>
          <w:tcPr/>
          <w:p>
            <w:pPr>
              <w:pStyle w:val="Compact"/>
            </w:pPr>
          </w:p>
        </w:tc>
        <w:tc>
          <w:tcPr/>
          <w:p>
            <w:pPr>
              <w:pStyle w:val="Compact"/>
              <w:jc w:val="left"/>
            </w:pPr>
            <w:r>
              <w:t xml:space="preserve">Links to Core Event. event_type = 'ONLINE_SESSION'.</w:t>
            </w:r>
          </w:p>
        </w:tc>
      </w:tr>
      <w:tr>
        <w:tc>
          <w:tcPr/>
          <w:p>
            <w:pPr>
              <w:pStyle w:val="Compact"/>
              <w:jc w:val="left"/>
            </w:pPr>
            <w:r>
              <w:rPr>
                <w:bCs/>
                <w:b/>
              </w:rPr>
              <w:t xml:space="preserve">session_id</w:t>
            </w:r>
          </w:p>
        </w:tc>
        <w:tc>
          <w:tcPr/>
          <w:p>
            <w:pPr>
              <w:pStyle w:val="Compact"/>
              <w:jc w:val="left"/>
            </w:pPr>
            <w:r>
              <w:t xml:space="preserve">VARCHAR(100)</w:t>
            </w:r>
          </w:p>
        </w:tc>
        <w:tc>
          <w:tcPr/>
          <w:p>
            <w:pPr>
              <w:pStyle w:val="Compact"/>
            </w:pPr>
          </w:p>
        </w:tc>
        <w:tc>
          <w:tcPr/>
          <w:p>
            <w:pPr>
              <w:pStyle w:val="Compact"/>
              <w:jc w:val="left"/>
            </w:pPr>
            <w:r>
              <w:t xml:space="preserve">Client-side session identifier (from e-commerce platform).</w:t>
            </w:r>
          </w:p>
        </w:tc>
      </w:tr>
      <w:tr>
        <w:tc>
          <w:tcPr/>
          <w:p>
            <w:pPr>
              <w:pStyle w:val="Compact"/>
              <w:jc w:val="left"/>
            </w:pPr>
            <w:r>
              <w:rPr>
                <w:bCs/>
                <w:b/>
              </w:rPr>
              <w:t xml:space="preserve">entity_id</w:t>
            </w:r>
          </w:p>
        </w:tc>
        <w:tc>
          <w:tcPr/>
          <w:p>
            <w:pPr>
              <w:pStyle w:val="Compact"/>
              <w:jc w:val="left"/>
            </w:pPr>
            <w:r>
              <w:t xml:space="preserve">UUID (FK)</w:t>
            </w:r>
          </w:p>
        </w:tc>
        <w:tc>
          <w:tcPr/>
          <w:p>
            <w:pPr>
              <w:pStyle w:val="Compact"/>
            </w:pPr>
          </w:p>
        </w:tc>
        <w:tc>
          <w:tcPr/>
          <w:p>
            <w:pPr>
              <w:pStyle w:val="Compact"/>
              <w:jc w:val="left"/>
            </w:pPr>
            <w:r>
              <w:t xml:space="preserve">Identified customer (NULL if anonymous). Links to SIR.</w:t>
            </w:r>
          </w:p>
        </w:tc>
      </w:tr>
      <w:tr>
        <w:tc>
          <w:tcPr/>
          <w:p>
            <w:pPr>
              <w:pStyle w:val="Compact"/>
              <w:jc w:val="left"/>
            </w:pPr>
            <w:r>
              <w:rPr>
                <w:bCs/>
                <w:b/>
              </w:rPr>
              <w:t xml:space="preserve">device_type</w:t>
            </w:r>
          </w:p>
        </w:tc>
        <w:tc>
          <w:tcPr/>
          <w:p>
            <w:pPr>
              <w:pStyle w:val="Compact"/>
              <w:jc w:val="left"/>
            </w:pPr>
            <w:r>
              <w:t xml:space="preserve">ENUM</w:t>
            </w:r>
          </w:p>
        </w:tc>
        <w:tc>
          <w:tcPr/>
          <w:p>
            <w:pPr>
              <w:pStyle w:val="Compact"/>
            </w:pPr>
          </w:p>
        </w:tc>
        <w:tc>
          <w:tcPr/>
          <w:p>
            <w:pPr>
              <w:pStyle w:val="Compact"/>
              <w:jc w:val="left"/>
            </w:pPr>
            <w:r>
              <w:t xml:space="preserve">DESKTOP, MOBILE, TABLET, APP.</w:t>
            </w:r>
          </w:p>
        </w:tc>
      </w:tr>
      <w:tr>
        <w:tc>
          <w:tcPr/>
          <w:p>
            <w:pPr>
              <w:pStyle w:val="Compact"/>
              <w:jc w:val="left"/>
            </w:pPr>
            <w:r>
              <w:rPr>
                <w:bCs/>
                <w:b/>
              </w:rPr>
              <w:t xml:space="preserve">session_start</w:t>
            </w:r>
          </w:p>
        </w:tc>
        <w:tc>
          <w:tcPr/>
          <w:p>
            <w:pPr>
              <w:pStyle w:val="Compact"/>
              <w:jc w:val="left"/>
            </w:pPr>
            <w:r>
              <w:t xml:space="preserve">TIMESTAMPTZ</w:t>
            </w:r>
          </w:p>
        </w:tc>
        <w:tc>
          <w:tcPr/>
          <w:p>
            <w:pPr>
              <w:pStyle w:val="Compact"/>
            </w:pPr>
          </w:p>
        </w:tc>
        <w:tc>
          <w:tcPr/>
          <w:p>
            <w:pPr>
              <w:pStyle w:val="Compact"/>
              <w:jc w:val="left"/>
            </w:pPr>
            <w:r>
              <w:t xml:space="preserve">Session start time.</w:t>
            </w:r>
          </w:p>
        </w:tc>
      </w:tr>
      <w:tr>
        <w:tc>
          <w:tcPr/>
          <w:p>
            <w:pPr>
              <w:pStyle w:val="Compact"/>
              <w:jc w:val="left"/>
            </w:pPr>
            <w:r>
              <w:rPr>
                <w:bCs/>
                <w:b/>
              </w:rPr>
              <w:t xml:space="preserve">session_end</w:t>
            </w:r>
          </w:p>
        </w:tc>
        <w:tc>
          <w:tcPr/>
          <w:p>
            <w:pPr>
              <w:pStyle w:val="Compact"/>
              <w:jc w:val="left"/>
            </w:pPr>
            <w:r>
              <w:t xml:space="preserve">TIMESTAMPTZ</w:t>
            </w:r>
          </w:p>
        </w:tc>
        <w:tc>
          <w:tcPr/>
          <w:p>
            <w:pPr>
              <w:pStyle w:val="Compact"/>
            </w:pPr>
          </w:p>
        </w:tc>
        <w:tc>
          <w:tcPr/>
          <w:p>
            <w:pPr>
              <w:pStyle w:val="Compact"/>
              <w:jc w:val="left"/>
            </w:pPr>
            <w:r>
              <w:t xml:space="preserve">Session end time.</w:t>
            </w:r>
          </w:p>
        </w:tc>
      </w:tr>
      <w:tr>
        <w:tc>
          <w:tcPr/>
          <w:p>
            <w:pPr>
              <w:pStyle w:val="Compact"/>
              <w:jc w:val="left"/>
            </w:pPr>
            <w:r>
              <w:rPr>
                <w:bCs/>
                <w:b/>
              </w:rPr>
              <w:t xml:space="preserve">page_views</w:t>
            </w:r>
          </w:p>
        </w:tc>
        <w:tc>
          <w:tcPr/>
          <w:p>
            <w:pPr>
              <w:pStyle w:val="Compact"/>
              <w:jc w:val="left"/>
            </w:pPr>
            <w:r>
              <w:t xml:space="preserve">INT</w:t>
            </w:r>
          </w:p>
        </w:tc>
        <w:tc>
          <w:tcPr/>
          <w:p>
            <w:pPr>
              <w:pStyle w:val="Compact"/>
            </w:pPr>
          </w:p>
        </w:tc>
        <w:tc>
          <w:tcPr/>
          <w:p>
            <w:pPr>
              <w:pStyle w:val="Compact"/>
              <w:jc w:val="left"/>
            </w:pPr>
            <w:r>
              <w:t xml:space="preserve">Number of pages viewed.</w:t>
            </w:r>
          </w:p>
        </w:tc>
      </w:tr>
      <w:tr>
        <w:tc>
          <w:tcPr/>
          <w:p>
            <w:pPr>
              <w:pStyle w:val="Compact"/>
              <w:jc w:val="left"/>
            </w:pPr>
            <w:r>
              <w:rPr>
                <w:bCs/>
                <w:b/>
              </w:rPr>
              <w:t xml:space="preserve">products_viewed</w:t>
            </w:r>
          </w:p>
        </w:tc>
        <w:tc>
          <w:tcPr/>
          <w:p>
            <w:pPr>
              <w:pStyle w:val="Compact"/>
              <w:jc w:val="left"/>
            </w:pPr>
            <w:r>
              <w:t xml:space="preserve">UUID[]</w:t>
            </w:r>
          </w:p>
        </w:tc>
        <w:tc>
          <w:tcPr/>
          <w:p>
            <w:pPr>
              <w:pStyle w:val="Compact"/>
            </w:pPr>
          </w:p>
        </w:tc>
        <w:tc>
          <w:tcPr/>
          <w:p>
            <w:pPr>
              <w:pStyle w:val="Compact"/>
              <w:jc w:val="left"/>
            </w:pPr>
            <w:r>
              <w:t xml:space="preserve">Array of product IDs viewed during session.</w:t>
            </w:r>
          </w:p>
        </w:tc>
      </w:tr>
      <w:tr>
        <w:tc>
          <w:tcPr/>
          <w:p>
            <w:pPr>
              <w:pStyle w:val="Compact"/>
              <w:jc w:val="left"/>
            </w:pPr>
            <w:r>
              <w:rPr>
                <w:bCs/>
                <w:b/>
              </w:rPr>
              <w:t xml:space="preserve">cart_additions</w:t>
            </w:r>
          </w:p>
        </w:tc>
        <w:tc>
          <w:tcPr/>
          <w:p>
            <w:pPr>
              <w:pStyle w:val="Compact"/>
              <w:jc w:val="left"/>
            </w:pPr>
            <w:r>
              <w:t xml:space="preserve">UUID[]</w:t>
            </w:r>
          </w:p>
        </w:tc>
        <w:tc>
          <w:tcPr/>
          <w:p>
            <w:pPr>
              <w:pStyle w:val="Compact"/>
            </w:pPr>
          </w:p>
        </w:tc>
        <w:tc>
          <w:tcPr/>
          <w:p>
            <w:pPr>
              <w:pStyle w:val="Compact"/>
              <w:jc w:val="left"/>
            </w:pPr>
            <w:r>
              <w:t xml:space="preserve">Products added to cart.</w:t>
            </w:r>
          </w:p>
        </w:tc>
      </w:tr>
      <w:tr>
        <w:tc>
          <w:tcPr/>
          <w:p>
            <w:pPr>
              <w:pStyle w:val="Compact"/>
              <w:jc w:val="left"/>
            </w:pPr>
            <w:r>
              <w:rPr>
                <w:bCs/>
                <w:b/>
              </w:rPr>
              <w:t xml:space="preserve">converted</w:t>
            </w:r>
          </w:p>
        </w:tc>
        <w:tc>
          <w:tcPr/>
          <w:p>
            <w:pPr>
              <w:pStyle w:val="Compact"/>
              <w:jc w:val="left"/>
            </w:pPr>
            <w:r>
              <w:t xml:space="preserve">BOOLEAN</w:t>
            </w:r>
          </w:p>
        </w:tc>
        <w:tc>
          <w:tcPr/>
          <w:p>
            <w:pPr>
              <w:pStyle w:val="Compact"/>
            </w:pPr>
          </w:p>
        </w:tc>
        <w:tc>
          <w:tcPr/>
          <w:p>
            <w:pPr>
              <w:pStyle w:val="Compact"/>
              <w:jc w:val="left"/>
            </w:pPr>
            <w:r>
              <w:t xml:space="preserve">Whether session resulted in a purchase.</w:t>
            </w:r>
          </w:p>
        </w:tc>
      </w:tr>
      <w:tr>
        <w:tc>
          <w:tcPr/>
          <w:p>
            <w:pPr>
              <w:pStyle w:val="Compact"/>
              <w:jc w:val="left"/>
            </w:pPr>
            <w:r>
              <w:rPr>
                <w:bCs/>
                <w:b/>
              </w:rPr>
              <w:t xml:space="preserve">transaction_ref</w:t>
            </w:r>
          </w:p>
        </w:tc>
        <w:tc>
          <w:tcPr/>
          <w:p>
            <w:pPr>
              <w:pStyle w:val="Compact"/>
              <w:jc w:val="left"/>
            </w:pPr>
            <w:r>
              <w:t xml:space="preserve">VARCHAR(50)</w:t>
            </w:r>
          </w:p>
        </w:tc>
        <w:tc>
          <w:tcPr/>
          <w:p>
            <w:pPr>
              <w:pStyle w:val="Compact"/>
            </w:pPr>
          </w:p>
        </w:tc>
        <w:tc>
          <w:tcPr/>
          <w:p>
            <w:pPr>
              <w:pStyle w:val="Compact"/>
              <w:jc w:val="left"/>
            </w:pPr>
            <w:r>
              <w:t xml:space="preserve">If converted: reference to the resulting retail.Transaction.</w:t>
            </w:r>
          </w:p>
        </w:tc>
      </w:tr>
      <w:tr>
        <w:tc>
          <w:tcPr/>
          <w:p>
            <w:pPr>
              <w:pStyle w:val="Compact"/>
              <w:jc w:val="left"/>
            </w:pPr>
            <w:r>
              <w:rPr>
                <w:bCs/>
                <w:b/>
              </w:rPr>
              <w:t xml:space="preserve">utm_source</w:t>
            </w:r>
          </w:p>
        </w:tc>
        <w:tc>
          <w:tcPr/>
          <w:p>
            <w:pPr>
              <w:pStyle w:val="Compact"/>
              <w:jc w:val="left"/>
            </w:pPr>
            <w:r>
              <w:t xml:space="preserve">VARCHAR(100)</w:t>
            </w:r>
          </w:p>
        </w:tc>
        <w:tc>
          <w:tcPr/>
          <w:p>
            <w:pPr>
              <w:pStyle w:val="Compact"/>
            </w:pPr>
          </w:p>
        </w:tc>
        <w:tc>
          <w:tcPr/>
          <w:p>
            <w:pPr>
              <w:pStyle w:val="Compact"/>
              <w:jc w:val="left"/>
            </w:pPr>
            <w:r>
              <w:t xml:space="preserve">Marketing attribution: UTM source.</w:t>
            </w:r>
          </w:p>
        </w:tc>
      </w:tr>
      <w:tr>
        <w:tc>
          <w:tcPr/>
          <w:p>
            <w:pPr>
              <w:pStyle w:val="Compact"/>
              <w:jc w:val="left"/>
            </w:pPr>
            <w:r>
              <w:rPr>
                <w:bCs/>
                <w:b/>
              </w:rPr>
              <w:t xml:space="preserve">utm_campaign</w:t>
            </w:r>
          </w:p>
        </w:tc>
        <w:tc>
          <w:tcPr/>
          <w:p>
            <w:pPr>
              <w:pStyle w:val="Compact"/>
              <w:jc w:val="left"/>
            </w:pPr>
            <w:r>
              <w:t xml:space="preserve">VARCHAR(100)</w:t>
            </w:r>
          </w:p>
        </w:tc>
        <w:tc>
          <w:tcPr/>
          <w:p>
            <w:pPr>
              <w:pStyle w:val="Compact"/>
            </w:pPr>
          </w:p>
        </w:tc>
        <w:tc>
          <w:tcPr/>
          <w:p>
            <w:pPr>
              <w:pStyle w:val="Compact"/>
              <w:jc w:val="left"/>
            </w:pPr>
            <w:r>
              <w:t xml:space="preserve">Marketing attribution: UTM campaign.</w:t>
            </w:r>
          </w:p>
        </w:tc>
      </w:tr>
    </w:tbl>
    <w:bookmarkEnd w:id="79"/>
    <w:bookmarkEnd w:id="80"/>
    <w:bookmarkStart w:id="81" w:name="entity-relationships-graph-model"/>
    <w:p>
      <w:pPr>
        <w:pStyle w:val="Heading2"/>
      </w:pPr>
      <w:r>
        <w:t xml:space="preserve">1.5 Entity Relationships (Graph Model)</w:t>
      </w:r>
    </w:p>
    <w:p>
      <w:pPr>
        <w:pStyle w:val="FirstParagraph"/>
      </w:pPr>
      <w:r>
        <w:t xml:space="preserve">The following relationships are maintained in both the Silver relational layer (as foreign keys and the Relationship entity) and the Knowledge Graph (I02, Phase 2):</w:t>
      </w:r>
    </w:p>
    <w:tbl>
      <w:tblPr>
        <w:tblStyle w:val="Table"/>
        <w:tblW w:type="pct" w:w="4940"/>
        <w:tblLook w:firstRow="0" w:lastRow="0" w:firstColumn="0" w:lastColumn="0" w:noHBand="0" w:noVBand="0" w:val="0000"/>
        <w:jc w:val="start"/>
      </w:tblPr>
      <w:tblGrid>
        <w:gridCol w:w="942"/>
        <w:gridCol w:w="848"/>
        <w:gridCol w:w="2074"/>
        <w:gridCol w:w="3960"/>
      </w:tblGrid>
      <w:tr>
        <w:tc>
          <w:tcPr/>
          <w:p>
            <w:pPr>
              <w:pStyle w:val="Compact"/>
              <w:jc w:val="left"/>
            </w:pPr>
            <w:r>
              <w:rPr>
                <w:bCs/>
                <w:b/>
              </w:rPr>
              <w:t xml:space="preserve">Relationship</w:t>
            </w:r>
          </w:p>
        </w:tc>
        <w:tc>
          <w:tcPr/>
          <w:p>
            <w:pPr>
              <w:pStyle w:val="Compact"/>
              <w:jc w:val="left"/>
            </w:pPr>
            <w:r>
              <w:rPr>
                <w:bCs/>
                <w:b/>
              </w:rPr>
              <w:t xml:space="preserve">Cardinality</w:t>
            </w:r>
          </w:p>
        </w:tc>
        <w:tc>
          <w:tcPr/>
          <w:p>
            <w:pPr>
              <w:pStyle w:val="Compact"/>
              <w:jc w:val="left"/>
            </w:pPr>
            <w:r>
              <w:rPr>
                <w:bCs/>
                <w:b/>
              </w:rPr>
              <w:t xml:space="preserve">From → To</w:t>
            </w:r>
          </w:p>
        </w:tc>
        <w:tc>
          <w:tcPr/>
          <w:p>
            <w:pPr>
              <w:pStyle w:val="Compact"/>
              <w:jc w:val="left"/>
            </w:pPr>
            <w:r>
              <w:rPr>
                <w:bCs/>
                <w:b/>
              </w:rPr>
              <w:t xml:space="preserve">Description</w:t>
            </w:r>
          </w:p>
        </w:tc>
      </w:tr>
      <w:tr>
        <w:tc>
          <w:tcPr/>
          <w:p>
            <w:pPr>
              <w:pStyle w:val="Compact"/>
              <w:jc w:val="left"/>
            </w:pPr>
            <w:r>
              <w:rPr>
                <w:bCs/>
                <w:b/>
              </w:rPr>
              <w:t xml:space="preserve">PURCHASED</w:t>
            </w:r>
          </w:p>
        </w:tc>
        <w:tc>
          <w:tcPr/>
          <w:p>
            <w:pPr>
              <w:pStyle w:val="Compact"/>
              <w:jc w:val="left"/>
            </w:pPr>
            <w:r>
              <w:t xml:space="preserve">M:N</w:t>
            </w:r>
          </w:p>
        </w:tc>
        <w:tc>
          <w:tcPr/>
          <w:p>
            <w:pPr>
              <w:pStyle w:val="Compact"/>
              <w:jc w:val="left"/>
            </w:pPr>
            <w:r>
              <w:t xml:space="preserve">Customer → Product</w:t>
            </w:r>
          </w:p>
        </w:tc>
        <w:tc>
          <w:tcPr/>
          <w:p>
            <w:pPr>
              <w:pStyle w:val="Compact"/>
              <w:jc w:val="left"/>
            </w:pPr>
            <w:r>
              <w:t xml:space="preserve">Via Transaction and LineItem. Temporal: each purchase is an Event with timestamp.</w:t>
            </w:r>
          </w:p>
        </w:tc>
      </w:tr>
      <w:tr>
        <w:tc>
          <w:tcPr/>
          <w:p>
            <w:pPr>
              <w:pStyle w:val="Compact"/>
              <w:jc w:val="left"/>
            </w:pPr>
            <w:r>
              <w:rPr>
                <w:bCs/>
                <w:b/>
              </w:rPr>
              <w:t xml:space="preserve">VISITED</w:t>
            </w:r>
          </w:p>
        </w:tc>
        <w:tc>
          <w:tcPr/>
          <w:p>
            <w:pPr>
              <w:pStyle w:val="Compact"/>
              <w:jc w:val="left"/>
            </w:pPr>
            <w:r>
              <w:t xml:space="preserve">M:N</w:t>
            </w:r>
          </w:p>
        </w:tc>
        <w:tc>
          <w:tcPr/>
          <w:p>
            <w:pPr>
              <w:pStyle w:val="Compact"/>
              <w:jc w:val="left"/>
            </w:pPr>
            <w:r>
              <w:t xml:space="preserve">Customer → Store</w:t>
            </w:r>
          </w:p>
        </w:tc>
        <w:tc>
          <w:tcPr/>
          <w:p>
            <w:pPr>
              <w:pStyle w:val="Compact"/>
              <w:jc w:val="left"/>
            </w:pPr>
            <w:r>
              <w:t xml:space="preserve">Via Transaction (in-store) or check-in Events. Temporal.</w:t>
            </w:r>
          </w:p>
        </w:tc>
      </w:tr>
      <w:tr>
        <w:tc>
          <w:tcPr/>
          <w:p>
            <w:pPr>
              <w:pStyle w:val="Compact"/>
              <w:jc w:val="left"/>
            </w:pPr>
            <w:r>
              <w:rPr>
                <w:bCs/>
                <w:b/>
              </w:rPr>
              <w:t xml:space="preserve">BROWSED</w:t>
            </w:r>
          </w:p>
        </w:tc>
        <w:tc>
          <w:tcPr/>
          <w:p>
            <w:pPr>
              <w:pStyle w:val="Compact"/>
              <w:jc w:val="left"/>
            </w:pPr>
            <w:r>
              <w:t xml:space="preserve">M:N</w:t>
            </w:r>
          </w:p>
        </w:tc>
        <w:tc>
          <w:tcPr/>
          <w:p>
            <w:pPr>
              <w:pStyle w:val="Compact"/>
              <w:jc w:val="left"/>
            </w:pPr>
            <w:r>
              <w:t xml:space="preserve">Customer → Product</w:t>
            </w:r>
          </w:p>
        </w:tc>
        <w:tc>
          <w:tcPr/>
          <w:p>
            <w:pPr>
              <w:pStyle w:val="Compact"/>
              <w:jc w:val="left"/>
            </w:pPr>
            <w:r>
              <w:t xml:space="preserve">Via OnlineSession.products_viewed. Temporal.</w:t>
            </w:r>
          </w:p>
        </w:tc>
      </w:tr>
      <w:tr>
        <w:tc>
          <w:tcPr/>
          <w:p>
            <w:pPr>
              <w:pStyle w:val="Compact"/>
              <w:jc w:val="left"/>
            </w:pPr>
            <w:r>
              <w:rPr>
                <w:bCs/>
                <w:b/>
              </w:rPr>
              <w:t xml:space="preserve">MEMBER_OF</w:t>
            </w:r>
          </w:p>
        </w:tc>
        <w:tc>
          <w:tcPr/>
          <w:p>
            <w:pPr>
              <w:pStyle w:val="Compact"/>
              <w:jc w:val="left"/>
            </w:pPr>
            <w:r>
              <w:t xml:space="preserve">1:1</w:t>
            </w:r>
          </w:p>
        </w:tc>
        <w:tc>
          <w:tcPr/>
          <w:p>
            <w:pPr>
              <w:pStyle w:val="Compact"/>
              <w:jc w:val="left"/>
            </w:pPr>
            <w:r>
              <w:t xml:space="preserve">Customer → LoyaltyAccount</w:t>
            </w:r>
          </w:p>
        </w:tc>
        <w:tc>
          <w:tcPr/>
          <w:p>
            <w:pPr>
              <w:pStyle w:val="Compact"/>
              <w:jc w:val="left"/>
            </w:pPr>
            <w:r>
              <w:t xml:space="preserve">Loyalty enrolment. May be 1:0 for non-loyalty customers.</w:t>
            </w:r>
          </w:p>
        </w:tc>
      </w:tr>
      <w:tr>
        <w:tc>
          <w:tcPr/>
          <w:p>
            <w:pPr>
              <w:pStyle w:val="Compact"/>
              <w:jc w:val="left"/>
            </w:pPr>
            <w:r>
              <w:rPr>
                <w:bCs/>
                <w:b/>
              </w:rPr>
              <w:t xml:space="preserve">LOCATED_IN</w:t>
            </w:r>
          </w:p>
        </w:tc>
        <w:tc>
          <w:tcPr/>
          <w:p>
            <w:pPr>
              <w:pStyle w:val="Compact"/>
              <w:jc w:val="left"/>
            </w:pPr>
            <w:r>
              <w:t xml:space="preserve">M:1</w:t>
            </w:r>
          </w:p>
        </w:tc>
        <w:tc>
          <w:tcPr/>
          <w:p>
            <w:pPr>
              <w:pStyle w:val="Compact"/>
              <w:jc w:val="left"/>
            </w:pPr>
            <w:r>
              <w:t xml:space="preserve">Store → City → Region → Chain</w:t>
            </w:r>
          </w:p>
        </w:tc>
        <w:tc>
          <w:tcPr/>
          <w:p>
            <w:pPr>
              <w:pStyle w:val="Compact"/>
              <w:jc w:val="left"/>
            </w:pPr>
            <w:r>
              <w:t xml:space="preserve">Store hierarchy. Managed by AC02 hierarchy engine.</w:t>
            </w:r>
          </w:p>
        </w:tc>
      </w:tr>
      <w:tr>
        <w:tc>
          <w:tcPr/>
          <w:p>
            <w:pPr>
              <w:pStyle w:val="Compact"/>
              <w:jc w:val="left"/>
            </w:pPr>
            <w:r>
              <w:rPr>
                <w:bCs/>
                <w:b/>
              </w:rPr>
              <w:t xml:space="preserve">STOCKED_AT</w:t>
            </w:r>
          </w:p>
        </w:tc>
        <w:tc>
          <w:tcPr/>
          <w:p>
            <w:pPr>
              <w:pStyle w:val="Compact"/>
              <w:jc w:val="left"/>
            </w:pPr>
            <w:r>
              <w:t xml:space="preserve">M:N</w:t>
            </w:r>
          </w:p>
        </w:tc>
        <w:tc>
          <w:tcPr/>
          <w:p>
            <w:pPr>
              <w:pStyle w:val="Compact"/>
              <w:jc w:val="left"/>
            </w:pPr>
            <w:r>
              <w:t xml:space="preserve">Product → Store</w:t>
            </w:r>
          </w:p>
        </w:tc>
        <w:tc>
          <w:tcPr/>
          <w:p>
            <w:pPr>
              <w:pStyle w:val="Compact"/>
              <w:jc w:val="left"/>
            </w:pPr>
            <w:r>
              <w:t xml:space="preserve">Via StockLevel observations. Which products are available where.</w:t>
            </w:r>
          </w:p>
        </w:tc>
      </w:tr>
      <w:tr>
        <w:tc>
          <w:tcPr/>
          <w:p>
            <w:pPr>
              <w:pStyle w:val="Compact"/>
              <w:jc w:val="left"/>
            </w:pPr>
            <w:r>
              <w:rPr>
                <w:bCs/>
                <w:b/>
              </w:rPr>
              <w:t xml:space="preserve">INFLUENCED_BY</w:t>
            </w:r>
          </w:p>
        </w:tc>
        <w:tc>
          <w:tcPr/>
          <w:p>
            <w:pPr>
              <w:pStyle w:val="Compact"/>
              <w:jc w:val="left"/>
            </w:pPr>
            <w:r>
              <w:t xml:space="preserve">M:N</w:t>
            </w:r>
          </w:p>
        </w:tc>
        <w:tc>
          <w:tcPr/>
          <w:p>
            <w:pPr>
              <w:pStyle w:val="Compact"/>
              <w:jc w:val="left"/>
            </w:pPr>
            <w:r>
              <w:t xml:space="preserve">Transaction → Campaign</w:t>
            </w:r>
          </w:p>
        </w:tc>
        <w:tc>
          <w:tcPr/>
          <w:p>
            <w:pPr>
              <w:pStyle w:val="Compact"/>
              <w:jc w:val="left"/>
            </w:pPr>
            <w:r>
              <w:t xml:space="preserve">Which campaigns drove which transactions. Via campaign_ids array on Transaction.</w:t>
            </w:r>
          </w:p>
        </w:tc>
      </w:tr>
      <w:tr>
        <w:tc>
          <w:tcPr/>
          <w:p>
            <w:pPr>
              <w:pStyle w:val="Compact"/>
              <w:jc w:val="left"/>
            </w:pPr>
            <w:r>
              <w:rPr>
                <w:bCs/>
                <w:b/>
              </w:rPr>
              <w:t xml:space="preserve">RETURNED_FROM</w:t>
            </w:r>
          </w:p>
        </w:tc>
        <w:tc>
          <w:tcPr/>
          <w:p>
            <w:pPr>
              <w:pStyle w:val="Compact"/>
              <w:jc w:val="left"/>
            </w:pPr>
            <w:r>
              <w:t xml:space="preserve">1:1</w:t>
            </w:r>
          </w:p>
        </w:tc>
        <w:tc>
          <w:tcPr/>
          <w:p>
            <w:pPr>
              <w:pStyle w:val="Compact"/>
              <w:jc w:val="left"/>
            </w:pPr>
            <w:r>
              <w:t xml:space="preserve">Return Transaction → Original Transaction</w:t>
            </w:r>
          </w:p>
        </w:tc>
        <w:tc>
          <w:tcPr/>
          <w:p>
            <w:pPr>
              <w:pStyle w:val="Compact"/>
              <w:jc w:val="left"/>
            </w:pPr>
            <w:r>
              <w:t xml:space="preserve">Links return events to original purchases.</w:t>
            </w:r>
          </w:p>
        </w:tc>
      </w:tr>
      <w:tr>
        <w:tc>
          <w:tcPr/>
          <w:p>
            <w:pPr>
              <w:pStyle w:val="Compact"/>
              <w:jc w:val="left"/>
            </w:pPr>
            <w:r>
              <w:rPr>
                <w:bCs/>
                <w:b/>
              </w:rPr>
              <w:t xml:space="preserve">PICKUP_AT</w:t>
            </w:r>
          </w:p>
        </w:tc>
        <w:tc>
          <w:tcPr/>
          <w:p>
            <w:pPr>
              <w:pStyle w:val="Compact"/>
              <w:jc w:val="left"/>
            </w:pPr>
            <w:r>
              <w:t xml:space="preserve">M:1</w:t>
            </w:r>
          </w:p>
        </w:tc>
        <w:tc>
          <w:tcPr/>
          <w:p>
            <w:pPr>
              <w:pStyle w:val="Compact"/>
              <w:jc w:val="left"/>
            </w:pPr>
            <w:r>
              <w:t xml:space="preserve">Online Order → Store</w:t>
            </w:r>
          </w:p>
        </w:tc>
        <w:tc>
          <w:tcPr/>
          <w:p>
            <w:pPr>
              <w:pStyle w:val="Compact"/>
              <w:jc w:val="left"/>
            </w:pPr>
            <w:r>
              <w:t xml:space="preserve">Click-and-collect: online order picked up at physical store. Cross-channel.</w:t>
            </w:r>
          </w:p>
        </w:tc>
      </w:tr>
    </w:tbl>
    <w:bookmarkEnd w:id="81"/>
    <w:bookmarkStart w:id="84" w:name="gold-layer-kpi-definitions"/>
    <w:p>
      <w:pPr>
        <w:pStyle w:val="Heading2"/>
      </w:pPr>
      <w:r>
        <w:t xml:space="preserve">1.6 Gold Layer — KPI Definitions</w:t>
      </w:r>
    </w:p>
    <w:bookmarkStart w:id="82" w:name="store-performance-funnel-kpis"/>
    <w:p>
      <w:pPr>
        <w:pStyle w:val="Heading3"/>
      </w:pPr>
      <w:r>
        <w:t xml:space="preserve">1.6.1 Store Performance Funnel KPIs</w:t>
      </w:r>
    </w:p>
    <w:tbl>
      <w:tblPr>
        <w:tblStyle w:val="Table"/>
        <w:tblW w:type="pct" w:w="4950"/>
        <w:tblLook w:firstRow="0" w:lastRow="0" w:firstColumn="0" w:lastColumn="0" w:noHBand="0" w:noVBand="0" w:val="0000"/>
        <w:jc w:val="start"/>
      </w:tblPr>
      <w:tblGrid>
        <w:gridCol w:w="1114"/>
        <w:gridCol w:w="3223"/>
        <w:gridCol w:w="2069"/>
        <w:gridCol w:w="1432"/>
      </w:tblGrid>
      <w:tr>
        <w:tc>
          <w:tcPr/>
          <w:p>
            <w:pPr>
              <w:pStyle w:val="Compact"/>
              <w:jc w:val="left"/>
            </w:pPr>
            <w:r>
              <w:rPr>
                <w:bCs/>
                <w:b/>
              </w:rPr>
              <w:t xml:space="preserve">KPI</w:t>
            </w:r>
          </w:p>
        </w:tc>
        <w:tc>
          <w:tcPr/>
          <w:p>
            <w:pPr>
              <w:pStyle w:val="Compact"/>
              <w:jc w:val="left"/>
            </w:pPr>
            <w:r>
              <w:rPr>
                <w:bCs/>
                <w:b/>
              </w:rPr>
              <w:t xml:space="preserve">Formula</w:t>
            </w:r>
          </w:p>
        </w:tc>
        <w:tc>
          <w:tcPr/>
          <w:p>
            <w:pPr>
              <w:pStyle w:val="Compact"/>
              <w:jc w:val="left"/>
            </w:pPr>
            <w:r>
              <w:rPr>
                <w:bCs/>
                <w:b/>
              </w:rPr>
              <w:t xml:space="preserve">Rollup Logic</w:t>
            </w:r>
          </w:p>
        </w:tc>
        <w:tc>
          <w:tcPr/>
          <w:p>
            <w:pPr>
              <w:pStyle w:val="Compact"/>
              <w:jc w:val="left"/>
            </w:pPr>
            <w:r>
              <w:rPr>
                <w:bCs/>
                <w:b/>
              </w:rPr>
              <w:t xml:space="preserve">Refresh Frequency</w:t>
            </w:r>
          </w:p>
        </w:tc>
      </w:tr>
      <w:tr>
        <w:tc>
          <w:tcPr/>
          <w:p>
            <w:pPr>
              <w:pStyle w:val="Compact"/>
              <w:jc w:val="left"/>
            </w:pPr>
            <w:r>
              <w:rPr>
                <w:bCs/>
                <w:b/>
              </w:rPr>
              <w:t xml:space="preserve">Footfall</w:t>
            </w:r>
          </w:p>
        </w:tc>
        <w:tc>
          <w:tcPr/>
          <w:p>
            <w:pPr>
              <w:pStyle w:val="Compact"/>
              <w:jc w:val="left"/>
            </w:pPr>
            <w:r>
              <w:t xml:space="preserve">COUNT(DISTINCT entity_id) from in-store Events in time period</w:t>
            </w:r>
          </w:p>
        </w:tc>
        <w:tc>
          <w:tcPr/>
          <w:p>
            <w:pPr>
              <w:pStyle w:val="Compact"/>
              <w:jc w:val="left"/>
            </w:pPr>
            <w:r>
              <w:t xml:space="preserve">SUM up hierarchy (store→city→region→chain)</w:t>
            </w:r>
          </w:p>
        </w:tc>
        <w:tc>
          <w:tcPr/>
          <w:p>
            <w:pPr>
              <w:pStyle w:val="Compact"/>
              <w:jc w:val="left"/>
            </w:pPr>
            <w:r>
              <w:t xml:space="preserve">Hourly (from video/sensor events)</w:t>
            </w:r>
          </w:p>
        </w:tc>
      </w:tr>
      <w:tr>
        <w:tc>
          <w:tcPr/>
          <w:p>
            <w:pPr>
              <w:pStyle w:val="Compact"/>
              <w:jc w:val="left"/>
            </w:pPr>
            <w:r>
              <w:rPr>
                <w:bCs/>
                <w:b/>
              </w:rPr>
              <w:t xml:space="preserve">Conversion Rate</w:t>
            </w:r>
          </w:p>
        </w:tc>
        <w:tc>
          <w:tcPr/>
          <w:p>
            <w:pPr>
              <w:pStyle w:val="Compact"/>
              <w:jc w:val="left"/>
            </w:pPr>
            <w:r>
              <w:t xml:space="preserve">COUNT(Transactions) / Footfall * 100</w:t>
            </w:r>
          </w:p>
        </w:tc>
        <w:tc>
          <w:tcPr/>
          <w:p>
            <w:pPr>
              <w:pStyle w:val="Compact"/>
              <w:jc w:val="left"/>
            </w:pPr>
            <w:r>
              <w:t xml:space="preserve">WEIGHTED_AVG by footfall up hierarchy</w:t>
            </w:r>
          </w:p>
        </w:tc>
        <w:tc>
          <w:tcPr/>
          <w:p>
            <w:pPr>
              <w:pStyle w:val="Compact"/>
              <w:jc w:val="left"/>
            </w:pPr>
            <w:r>
              <w:t xml:space="preserve">Daily</w:t>
            </w:r>
          </w:p>
        </w:tc>
      </w:tr>
      <w:tr>
        <w:tc>
          <w:tcPr/>
          <w:p>
            <w:pPr>
              <w:pStyle w:val="Compact"/>
              <w:jc w:val="left"/>
            </w:pPr>
            <w:r>
              <w:rPr>
                <w:bCs/>
                <w:b/>
              </w:rPr>
              <w:t xml:space="preserve">Average Basket Value</w:t>
            </w:r>
          </w:p>
        </w:tc>
        <w:tc>
          <w:tcPr/>
          <w:p>
            <w:pPr>
              <w:pStyle w:val="Compact"/>
              <w:jc w:val="left"/>
            </w:pPr>
            <w:r>
              <w:t xml:space="preserve">SUM(Transaction.total_amount) / COUNT(Transactions)</w:t>
            </w:r>
          </w:p>
        </w:tc>
        <w:tc>
          <w:tcPr/>
          <w:p>
            <w:pPr>
              <w:pStyle w:val="Compact"/>
              <w:jc w:val="left"/>
            </w:pPr>
            <w:r>
              <w:t xml:space="preserve">WEIGHTED_AVG by transaction count up hierarchy</w:t>
            </w:r>
          </w:p>
        </w:tc>
        <w:tc>
          <w:tcPr/>
          <w:p>
            <w:pPr>
              <w:pStyle w:val="Compact"/>
              <w:jc w:val="left"/>
            </w:pPr>
            <w:r>
              <w:t xml:space="preserve">Daily</w:t>
            </w:r>
          </w:p>
        </w:tc>
      </w:tr>
      <w:tr>
        <w:tc>
          <w:tcPr/>
          <w:p>
            <w:pPr>
              <w:pStyle w:val="Compact"/>
              <w:jc w:val="left"/>
            </w:pPr>
            <w:r>
              <w:rPr>
                <w:bCs/>
                <w:b/>
              </w:rPr>
              <w:t xml:space="preserve">Average Basket Size</w:t>
            </w:r>
          </w:p>
        </w:tc>
        <w:tc>
          <w:tcPr/>
          <w:p>
            <w:pPr>
              <w:pStyle w:val="Compact"/>
              <w:jc w:val="left"/>
            </w:pPr>
            <w:r>
              <w:t xml:space="preserve">SUM(Transaction.total_quantity) / COUNT(Transactions)</w:t>
            </w:r>
          </w:p>
        </w:tc>
        <w:tc>
          <w:tcPr/>
          <w:p>
            <w:pPr>
              <w:pStyle w:val="Compact"/>
              <w:jc w:val="left"/>
            </w:pPr>
            <w:r>
              <w:t xml:space="preserve">WEIGHTED_AVG by transaction count</w:t>
            </w:r>
          </w:p>
        </w:tc>
        <w:tc>
          <w:tcPr/>
          <w:p>
            <w:pPr>
              <w:pStyle w:val="Compact"/>
              <w:jc w:val="left"/>
            </w:pPr>
            <w:r>
              <w:t xml:space="preserve">Daily</w:t>
            </w:r>
          </w:p>
        </w:tc>
      </w:tr>
      <w:tr>
        <w:tc>
          <w:tcPr/>
          <w:p>
            <w:pPr>
              <w:pStyle w:val="Compact"/>
              <w:jc w:val="left"/>
            </w:pPr>
            <w:r>
              <w:rPr>
                <w:bCs/>
                <w:b/>
              </w:rPr>
              <w:t xml:space="preserve">Revenue</w:t>
            </w:r>
          </w:p>
        </w:tc>
        <w:tc>
          <w:tcPr/>
          <w:p>
            <w:pPr>
              <w:pStyle w:val="Compact"/>
              <w:jc w:val="left"/>
            </w:pPr>
            <w:r>
              <w:t xml:space="preserve">SUM(Transaction.total_amount) in period</w:t>
            </w:r>
          </w:p>
        </w:tc>
        <w:tc>
          <w:tcPr/>
          <w:p>
            <w:pPr>
              <w:pStyle w:val="Compact"/>
              <w:jc w:val="left"/>
            </w:pPr>
            <w:r>
              <w:t xml:space="preserve">SUM up hierarchy</w:t>
            </w:r>
          </w:p>
        </w:tc>
        <w:tc>
          <w:tcPr/>
          <w:p>
            <w:pPr>
              <w:pStyle w:val="Compact"/>
              <w:jc w:val="left"/>
            </w:pPr>
            <w:r>
              <w:t xml:space="preserve">Hourly (incremental)</w:t>
            </w:r>
          </w:p>
        </w:tc>
      </w:tr>
      <w:tr>
        <w:tc>
          <w:tcPr/>
          <w:p>
            <w:pPr>
              <w:pStyle w:val="Compact"/>
              <w:jc w:val="left"/>
            </w:pPr>
            <w:r>
              <w:rPr>
                <w:bCs/>
                <w:b/>
              </w:rPr>
              <w:t xml:space="preserve">Revenue per Sq Ft</w:t>
            </w:r>
          </w:p>
        </w:tc>
        <w:tc>
          <w:tcPr/>
          <w:p>
            <w:pPr>
              <w:pStyle w:val="Compact"/>
              <w:jc w:val="left"/>
            </w:pPr>
            <w:r>
              <w:t xml:space="preserve">Revenue / Store.area_sqft</w:t>
            </w:r>
          </w:p>
        </w:tc>
        <w:tc>
          <w:tcPr/>
          <w:p>
            <w:pPr>
              <w:pStyle w:val="Compact"/>
              <w:jc w:val="left"/>
            </w:pPr>
            <w:r>
              <w:t xml:space="preserve">Not rolled up (store-level only, unless averaged)</w:t>
            </w:r>
          </w:p>
        </w:tc>
        <w:tc>
          <w:tcPr/>
          <w:p>
            <w:pPr>
              <w:pStyle w:val="Compact"/>
              <w:jc w:val="left"/>
            </w:pPr>
            <w:r>
              <w:t xml:space="preserve">Daily</w:t>
            </w:r>
          </w:p>
        </w:tc>
      </w:tr>
      <w:tr>
        <w:tc>
          <w:tcPr/>
          <w:p>
            <w:pPr>
              <w:pStyle w:val="Compact"/>
              <w:jc w:val="left"/>
            </w:pPr>
            <w:r>
              <w:rPr>
                <w:bCs/>
                <w:b/>
              </w:rPr>
              <w:t xml:space="preserve">Units per Transaction</w:t>
            </w:r>
          </w:p>
        </w:tc>
        <w:tc>
          <w:tcPr/>
          <w:p>
            <w:pPr>
              <w:pStyle w:val="Compact"/>
              <w:jc w:val="left"/>
            </w:pPr>
            <w:r>
              <w:t xml:space="preserve">SUM(total_quantity) / COUNT(Transactions)</w:t>
            </w:r>
          </w:p>
        </w:tc>
        <w:tc>
          <w:tcPr/>
          <w:p>
            <w:pPr>
              <w:pStyle w:val="Compact"/>
              <w:jc w:val="left"/>
            </w:pPr>
            <w:r>
              <w:t xml:space="preserve">WEIGHTED_AVG</w:t>
            </w:r>
          </w:p>
        </w:tc>
        <w:tc>
          <w:tcPr/>
          <w:p>
            <w:pPr>
              <w:pStyle w:val="Compact"/>
              <w:jc w:val="left"/>
            </w:pPr>
            <w:r>
              <w:t xml:space="preserve">Daily</w:t>
            </w:r>
          </w:p>
        </w:tc>
      </w:tr>
      <w:tr>
        <w:tc>
          <w:tcPr/>
          <w:p>
            <w:pPr>
              <w:pStyle w:val="Compact"/>
              <w:jc w:val="left"/>
            </w:pPr>
            <w:r>
              <w:rPr>
                <w:bCs/>
                <w:b/>
              </w:rPr>
              <w:t xml:space="preserve">Return Rate</w:t>
            </w:r>
          </w:p>
        </w:tc>
        <w:tc>
          <w:tcPr/>
          <w:p>
            <w:pPr>
              <w:pStyle w:val="Compact"/>
              <w:jc w:val="left"/>
            </w:pPr>
            <w:r>
              <w:t xml:space="preserve">COUNT(is_return=true) / COUNT(all Transactions) * 100</w:t>
            </w:r>
          </w:p>
        </w:tc>
        <w:tc>
          <w:tcPr/>
          <w:p>
            <w:pPr>
              <w:pStyle w:val="Compact"/>
              <w:jc w:val="left"/>
            </w:pPr>
            <w:r>
              <w:t xml:space="preserve">WEIGHTED_AVG</w:t>
            </w:r>
          </w:p>
        </w:tc>
        <w:tc>
          <w:tcPr/>
          <w:p>
            <w:pPr>
              <w:pStyle w:val="Compact"/>
              <w:jc w:val="left"/>
            </w:pPr>
            <w:r>
              <w:t xml:space="preserve">Daily</w:t>
            </w:r>
          </w:p>
        </w:tc>
      </w:tr>
      <w:tr>
        <w:tc>
          <w:tcPr/>
          <w:p>
            <w:pPr>
              <w:pStyle w:val="Compact"/>
              <w:jc w:val="left"/>
            </w:pPr>
            <w:r>
              <w:rPr>
                <w:bCs/>
                <w:b/>
              </w:rPr>
              <w:t xml:space="preserve">Stock-Out Rate</w:t>
            </w:r>
          </w:p>
        </w:tc>
        <w:tc>
          <w:tcPr/>
          <w:p>
            <w:pPr>
              <w:pStyle w:val="Compact"/>
              <w:jc w:val="left"/>
            </w:pPr>
            <w:r>
              <w:t xml:space="preserve">COUNT(products with quantity_available=0) / COUNT(all stocked products) * 100</w:t>
            </w:r>
          </w:p>
        </w:tc>
        <w:tc>
          <w:tcPr/>
          <w:p>
            <w:pPr>
              <w:pStyle w:val="Compact"/>
              <w:jc w:val="left"/>
            </w:pPr>
            <w:r>
              <w:t xml:space="preserve">AVG across stores</w:t>
            </w:r>
          </w:p>
        </w:tc>
        <w:tc>
          <w:tcPr/>
          <w:p>
            <w:pPr>
              <w:pStyle w:val="Compact"/>
              <w:jc w:val="left"/>
            </w:pPr>
            <w:r>
              <w:t xml:space="preserve">Daily</w:t>
            </w:r>
          </w:p>
        </w:tc>
      </w:tr>
      <w:tr>
        <w:tc>
          <w:tcPr/>
          <w:p>
            <w:pPr>
              <w:pStyle w:val="Compact"/>
              <w:jc w:val="left"/>
            </w:pPr>
            <w:r>
              <w:rPr>
                <w:bCs/>
                <w:b/>
              </w:rPr>
              <w:t xml:space="preserve">Sell-Through Rate</w:t>
            </w:r>
          </w:p>
        </w:tc>
        <w:tc>
          <w:tcPr/>
          <w:p>
            <w:pPr>
              <w:pStyle w:val="Compact"/>
              <w:jc w:val="left"/>
            </w:pPr>
            <w:r>
              <w:t xml:space="preserve">Units sold in period / (Opening stock + Receipts) * 100</w:t>
            </w:r>
          </w:p>
        </w:tc>
        <w:tc>
          <w:tcPr/>
          <w:p>
            <w:pPr>
              <w:pStyle w:val="Compact"/>
              <w:jc w:val="left"/>
            </w:pPr>
            <w:r>
              <w:t xml:space="preserve">Computed per store per product category</w:t>
            </w:r>
          </w:p>
        </w:tc>
        <w:tc>
          <w:tcPr/>
          <w:p>
            <w:pPr>
              <w:pStyle w:val="Compact"/>
              <w:jc w:val="left"/>
            </w:pPr>
            <w:r>
              <w:t xml:space="preserve">Weekly</w:t>
            </w:r>
          </w:p>
        </w:tc>
      </w:tr>
    </w:tbl>
    <w:bookmarkEnd w:id="82"/>
    <w:bookmarkStart w:id="83" w:name="customer-lifecycle-funnel-kpis"/>
    <w:p>
      <w:pPr>
        <w:pStyle w:val="Heading3"/>
      </w:pPr>
      <w:r>
        <w:t xml:space="preserve">1.6.2 Customer Lifecycle Funnel KPIs</w:t>
      </w:r>
    </w:p>
    <w:tbl>
      <w:tblPr>
        <w:tblStyle w:val="Table"/>
        <w:tblW w:type="pct" w:w="4947"/>
        <w:tblLook w:firstRow="0" w:lastRow="0" w:firstColumn="0" w:lastColumn="0" w:noHBand="0" w:noVBand="0" w:val="0000"/>
        <w:jc w:val="start"/>
      </w:tblPr>
      <w:tblGrid>
        <w:gridCol w:w="1508"/>
        <w:gridCol w:w="3436"/>
        <w:gridCol w:w="1843"/>
        <w:gridCol w:w="1047"/>
      </w:tblGrid>
      <w:tr>
        <w:tc>
          <w:tcPr/>
          <w:p>
            <w:pPr>
              <w:pStyle w:val="Compact"/>
              <w:jc w:val="left"/>
            </w:pPr>
            <w:r>
              <w:rPr>
                <w:bCs/>
                <w:b/>
              </w:rPr>
              <w:t xml:space="preserve">KPI</w:t>
            </w:r>
          </w:p>
        </w:tc>
        <w:tc>
          <w:tcPr/>
          <w:p>
            <w:pPr>
              <w:pStyle w:val="Compact"/>
              <w:jc w:val="left"/>
            </w:pPr>
            <w:r>
              <w:rPr>
                <w:bCs/>
                <w:b/>
              </w:rPr>
              <w:t xml:space="preserve">Formula</w:t>
            </w:r>
          </w:p>
        </w:tc>
        <w:tc>
          <w:tcPr/>
          <w:p>
            <w:pPr>
              <w:pStyle w:val="Compact"/>
              <w:jc w:val="left"/>
            </w:pPr>
            <w:r>
              <w:rPr>
                <w:bCs/>
                <w:b/>
              </w:rPr>
              <w:t xml:space="preserve">Segmentation</w:t>
            </w:r>
          </w:p>
        </w:tc>
        <w:tc>
          <w:tcPr/>
          <w:p>
            <w:pPr>
              <w:pStyle w:val="Compact"/>
              <w:jc w:val="left"/>
            </w:pPr>
            <w:r>
              <w:rPr>
                <w:bCs/>
                <w:b/>
              </w:rPr>
              <w:t xml:space="preserve">Refresh</w:t>
            </w:r>
          </w:p>
        </w:tc>
      </w:tr>
      <w:tr>
        <w:tc>
          <w:tcPr/>
          <w:p>
            <w:pPr>
              <w:pStyle w:val="Compact"/>
              <w:jc w:val="left"/>
            </w:pPr>
            <w:r>
              <w:rPr>
                <w:bCs/>
                <w:b/>
              </w:rPr>
              <w:t xml:space="preserve">New Customers</w:t>
            </w:r>
          </w:p>
        </w:tc>
        <w:tc>
          <w:tcPr/>
          <w:p>
            <w:pPr>
              <w:pStyle w:val="Compact"/>
              <w:jc w:val="left"/>
            </w:pPr>
            <w:r>
              <w:t xml:space="preserve">COUNT(Customers where first_purchase_date in period)</w:t>
            </w:r>
          </w:p>
        </w:tc>
        <w:tc>
          <w:tcPr/>
          <w:p>
            <w:pPr>
              <w:pStyle w:val="Compact"/>
              <w:jc w:val="left"/>
            </w:pPr>
            <w:r>
              <w:t xml:space="preserve">By channel, by store, by campaign</w:t>
            </w:r>
          </w:p>
        </w:tc>
        <w:tc>
          <w:tcPr/>
          <w:p>
            <w:pPr>
              <w:pStyle w:val="Compact"/>
              <w:jc w:val="left"/>
            </w:pPr>
            <w:r>
              <w:t xml:space="preserve">Daily</w:t>
            </w:r>
          </w:p>
        </w:tc>
      </w:tr>
      <w:tr>
        <w:tc>
          <w:tcPr/>
          <w:p>
            <w:pPr>
              <w:pStyle w:val="Compact"/>
              <w:jc w:val="left"/>
            </w:pPr>
            <w:r>
              <w:rPr>
                <w:bCs/>
                <w:b/>
              </w:rPr>
              <w:t xml:space="preserve">Repeat Purchase Rate</w:t>
            </w:r>
          </w:p>
        </w:tc>
        <w:tc>
          <w:tcPr/>
          <w:p>
            <w:pPr>
              <w:pStyle w:val="Compact"/>
              <w:jc w:val="left"/>
            </w:pPr>
            <w:r>
              <w:t xml:space="preserve">Customers with &gt;1 transaction in period / All active customers * 100</w:t>
            </w:r>
          </w:p>
        </w:tc>
        <w:tc>
          <w:tcPr/>
          <w:p>
            <w:pPr>
              <w:pStyle w:val="Compact"/>
              <w:jc w:val="left"/>
            </w:pPr>
            <w:r>
              <w:t xml:space="preserve">By segment, by tier</w:t>
            </w:r>
          </w:p>
        </w:tc>
        <w:tc>
          <w:tcPr/>
          <w:p>
            <w:pPr>
              <w:pStyle w:val="Compact"/>
              <w:jc w:val="left"/>
            </w:pPr>
            <w:r>
              <w:t xml:space="preserve">Weekly</w:t>
            </w:r>
          </w:p>
        </w:tc>
      </w:tr>
      <w:tr>
        <w:tc>
          <w:tcPr/>
          <w:p>
            <w:pPr>
              <w:pStyle w:val="Compact"/>
              <w:jc w:val="left"/>
            </w:pPr>
            <w:r>
              <w:rPr>
                <w:bCs/>
                <w:b/>
              </w:rPr>
              <w:t xml:space="preserve">Purchase Frequency</w:t>
            </w:r>
          </w:p>
        </w:tc>
        <w:tc>
          <w:tcPr/>
          <w:p>
            <w:pPr>
              <w:pStyle w:val="Compact"/>
              <w:jc w:val="left"/>
            </w:pPr>
            <w:r>
              <w:t xml:space="preserve">AVG(transaction_count per customer) in 90-day window</w:t>
            </w:r>
          </w:p>
        </w:tc>
        <w:tc>
          <w:tcPr/>
          <w:p>
            <w:pPr>
              <w:pStyle w:val="Compact"/>
              <w:jc w:val="left"/>
            </w:pPr>
            <w:r>
              <w:t xml:space="preserve">By segment</w:t>
            </w:r>
          </w:p>
        </w:tc>
        <w:tc>
          <w:tcPr/>
          <w:p>
            <w:pPr>
              <w:pStyle w:val="Compact"/>
              <w:jc w:val="left"/>
            </w:pPr>
            <w:r>
              <w:t xml:space="preserve">Weekly</w:t>
            </w:r>
          </w:p>
        </w:tc>
      </w:tr>
      <w:tr>
        <w:tc>
          <w:tcPr/>
          <w:p>
            <w:pPr>
              <w:pStyle w:val="Compact"/>
              <w:jc w:val="left"/>
            </w:pPr>
            <w:r>
              <w:rPr>
                <w:bCs/>
                <w:b/>
              </w:rPr>
              <w:t xml:space="preserve">Customer Lifetime Value (CLV)</w:t>
            </w:r>
          </w:p>
        </w:tc>
        <w:tc>
          <w:tcPr/>
          <w:p>
            <w:pPr>
              <w:pStyle w:val="Compact"/>
              <w:jc w:val="left"/>
            </w:pPr>
            <w:r>
              <w:t xml:space="preserve">Predicted future spend based on RFM model + purchase history</w:t>
            </w:r>
          </w:p>
        </w:tc>
        <w:tc>
          <w:tcPr/>
          <w:p>
            <w:pPr>
              <w:pStyle w:val="Compact"/>
              <w:jc w:val="left"/>
            </w:pPr>
            <w:r>
              <w:t xml:space="preserve">By segment, by acquisition channel</w:t>
            </w:r>
          </w:p>
        </w:tc>
        <w:tc>
          <w:tcPr/>
          <w:p>
            <w:pPr>
              <w:pStyle w:val="Compact"/>
              <w:jc w:val="left"/>
            </w:pPr>
            <w:r>
              <w:t xml:space="preserve">Monthly (model re-run)</w:t>
            </w:r>
          </w:p>
        </w:tc>
      </w:tr>
      <w:tr>
        <w:tc>
          <w:tcPr/>
          <w:p>
            <w:pPr>
              <w:pStyle w:val="Compact"/>
              <w:jc w:val="left"/>
            </w:pPr>
            <w:r>
              <w:rPr>
                <w:bCs/>
                <w:b/>
              </w:rPr>
              <w:t xml:space="preserve">Churn Rate</w:t>
            </w:r>
          </w:p>
        </w:tc>
        <w:tc>
          <w:tcPr/>
          <w:p>
            <w:pPr>
              <w:pStyle w:val="Compact"/>
              <w:jc w:val="left"/>
            </w:pPr>
            <w:r>
              <w:t xml:space="preserve">Customers with no purchase in 90+ days / Active customers * 100</w:t>
            </w:r>
          </w:p>
        </w:tc>
        <w:tc>
          <w:tcPr/>
          <w:p>
            <w:pPr>
              <w:pStyle w:val="Compact"/>
              <w:jc w:val="left"/>
            </w:pPr>
            <w:r>
              <w:t xml:space="preserve">By segment, by tier</w:t>
            </w:r>
          </w:p>
        </w:tc>
        <w:tc>
          <w:tcPr/>
          <w:p>
            <w:pPr>
              <w:pStyle w:val="Compact"/>
              <w:jc w:val="left"/>
            </w:pPr>
            <w:r>
              <w:t xml:space="preserve">Weekly</w:t>
            </w:r>
          </w:p>
        </w:tc>
      </w:tr>
      <w:tr>
        <w:tc>
          <w:tcPr/>
          <w:p>
            <w:pPr>
              <w:pStyle w:val="Compact"/>
              <w:jc w:val="left"/>
            </w:pPr>
            <w:r>
              <w:rPr>
                <w:bCs/>
                <w:b/>
              </w:rPr>
              <w:t xml:space="preserve">Reactivation Rate</w:t>
            </w:r>
          </w:p>
        </w:tc>
        <w:tc>
          <w:tcPr/>
          <w:p>
            <w:pPr>
              <w:pStyle w:val="Compact"/>
              <w:jc w:val="left"/>
            </w:pPr>
            <w:r>
              <w:t xml:space="preserve">Previously churned customers who purchased in period / Churned customers * 100</w:t>
            </w:r>
          </w:p>
        </w:tc>
        <w:tc>
          <w:tcPr/>
          <w:p>
            <w:pPr>
              <w:pStyle w:val="Compact"/>
              <w:jc w:val="left"/>
            </w:pPr>
            <w:r>
              <w:t xml:space="preserve">By campaign</w:t>
            </w:r>
          </w:p>
        </w:tc>
        <w:tc>
          <w:tcPr/>
          <w:p>
            <w:pPr>
              <w:pStyle w:val="Compact"/>
              <w:jc w:val="left"/>
            </w:pPr>
            <w:r>
              <w:t xml:space="preserve">Monthly</w:t>
            </w:r>
          </w:p>
        </w:tc>
      </w:tr>
      <w:tr>
        <w:tc>
          <w:tcPr/>
          <w:p>
            <w:pPr>
              <w:pStyle w:val="Compact"/>
              <w:jc w:val="left"/>
            </w:pPr>
            <w:r>
              <w:rPr>
                <w:bCs/>
                <w:b/>
              </w:rPr>
              <w:t xml:space="preserve">Loyalty Enrollment Rate</w:t>
            </w:r>
          </w:p>
        </w:tc>
        <w:tc>
          <w:tcPr/>
          <w:p>
            <w:pPr>
              <w:pStyle w:val="Compact"/>
              <w:jc w:val="left"/>
            </w:pPr>
            <w:r>
              <w:t xml:space="preserve">New loyalty enrollments / New customers * 100</w:t>
            </w:r>
          </w:p>
        </w:tc>
        <w:tc>
          <w:tcPr/>
          <w:p>
            <w:pPr>
              <w:pStyle w:val="Compact"/>
              <w:jc w:val="left"/>
            </w:pPr>
            <w:r>
              <w:t xml:space="preserve">By store, by channel</w:t>
            </w:r>
          </w:p>
        </w:tc>
        <w:tc>
          <w:tcPr/>
          <w:p>
            <w:pPr>
              <w:pStyle w:val="Compact"/>
              <w:jc w:val="left"/>
            </w:pPr>
            <w:r>
              <w:t xml:space="preserve">Daily</w:t>
            </w:r>
          </w:p>
        </w:tc>
      </w:tr>
      <w:tr>
        <w:tc>
          <w:tcPr/>
          <w:p>
            <w:pPr>
              <w:pStyle w:val="Compact"/>
              <w:jc w:val="left"/>
            </w:pPr>
            <w:r>
              <w:rPr>
                <w:bCs/>
                <w:b/>
              </w:rPr>
              <w:t xml:space="preserve">Tier Upgrade Rate</w:t>
            </w:r>
          </w:p>
        </w:tc>
        <w:tc>
          <w:tcPr/>
          <w:p>
            <w:pPr>
              <w:pStyle w:val="Compact"/>
              <w:jc w:val="left"/>
            </w:pPr>
            <w:r>
              <w:t xml:space="preserve">Customers who moved to higher tier / All loyalty customers * 100</w:t>
            </w:r>
          </w:p>
        </w:tc>
        <w:tc>
          <w:tcPr/>
          <w:p>
            <w:pPr>
              <w:pStyle w:val="Compact"/>
              <w:jc w:val="left"/>
            </w:pPr>
            <w:r>
              <w:t xml:space="preserve">By tier pair (Bronze→Silver, Silver→Gold)</w:t>
            </w:r>
          </w:p>
        </w:tc>
        <w:tc>
          <w:tcPr/>
          <w:p>
            <w:pPr>
              <w:pStyle w:val="Compact"/>
              <w:jc w:val="left"/>
            </w:pPr>
            <w:r>
              <w:t xml:space="preserve">Monthly</w:t>
            </w:r>
          </w:p>
        </w:tc>
      </w:tr>
      <w:tr>
        <w:tc>
          <w:tcPr/>
          <w:p>
            <w:pPr>
              <w:pStyle w:val="Compact"/>
              <w:jc w:val="left"/>
            </w:pPr>
            <w:r>
              <w:rPr>
                <w:bCs/>
                <w:b/>
              </w:rPr>
              <w:t xml:space="preserve">Omnichannel Rate</w:t>
            </w:r>
          </w:p>
        </w:tc>
        <w:tc>
          <w:tcPr/>
          <w:p>
            <w:pPr>
              <w:pStyle w:val="Compact"/>
              <w:jc w:val="left"/>
            </w:pPr>
            <w:r>
              <w:t xml:space="preserve">Customers who transacted on 2+ channels in period / All active customers * 100</w:t>
            </w:r>
          </w:p>
        </w:tc>
        <w:tc>
          <w:tcPr/>
          <w:p>
            <w:pPr>
              <w:pStyle w:val="Compact"/>
              <w:jc w:val="left"/>
            </w:pPr>
            <w:r>
              <w:t xml:space="preserve">By channel combination</w:t>
            </w:r>
          </w:p>
        </w:tc>
        <w:tc>
          <w:tcPr/>
          <w:p>
            <w:pPr>
              <w:pStyle w:val="Compact"/>
              <w:jc w:val="left"/>
            </w:pPr>
            <w:r>
              <w:t xml:space="preserve">Monthly</w:t>
            </w:r>
          </w:p>
        </w:tc>
      </w:tr>
      <w:tr>
        <w:tc>
          <w:tcPr/>
          <w:p>
            <w:pPr>
              <w:pStyle w:val="Compact"/>
              <w:jc w:val="left"/>
            </w:pPr>
            <w:r>
              <w:rPr>
                <w:bCs/>
                <w:b/>
              </w:rPr>
              <w:t xml:space="preserve">Customer Acquisition Cost</w:t>
            </w:r>
          </w:p>
        </w:tc>
        <w:tc>
          <w:tcPr/>
          <w:p>
            <w:pPr>
              <w:pStyle w:val="Compact"/>
              <w:jc w:val="left"/>
            </w:pPr>
            <w:r>
              <w:t xml:space="preserve">Campaign spend / New customers acquired via that campaign</w:t>
            </w:r>
          </w:p>
        </w:tc>
        <w:tc>
          <w:tcPr/>
          <w:p>
            <w:pPr>
              <w:pStyle w:val="Compact"/>
              <w:jc w:val="left"/>
            </w:pPr>
            <w:r>
              <w:t xml:space="preserve">By campaign, by channel</w:t>
            </w:r>
          </w:p>
        </w:tc>
        <w:tc>
          <w:tcPr/>
          <w:p>
            <w:pPr>
              <w:pStyle w:val="Compact"/>
              <w:jc w:val="left"/>
            </w:pPr>
            <w:r>
              <w:t xml:space="preserve">Monthly</w:t>
            </w:r>
          </w:p>
        </w:tc>
      </w:tr>
    </w:tbl>
    <w:p>
      <w:pPr>
        <w:pStyle w:val="BlockText"/>
      </w:pPr>
      <w:r>
        <w:rPr>
          <w:iCs/>
          <w:i/>
        </w:rPr>
        <w:t xml:space="preserve">⚠ QUESTION FOR SEEMA: For the Body Shop / Quest Retail specifically: do they track footfall with video/sensor systems today, or is footfall a Phase 3 capability (when video processing pipeline G04 is live)? If footfall data isn’t available at launch, the Conversion Rate KPI can’t be computed and the store performance funnel starts at Basket Value instead. This affects what the initial Gold layer materialises.</w:t>
      </w:r>
    </w:p>
    <w:p>
      <w:pPr>
        <w:pStyle w:val="BlockText"/>
      </w:pPr>
      <w:r>
        <w:rPr>
          <w:iCs/>
          <w:i/>
        </w:rPr>
        <w:t xml:space="preserve">⚠ QUESTION FOR SEEMA: Do your retail clients use RFM (Recency, Frequency, Monetary) segmentation today, or do they have their own segmentation model? The customer_segment attribute and CLV computation depend on this. I can design the platform to support both standard RFM and custom segmentation algorithms.</w:t>
      </w:r>
    </w:p>
    <w:bookmarkEnd w:id="83"/>
    <w:bookmarkEnd w:id="84"/>
    <w:bookmarkStart w:id="85" w:name="acceptance-criteria-5"/>
    <w:p>
      <w:pPr>
        <w:pStyle w:val="Heading2"/>
      </w:pPr>
      <w:r>
        <w:t xml:space="preserve">1.7 Acceptance Criteria</w:t>
      </w:r>
    </w:p>
    <w:p>
      <w:pPr>
        <w:pStyle w:val="FirstParagraph"/>
      </w:pPr>
      <w:r>
        <w:t xml:space="preserve">A POS transaction ingested through D02 canonical mapping correctly populates retail.Transaction, retail.TransactionLineItem, and updates the Core Event table.</w:t>
      </w:r>
    </w:p>
    <w:p>
      <w:pPr>
        <w:pStyle w:val="BodyText"/>
      </w:pPr>
      <w:r>
        <w:t xml:space="preserve">An e-commerce order ingested through D02 creates both a retail.OnlineSession and a retail.Transaction, linked by transaction_ref.</w:t>
      </w:r>
    </w:p>
    <w:p>
      <w:pPr>
        <w:pStyle w:val="BodyText"/>
      </w:pPr>
      <w:r>
        <w:t xml:space="preserve">A customer identified in both POS and e-commerce (resolved by I01 SIR) has a single Entity record with both in-store and online Transactions linked.</w:t>
      </w:r>
    </w:p>
    <w:p>
      <w:pPr>
        <w:pStyle w:val="BodyText"/>
      </w:pPr>
      <w:r>
        <w:t xml:space="preserve">All 10 store performance KPIs and 10 customer lifecycle KPIs are computable from the Silver layer data model and materialised in the Gold layer.</w:t>
      </w:r>
    </w:p>
    <w:p>
      <w:pPr>
        <w:pStyle w:val="BodyText"/>
      </w:pPr>
      <w:r>
        <w:t xml:space="preserve">The 5-level hierarchy (Chain→Region→City→Store→Zone) correctly rolls up Revenue and Footfall using SUM, and Conversion Rate using WEIGHTED_AVG.</w:t>
      </w:r>
    </w:p>
    <w:p>
      <w:pPr>
        <w:pStyle w:val="BodyText"/>
      </w:pPr>
      <w:r>
        <w:t xml:space="preserve">A Tenant Custom attribute (e.g., 'vip_segment') added by a tenant’s Data Steward is queryable alongside Core and Retail Extension attributes in a single query.</w:t>
      </w:r>
    </w:p>
    <w:p>
      <w:pPr>
        <w:pStyle w:val="BodyText"/>
      </w:pPr>
      <w:r>
        <w:t xml:space="preserve">Bi-temporal queries on customer address return the correct historical address for any as-of date (Type 2 SCD verified).</w:t>
      </w:r>
    </w:p>
    <w:bookmarkEnd w:id="85"/>
    <w:bookmarkEnd w:id="86"/>
    <w:bookmarkStart w:id="93" w:name="d02-canonical-mapping-engine"/>
    <w:p>
      <w:pPr>
        <w:pStyle w:val="Heading1"/>
      </w:pPr>
      <w:r>
        <w:t xml:space="preserve">D02 — Canonical Mapping Engine</w:t>
      </w:r>
    </w:p>
    <w:tbl>
      <w:tblPr>
        <w:tblStyle w:val="Table"/>
        <w:tblW w:type="pct" w:w="4902"/>
        <w:tblLook w:firstRow="0" w:lastRow="0" w:firstColumn="0" w:lastColumn="0" w:noHBand="0" w:noVBand="0" w:val="0000"/>
        <w:jc w:val="start"/>
      </w:tblPr>
      <w:tblGrid>
        <w:gridCol w:w="1708"/>
        <w:gridCol w:w="6056"/>
      </w:tblGrid>
      <w:t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rPr>
                <w:bCs/>
                <w:b/>
              </w:rPr>
              <w:t xml:space="preserve">Module ID</w:t>
            </w:r>
          </w:p>
        </w:tc>
        <w:tc>
          <w:tcPr/>
          <w:p>
            <w:pPr>
              <w:pStyle w:val="Compact"/>
              <w:jc w:val="left"/>
            </w:pPr>
            <w:r>
              <w:t xml:space="preserve">D02</w:t>
            </w:r>
          </w:p>
        </w:tc>
      </w:tr>
      <w:tr>
        <w:tc>
          <w:tcPr/>
          <w:p>
            <w:pPr>
              <w:pStyle w:val="Compact"/>
              <w:jc w:val="left"/>
            </w:pPr>
            <w:r>
              <w:rPr>
                <w:bCs/>
                <w:b/>
              </w:rPr>
              <w:t xml:space="preserve">Phase</w:t>
            </w:r>
          </w:p>
        </w:tc>
        <w:tc>
          <w:tcPr/>
          <w:p>
            <w:pPr>
              <w:pStyle w:val="Compact"/>
              <w:jc w:val="left"/>
            </w:pPr>
            <w:r>
              <w:t xml:space="preserve">0</w:t>
            </w:r>
          </w:p>
        </w:tc>
      </w:tr>
      <w:tr>
        <w:tc>
          <w:tcPr/>
          <w:p>
            <w:pPr>
              <w:pStyle w:val="Compact"/>
              <w:jc w:val="left"/>
            </w:pPr>
            <w:r>
              <w:rPr>
                <w:bCs/>
                <w:b/>
              </w:rPr>
              <w:t xml:space="preserve">Dependencies</w:t>
            </w:r>
          </w:p>
        </w:tc>
        <w:tc>
          <w:tcPr/>
          <w:p>
            <w:pPr>
              <w:pStyle w:val="Compact"/>
              <w:jc w:val="left"/>
            </w:pPr>
            <w:r>
              <w:t xml:space="preserve">D01 (Canonical Data Model), F04 (Configuration Plane)</w:t>
            </w:r>
          </w:p>
        </w:tc>
      </w:tr>
      <w:tr>
        <w:tc>
          <w:tcPr/>
          <w:p>
            <w:pPr>
              <w:pStyle w:val="Compact"/>
              <w:jc w:val="left"/>
            </w:pPr>
            <w:r>
              <w:rPr>
                <w:bCs/>
                <w:b/>
              </w:rPr>
              <w:t xml:space="preserve">Depended On By</w:t>
            </w:r>
          </w:p>
        </w:tc>
        <w:tc>
          <w:tcPr/>
          <w:p>
            <w:pPr>
              <w:pStyle w:val="Compact"/>
              <w:jc w:val="left"/>
            </w:pPr>
            <w:r>
              <w:t xml:space="preserve">G01-G06 (all ingestion pipelines), D03 (Data Contracts), D04 (Data Quality)</w:t>
            </w:r>
          </w:p>
        </w:tc>
      </w:tr>
    </w:tbl>
    <w:bookmarkStart w:id="87" w:name="purpose-6"/>
    <w:p>
      <w:pPr>
        <w:pStyle w:val="Heading2"/>
      </w:pPr>
      <w:r>
        <w:t xml:space="preserve">2.1 Purpose</w:t>
      </w:r>
    </w:p>
    <w:p>
      <w:pPr>
        <w:pStyle w:val="FirstParagraph"/>
      </w:pPr>
      <w:r>
        <w:t xml:space="preserve">D02 transforms raw source data (Bronze layer) into the canonical data model (Silver layer) defined by D01. It is the translation engine that makes hundreds of different source schemas speak the same language. Every data source connected to the platform has a mapping rule set that defines how each source field maps to canonical fields, what transformations are applied, and what validations must pass.</w:t>
      </w:r>
    </w:p>
    <w:bookmarkEnd w:id="87"/>
    <w:bookmarkStart w:id="91" w:name="functional-requirements-5"/>
    <w:p>
      <w:pPr>
        <w:pStyle w:val="Heading2"/>
      </w:pPr>
      <w:r>
        <w:t xml:space="preserve">2.2 Functional Requirements</w:t>
      </w:r>
    </w:p>
    <w:bookmarkStart w:id="88" w:name="mapping-rule-definition"/>
    <w:p>
      <w:pPr>
        <w:pStyle w:val="Heading3"/>
      </w:pPr>
      <w:r>
        <w:t xml:space="preserve">2.2.1 Mapping Rule Definition</w:t>
      </w:r>
    </w:p>
    <w:p>
      <w:pPr>
        <w:pStyle w:val="FirstParagraph"/>
      </w:pPr>
      <w:r>
        <w:rPr>
          <w:bCs/>
          <w:b/>
        </w:rPr>
        <w:t xml:space="preserve">D02-FR-001</w:t>
      </w:r>
      <w:r>
        <w:t xml:space="preserve"> </w:t>
      </w:r>
      <w:r>
        <w:t xml:space="preserve">A mapping rule set SHALL be a versioned JSON document (stored in F04 Configuration Plane) with the following structure per field mapping:</w:t>
      </w:r>
    </w:p>
    <w:p>
      <w:pPr>
        <w:pStyle w:val="BodyText"/>
      </w:pPr>
      <w:r>
        <w:t xml:space="preserve">{ source_field: 'InvoiceNo', target_entity: 'retail.Transaction', target_field: 'transaction_ref', transformation: 'DIRECT_COPY', validation: { type: 'VARCHAR', max_length: 50, not_null: true }, purpose_tag: 'ANALYTICS', confidence: 'HIGH' }</w:t>
      </w:r>
    </w:p>
    <w:p>
      <w:pPr>
        <w:pStyle w:val="BodyText"/>
      </w:pPr>
      <w:r>
        <w:rPr>
          <w:bCs/>
          <w:b/>
        </w:rPr>
        <w:t xml:space="preserve">D02-FR-002</w:t>
      </w:r>
      <w:r>
        <w:t xml:space="preserve"> </w:t>
      </w:r>
      <w:r>
        <w:t xml:space="preserve">The following transformation types SHALL be supported:</w:t>
      </w:r>
    </w:p>
    <w:tbl>
      <w:tblPr>
        <w:tblStyle w:val="Table"/>
        <w:tblW w:type="pct" w:w="4952"/>
        <w:tblLook w:firstRow="0" w:lastRow="0" w:firstColumn="0" w:lastColumn="0" w:noHBand="0" w:noVBand="0" w:val="0000"/>
        <w:jc w:val="start"/>
      </w:tblPr>
      <w:tblGrid>
        <w:gridCol w:w="841"/>
        <w:gridCol w:w="7001"/>
      </w:tblGrid>
      <w:tr>
        <w:tc>
          <w:tcPr/>
          <w:p>
            <w:pPr>
              <w:pStyle w:val="Compact"/>
              <w:jc w:val="left"/>
            </w:pPr>
            <w:r>
              <w:rPr>
                <w:bCs/>
                <w:b/>
              </w:rPr>
              <w:t xml:space="preserve">Transform</w:t>
            </w:r>
          </w:p>
        </w:tc>
        <w:tc>
          <w:tcPr/>
          <w:p>
            <w:pPr>
              <w:pStyle w:val="Compact"/>
              <w:jc w:val="left"/>
            </w:pPr>
            <w:r>
              <w:rPr>
                <w:bCs/>
                <w:b/>
              </w:rPr>
              <w:t xml:space="preserve">Description &amp; Example</w:t>
            </w:r>
          </w:p>
        </w:tc>
      </w:tr>
      <w:tr>
        <w:tc>
          <w:tcPr/>
          <w:p>
            <w:pPr>
              <w:pStyle w:val="Compact"/>
              <w:jc w:val="left"/>
            </w:pPr>
            <w:r>
              <w:rPr>
                <w:bCs/>
                <w:b/>
              </w:rPr>
              <w:t xml:space="preserve">DIRECT_COPY</w:t>
            </w:r>
          </w:p>
        </w:tc>
        <w:tc>
          <w:tcPr/>
          <w:p>
            <w:pPr>
              <w:pStyle w:val="Compact"/>
              <w:jc w:val="left"/>
            </w:pPr>
            <w:r>
              <w:t xml:space="preserve">Source value copied directly. E.g., InvoiceNo → transaction_ref.</w:t>
            </w:r>
          </w:p>
        </w:tc>
      </w:tr>
      <w:tr>
        <w:tc>
          <w:tcPr/>
          <w:p>
            <w:pPr>
              <w:pStyle w:val="Compact"/>
              <w:jc w:val="left"/>
            </w:pPr>
            <w:r>
              <w:rPr>
                <w:bCs/>
                <w:b/>
              </w:rPr>
              <w:t xml:space="preserve">TYPE_CAST</w:t>
            </w:r>
          </w:p>
        </w:tc>
        <w:tc>
          <w:tcPr/>
          <w:p>
            <w:pPr>
              <w:pStyle w:val="Compact"/>
              <w:jc w:val="left"/>
            </w:pPr>
            <w:r>
              <w:t xml:space="preserve">Convert type. E.g., source '100.50' (string) → NUMERIC(10,2). Supports: STRING→NUMERIC, STRING→DATE, STRING→BOOLEAN, STRING→TIMESTAMPTZ.</w:t>
            </w:r>
          </w:p>
        </w:tc>
      </w:tr>
      <w:tr>
        <w:tc>
          <w:tcPr/>
          <w:p>
            <w:pPr>
              <w:pStyle w:val="Compact"/>
              <w:jc w:val="left"/>
            </w:pPr>
            <w:r>
              <w:rPr>
                <w:bCs/>
                <w:b/>
              </w:rPr>
              <w:t xml:space="preserve">DATE_FORMAT</w:t>
            </w:r>
          </w:p>
        </w:tc>
        <w:tc>
          <w:tcPr/>
          <w:p>
            <w:pPr>
              <w:pStyle w:val="Compact"/>
              <w:jc w:val="left"/>
            </w:pPr>
            <w:r>
              <w:t xml:space="preserve">Parse date from specific format. E.g., '15/03/2026' with format 'DD/MM/YYYY' → DATE.</w:t>
            </w:r>
          </w:p>
        </w:tc>
      </w:tr>
      <w:tr>
        <w:tc>
          <w:tcPr/>
          <w:p>
            <w:pPr>
              <w:pStyle w:val="Compact"/>
              <w:jc w:val="left"/>
            </w:pPr>
            <w:r>
              <w:rPr>
                <w:bCs/>
                <w:b/>
              </w:rPr>
              <w:t xml:space="preserve">LOOKUP</w:t>
            </w:r>
          </w:p>
        </w:tc>
        <w:tc>
          <w:tcPr/>
          <w:p>
            <w:pPr>
              <w:pStyle w:val="Compact"/>
              <w:jc w:val="left"/>
            </w:pPr>
            <w:r>
              <w:t xml:space="preserve">Map source value to canonical value via lookup table. E.g., source 'CC' → 'CARD', source 'CASH' → 'CASH', source 'UPI' → 'UPI'. Lookup tables stored in F04 per mapping.</w:t>
            </w:r>
          </w:p>
        </w:tc>
      </w:tr>
      <w:tr>
        <w:tc>
          <w:tcPr/>
          <w:p>
            <w:pPr>
              <w:pStyle w:val="Compact"/>
              <w:jc w:val="left"/>
            </w:pPr>
            <w:r>
              <w:rPr>
                <w:bCs/>
                <w:b/>
              </w:rPr>
              <w:t xml:space="preserve">SPLIT</w:t>
            </w:r>
          </w:p>
        </w:tc>
        <w:tc>
          <w:tcPr/>
          <w:p>
            <w:pPr>
              <w:pStyle w:val="Compact"/>
              <w:jc w:val="left"/>
            </w:pPr>
            <w:r>
              <w:t xml:space="preserve">Split one source field into multiple canonical fields. E.g., 'John Doe' → first_name='John', last_name='Doe'. Delimiter configurable.</w:t>
            </w:r>
          </w:p>
        </w:tc>
      </w:tr>
      <w:tr>
        <w:tc>
          <w:tcPr/>
          <w:p>
            <w:pPr>
              <w:pStyle w:val="Compact"/>
              <w:jc w:val="left"/>
            </w:pPr>
            <w:r>
              <w:rPr>
                <w:bCs/>
                <w:b/>
              </w:rPr>
              <w:t xml:space="preserve">CONCATENATE</w:t>
            </w:r>
          </w:p>
        </w:tc>
        <w:tc>
          <w:tcPr/>
          <w:p>
            <w:pPr>
              <w:pStyle w:val="Compact"/>
              <w:jc w:val="left"/>
            </w:pPr>
            <w:r>
              <w:t xml:space="preserve">Join multiple source fields into one canonical field. E.g., address_line1 + ', ' + city + ', ' + state → full_address.</w:t>
            </w:r>
          </w:p>
        </w:tc>
      </w:tr>
      <w:tr>
        <w:tc>
          <w:tcPr/>
          <w:p>
            <w:pPr>
              <w:pStyle w:val="Compact"/>
              <w:jc w:val="left"/>
            </w:pPr>
            <w:r>
              <w:rPr>
                <w:bCs/>
                <w:b/>
              </w:rPr>
              <w:t xml:space="preserve">CONDITIONAL</w:t>
            </w:r>
          </w:p>
        </w:tc>
        <w:tc>
          <w:tcPr/>
          <w:p>
            <w:pPr>
              <w:pStyle w:val="Compact"/>
              <w:jc w:val="left"/>
            </w:pPr>
            <w:r>
              <w:t xml:space="preserve">Apply different mappings based on source value. E.g., IF source.type='RETURN' THEN target.is_return=true ELSE target.is_return=false.</w:t>
            </w:r>
          </w:p>
        </w:tc>
      </w:tr>
      <w:tr>
        <w:tc>
          <w:tcPr/>
          <w:p>
            <w:pPr>
              <w:pStyle w:val="Compact"/>
              <w:jc w:val="left"/>
            </w:pPr>
            <w:r>
              <w:rPr>
                <w:bCs/>
                <w:b/>
              </w:rPr>
              <w:t xml:space="preserve">FORMULA</w:t>
            </w:r>
          </w:p>
        </w:tc>
        <w:tc>
          <w:tcPr/>
          <w:p>
            <w:pPr>
              <w:pStyle w:val="Compact"/>
              <w:jc w:val="left"/>
            </w:pPr>
            <w:r>
              <w:t xml:space="preserve">Arithmetic expression. E.g., source.quantity * source.unit_price → target.line_total.</w:t>
            </w:r>
          </w:p>
        </w:tc>
      </w:tr>
      <w:tr>
        <w:tc>
          <w:tcPr/>
          <w:p>
            <w:pPr>
              <w:pStyle w:val="Compact"/>
              <w:jc w:val="left"/>
            </w:pPr>
            <w:r>
              <w:rPr>
                <w:bCs/>
                <w:b/>
              </w:rPr>
              <w:t xml:space="preserve">HASH</w:t>
            </w:r>
          </w:p>
        </w:tc>
        <w:tc>
          <w:tcPr/>
          <w:p>
            <w:pPr>
              <w:pStyle w:val="Compact"/>
              <w:jc w:val="left"/>
            </w:pPr>
            <w:r>
              <w:t xml:space="preserve">One-way hash for pseudonymisation. E.g., SHA256(source.aadhaar) → target.aadhaar_hash. Used for PII handling.</w:t>
            </w:r>
          </w:p>
        </w:tc>
      </w:tr>
      <w:tr>
        <w:tc>
          <w:tcPr/>
          <w:p>
            <w:pPr>
              <w:pStyle w:val="Compact"/>
              <w:jc w:val="left"/>
            </w:pPr>
            <w:r>
              <w:rPr>
                <w:bCs/>
                <w:b/>
              </w:rPr>
              <w:t xml:space="preserve">REGEX_EXTRACT</w:t>
            </w:r>
          </w:p>
        </w:tc>
        <w:tc>
          <w:tcPr/>
          <w:p>
            <w:pPr>
              <w:pStyle w:val="Compact"/>
              <w:jc w:val="left"/>
            </w:pPr>
            <w:r>
              <w:t xml:space="preserve">Extract value using regex. E.g., extract area code from phone number.</w:t>
            </w:r>
          </w:p>
        </w:tc>
      </w:tr>
      <w:tr>
        <w:tc>
          <w:tcPr/>
          <w:p>
            <w:pPr>
              <w:pStyle w:val="Compact"/>
              <w:jc w:val="left"/>
            </w:pPr>
            <w:r>
              <w:rPr>
                <w:bCs/>
                <w:b/>
              </w:rPr>
              <w:t xml:space="preserve">CUSTOM_FUNCTION</w:t>
            </w:r>
          </w:p>
        </w:tc>
        <w:tc>
          <w:tcPr/>
          <w:p>
            <w:pPr>
              <w:pStyle w:val="Compact"/>
              <w:jc w:val="left"/>
            </w:pPr>
            <w:r>
              <w:t xml:space="preserve">A registered Python/JavaScript function for complex transformations. Runs in sandboxed environment. Used sparingly — for logic that can’t be expressed in the above types.</w:t>
            </w:r>
          </w:p>
        </w:tc>
      </w:tr>
    </w:tbl>
    <w:bookmarkEnd w:id="88"/>
    <w:bookmarkStart w:id="89" w:name="auto-mapping-engine"/>
    <w:p>
      <w:pPr>
        <w:pStyle w:val="Heading3"/>
      </w:pPr>
      <w:r>
        <w:t xml:space="preserve">2.2.2 Auto-Mapping Engine</w:t>
      </w:r>
    </w:p>
    <w:p>
      <w:pPr>
        <w:pStyle w:val="FirstParagraph"/>
      </w:pPr>
      <w:r>
        <w:rPr>
          <w:bCs/>
          <w:b/>
        </w:rPr>
        <w:t xml:space="preserve">D02-FR-010</w:t>
      </w:r>
      <w:r>
        <w:t xml:space="preserve"> </w:t>
      </w:r>
      <w:r>
        <w:t xml:space="preserve">When a new data source is connected (via G01/G02), the auto-mapping engine SHALL analyse the source schema and suggest canonical mappings based on: (a) field name similarity (fuzzy string matching against canonical field names), (b) field type compatibility, (c) sample data pattern matching (e.g., detecting date formats, email patterns, phone number patterns), (d) historical mappings from similar sources (if a Salesforce CRM was mapped before, suggest similar mappings for a new Salesforce connection).</w:t>
      </w:r>
    </w:p>
    <w:p>
      <w:pPr>
        <w:pStyle w:val="BodyText"/>
      </w:pPr>
      <w:r>
        <w:rPr>
          <w:bCs/>
          <w:b/>
        </w:rPr>
        <w:t xml:space="preserve">D02-FR-011</w:t>
      </w:r>
      <w:r>
        <w:t xml:space="preserve"> </w:t>
      </w:r>
      <w:r>
        <w:t xml:space="preserve">Each auto-suggested mapping SHALL carry a confidence score: HIGH (&gt;90% confidence, auto-accepted unless admin overrides), MEDIUM (60-90%, presented as suggestion, admin reviews), LOW (&lt;60%, presented as</w:t>
      </w:r>
      <w:r>
        <w:t xml:space="preserve"> </w:t>
      </w:r>
      <w:r>
        <w:t xml:space="preserve">‘</w:t>
      </w:r>
      <w:r>
        <w:t xml:space="preserve">needs mapping</w:t>
      </w:r>
      <w:r>
        <w:t xml:space="preserve">’</w:t>
      </w:r>
      <w:r>
        <w:t xml:space="preserve">, admin must explicitly map or mark as ignored).</w:t>
      </w:r>
    </w:p>
    <w:p>
      <w:pPr>
        <w:pStyle w:val="BodyText"/>
      </w:pPr>
      <w:r>
        <w:rPr>
          <w:bCs/>
          <w:b/>
        </w:rPr>
        <w:t xml:space="preserve">D02-FR-012 D02-FR-013: LLM-Assisted Auto-Mapping — When fuzzy matching yields LOW confidence (&lt;60%), D02 submits source schema samples to A05 LLM Gateway for intelligent suggestions. LLM recognises abbreviated field names, infers meaning from values, and returns grounded suggestions. Available from Phase 1. D02-FR-014: LLM prompts include the canonical schema as context. PII in samples redacted via A05 guardrails.</w:t>
      </w:r>
      <w:r>
        <w:t xml:space="preserve">The auto-mapping engine SHALL improve over time: when an admin accepts, rejects, or modifies a suggestion, the feedback is logged and used to improve future suggestions for similar source schemas (tenant-scoped learning — Tenant A’s mapping corrections don’t affect Tenant B’s suggestions).</w:t>
      </w:r>
    </w:p>
    <w:bookmarkEnd w:id="89"/>
    <w:bookmarkStart w:id="90" w:name="mapping-execution-pipeline"/>
    <w:p>
      <w:pPr>
        <w:pStyle w:val="Heading3"/>
      </w:pPr>
      <w:r>
        <w:t xml:space="preserve">2.2.3 Mapping Execution Pipeline</w:t>
      </w:r>
    </w:p>
    <w:p>
      <w:pPr>
        <w:pStyle w:val="FirstParagraph"/>
      </w:pPr>
      <w:r>
        <w:rPr>
          <w:bCs/>
          <w:b/>
        </w:rPr>
        <w:t xml:space="preserve">D02-FR-020</w:t>
      </w:r>
      <w:r>
        <w:t xml:space="preserve"> </w:t>
      </w:r>
      <w:r>
        <w:t xml:space="preserve">The mapping engine SHALL process data in three stages:</w:t>
      </w:r>
    </w:p>
    <w:p>
      <w:pPr>
        <w:pStyle w:val="BodyText"/>
      </w:pPr>
      <w:r>
        <w:t xml:space="preserve">Stage 1 — Validation: Every source record is validated against the data contract (D03) before mapping begins. Records failing validation are routed to the dead-letter queue with detailed error information.</w:t>
      </w:r>
    </w:p>
    <w:p>
      <w:pPr>
        <w:pStyle w:val="BodyText"/>
      </w:pPr>
      <w:r>
        <w:t xml:space="preserve">Stage 2 — Transformation: Each field in the record is transformed according to its mapping rule. Transformations are applied in dependency order (if field B depends on the result of field A’s transformation, A executes first).</w:t>
      </w:r>
    </w:p>
    <w:p>
      <w:pPr>
        <w:pStyle w:val="BodyText"/>
      </w:pPr>
      <w:r>
        <w:t xml:space="preserve">Stage 3 — Write: Transformed records are written to the Silver layer tables defined in D01. Bi-temporal columns (valid_from, valid_to, txn_from, txn_to) are set according to F03 rules. tenant_id is injected from the request context (F01).</w:t>
      </w:r>
    </w:p>
    <w:p>
      <w:pPr>
        <w:pStyle w:val="BodyText"/>
      </w:pPr>
      <w:r>
        <w:rPr>
          <w:bCs/>
          <w:b/>
        </w:rPr>
        <w:t xml:space="preserve">D02-FR-021</w:t>
      </w:r>
      <w:r>
        <w:t xml:space="preserve"> </w:t>
      </w:r>
      <w:r>
        <w:t xml:space="preserve">Mapping execution SHALL support both batch mode (process a CSV of 10K records in one job) and streaming mode (process individual records from a Pub/Sub topic in real-time). The same mapping rules apply to both modes.</w:t>
      </w:r>
    </w:p>
    <w:p>
      <w:pPr>
        <w:pStyle w:val="BodyText"/>
      </w:pPr>
      <w:r>
        <w:rPr>
          <w:bCs/>
          <w:b/>
        </w:rPr>
        <w:t xml:space="preserve">D02-FR-022</w:t>
      </w:r>
      <w:r>
        <w:t xml:space="preserve"> </w:t>
      </w:r>
      <w:r>
        <w:t xml:space="preserve">For each mapping execution, the engine SHALL produce a Mapping Execution Report: records_received, records_validated, records_mapped, records_failed, per-field error counts, execution duration, and throughput (records/second). This report feeds D04 (Data Quality Engine).</w:t>
      </w:r>
    </w:p>
    <w:bookmarkEnd w:id="90"/>
    <w:bookmarkEnd w:id="91"/>
    <w:bookmarkStart w:id="92" w:name="acceptance-criteria-6"/>
    <w:p>
      <w:pPr>
        <w:pStyle w:val="Heading2"/>
      </w:pPr>
      <w:r>
        <w:t xml:space="preserve">2.3 Acceptance Criteria</w:t>
      </w:r>
    </w:p>
    <w:p>
      <w:pPr>
        <w:pStyle w:val="FirstParagraph"/>
      </w:pPr>
      <w:r>
        <w:t xml:space="preserve">A POS CSV file with 10,000 transactions is mapped to retail.Transaction and retail.TransactionLineItem within 30 seconds, with zero data loss for valid records.</w:t>
      </w:r>
    </w:p>
    <w:p>
      <w:pPr>
        <w:pStyle w:val="BodyText"/>
      </w:pPr>
      <w:r>
        <w:t xml:space="preserve">Auto-mapping for a typical retail POS source achieves &gt;80% HIGH confidence suggestions on first connection.</w:t>
      </w:r>
    </w:p>
    <w:p>
      <w:pPr>
        <w:pStyle w:val="BodyText"/>
      </w:pPr>
      <w:r>
        <w:t xml:space="preserve">A mapping rule change (via F04 Configuration Plane) takes effect on the next ingestion run without service restart.</w:t>
      </w:r>
    </w:p>
    <w:p>
      <w:pPr>
        <w:pStyle w:val="BodyText"/>
      </w:pPr>
      <w:r>
        <w:t xml:space="preserve">Records failing validation are routed to the dead-letter queue with per-field error details, and do not block valid records from processing.</w:t>
      </w:r>
    </w:p>
    <w:bookmarkEnd w:id="92"/>
    <w:bookmarkEnd w:id="93"/>
    <w:bookmarkStart w:id="96" w:name="d03-data-contracts-framework"/>
    <w:p>
      <w:pPr>
        <w:pStyle w:val="Heading1"/>
      </w:pPr>
      <w:r>
        <w:t xml:space="preserve">D03 — Data Contracts Framework</w:t>
      </w:r>
    </w:p>
    <w:tbl>
      <w:tblPr>
        <w:tblStyle w:val="Table"/>
        <w:tblW w:type="pct" w:w="4868"/>
        <w:tblLook w:firstRow="0" w:lastRow="0" w:firstColumn="0" w:lastColumn="0" w:noHBand="0" w:noVBand="0" w:val="0000"/>
        <w:jc w:val="start"/>
      </w:tblPr>
      <w:tblGrid>
        <w:gridCol w:w="2501"/>
        <w:gridCol w:w="5210"/>
      </w:tblGrid>
      <w:t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rPr>
                <w:bCs/>
                <w:b/>
              </w:rPr>
              <w:t xml:space="preserve">Module ID / Phase</w:t>
            </w:r>
          </w:p>
        </w:tc>
        <w:tc>
          <w:tcPr/>
          <w:p>
            <w:pPr>
              <w:pStyle w:val="Compact"/>
              <w:jc w:val="left"/>
            </w:pPr>
            <w:r>
              <w:t xml:space="preserve">D03 / Phase 1</w:t>
            </w:r>
          </w:p>
        </w:tc>
      </w:tr>
      <w:tr>
        <w:tc>
          <w:tcPr/>
          <w:p>
            <w:pPr>
              <w:pStyle w:val="Compact"/>
              <w:jc w:val="left"/>
            </w:pPr>
            <w:r>
              <w:rPr>
                <w:bCs/>
                <w:b/>
              </w:rPr>
              <w:t xml:space="preserve">Dependencies</w:t>
            </w:r>
          </w:p>
        </w:tc>
        <w:tc>
          <w:tcPr/>
          <w:p>
            <w:pPr>
              <w:pStyle w:val="Compact"/>
              <w:jc w:val="left"/>
            </w:pPr>
            <w:r>
              <w:t xml:space="preserve">D02 (Mapping Engine), F04 (Configuration Plane)</w:t>
            </w:r>
          </w:p>
        </w:tc>
      </w:tr>
    </w:tbl>
    <w:bookmarkStart w:id="94" w:name="purpose-7"/>
    <w:p>
      <w:pPr>
        <w:pStyle w:val="Heading2"/>
      </w:pPr>
      <w:r>
        <w:t xml:space="preserve">3.1 Purpose</w:t>
      </w:r>
    </w:p>
    <w:p>
      <w:pPr>
        <w:pStyle w:val="FirstParagraph"/>
      </w:pPr>
      <w:r>
        <w:t xml:space="preserve">A data contract is a formal, versioned, machine-readable agreement between a data source and the platform. It specifies what the source promises to deliver: schema (field names, types, nullability), quality SLAs (completeness &gt; 95%, freshness &lt; 1 hour), volume expectations (1K-10K records per day), and change management rules (7 days notice before schema changes). D03 validates every ingestion against the contract and quarantines violations.</w:t>
      </w:r>
    </w:p>
    <w:bookmarkEnd w:id="94"/>
    <w:bookmarkStart w:id="95" w:name="key-functional-requirements"/>
    <w:p>
      <w:pPr>
        <w:pStyle w:val="Heading2"/>
      </w:pPr>
      <w:r>
        <w:t xml:space="preserve">3.2 Key Functional Requirements</w:t>
      </w:r>
    </w:p>
    <w:p>
      <w:pPr>
        <w:pStyle w:val="FirstParagraph"/>
      </w:pPr>
      <w:r>
        <w:rPr>
          <w:bCs/>
          <w:b/>
        </w:rPr>
        <w:t xml:space="preserve">D03-FR-001</w:t>
      </w:r>
      <w:r>
        <w:t xml:space="preserve"> </w:t>
      </w:r>
      <w:r>
        <w:t xml:space="preserve">Every data source connected to the platform SHALL have a data contract. The contract is auto-generated from the source schema during onboarding (W04 Data Source Wizard) and refined by the Tenant Admin.</w:t>
      </w:r>
    </w:p>
    <w:p>
      <w:pPr>
        <w:pStyle w:val="BodyText"/>
      </w:pPr>
      <w:r>
        <w:rPr>
          <w:bCs/>
          <w:b/>
        </w:rPr>
        <w:t xml:space="preserve">D03-FR-002</w:t>
      </w:r>
      <w:r>
        <w:t xml:space="preserve"> </w:t>
      </w:r>
      <w:r>
        <w:t xml:space="preserve">Contract validation SHALL run at ingestion time (before D02 mapping). Validation modes: STRICT (reject entire batch on any violation), LENIENT (quarantine violating records, process valid records), MONITOR (log violations but process all records). Default: LENIENT.</w:t>
      </w:r>
    </w:p>
    <w:p>
      <w:pPr>
        <w:pStyle w:val="BodyText"/>
      </w:pPr>
      <w:r>
        <w:rPr>
          <w:bCs/>
          <w:b/>
        </w:rPr>
        <w:t xml:space="preserve">D03-FR-003</w:t>
      </w:r>
      <w:r>
        <w:t xml:space="preserve"> </w:t>
      </w:r>
      <w:r>
        <w:t xml:space="preserve">Schema drift detection: if the source delivers fields not in the contract, or omits expected fields, the system SHALL: (a) log the drift event, (b) alert the Tenant Admin, (c) continue processing if drift is additive (new fields — ignored), (d) quarantine records if drift is breaking (missing required fields).</w:t>
      </w:r>
    </w:p>
    <w:p>
      <w:pPr>
        <w:pStyle w:val="BodyText"/>
      </w:pPr>
      <w:r>
        <w:rPr>
          <w:bCs/>
          <w:b/>
        </w:rPr>
        <w:t xml:space="preserve">D03-FR-004</w:t>
      </w:r>
      <w:r>
        <w:t xml:space="preserve"> </w:t>
      </w:r>
      <w:r>
        <w:t xml:space="preserve">Contract versioning: when a source’s schema changes, the Tenant Admin updates the contract. Old and new contract versions are maintained. Data ingested under the old contract remains valid; new data is validated against the new contract.</w:t>
      </w:r>
    </w:p>
    <w:p>
      <w:pPr>
        <w:pStyle w:val="BodyText"/>
      </w:pPr>
      <w:r>
        <w:rPr>
          <w:bCs/>
          <w:b/>
        </w:rPr>
        <w:t xml:space="preserve">D03-FR-005</w:t>
      </w:r>
      <w:r>
        <w:t xml:space="preserve"> </w:t>
      </w:r>
      <w:r>
        <w:t xml:space="preserve">Multi-modal contract support: video source contracts specify resolution, codec, frame rate, expected scene types. Audio contracts specify sample rate, language, channel count. IoT contracts specify metric names, units, sampling frequency, expected value ranges.</w:t>
      </w:r>
    </w:p>
    <w:bookmarkEnd w:id="95"/>
    <w:bookmarkEnd w:id="96"/>
    <w:bookmarkStart w:id="99" w:name="d04-data-quality-engine"/>
    <w:p>
      <w:pPr>
        <w:pStyle w:val="Heading1"/>
      </w:pPr>
      <w:r>
        <w:t xml:space="preserve">D04 — Data Quality Engine</w:t>
      </w:r>
    </w:p>
    <w:tbl>
      <w:tblPr>
        <w:tblStyle w:val="Table"/>
        <w:tblW w:type="pct" w:w="4868"/>
        <w:tblLook w:firstRow="0" w:lastRow="0" w:firstColumn="0" w:lastColumn="0" w:noHBand="0" w:noVBand="0" w:val="0000"/>
        <w:jc w:val="start"/>
      </w:tblPr>
      <w:tblGrid>
        <w:gridCol w:w="2501"/>
        <w:gridCol w:w="5210"/>
      </w:tblGrid>
      <w:t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rPr>
                <w:bCs/>
                <w:b/>
              </w:rPr>
              <w:t xml:space="preserve">Module ID / Phase</w:t>
            </w:r>
          </w:p>
        </w:tc>
        <w:tc>
          <w:tcPr/>
          <w:p>
            <w:pPr>
              <w:pStyle w:val="Compact"/>
              <w:jc w:val="left"/>
            </w:pPr>
            <w:r>
              <w:t xml:space="preserve">D04 / Phase 1</w:t>
            </w:r>
          </w:p>
        </w:tc>
      </w:tr>
      <w:tr>
        <w:tc>
          <w:tcPr/>
          <w:p>
            <w:pPr>
              <w:pStyle w:val="Compact"/>
              <w:jc w:val="left"/>
            </w:pPr>
            <w:r>
              <w:rPr>
                <w:bCs/>
                <w:b/>
              </w:rPr>
              <w:t xml:space="preserve">Dependencies</w:t>
            </w:r>
          </w:p>
        </w:tc>
        <w:tc>
          <w:tcPr/>
          <w:p>
            <w:pPr>
              <w:pStyle w:val="Compact"/>
              <w:jc w:val="left"/>
            </w:pPr>
            <w:r>
              <w:t xml:space="preserve">D01, D02, I03 (Conflict Resolution)</w:t>
            </w:r>
          </w:p>
        </w:tc>
      </w:tr>
    </w:tbl>
    <w:bookmarkStart w:id="97" w:name="purpose-8"/>
    <w:p>
      <w:pPr>
        <w:pStyle w:val="Heading2"/>
      </w:pPr>
      <w:r>
        <w:t xml:space="preserve">4.1 Purpose</w:t>
      </w:r>
    </w:p>
    <w:p>
      <w:pPr>
        <w:pStyle w:val="FirstParagraph"/>
      </w:pPr>
      <w:r>
        <w:t xml:space="preserve">D04 continuously measures, scores, and acts on data quality across six dimensions: completeness, accuracy, consistency, timeliness, uniqueness, and conformity. Every data source, entity type, and tenant has a Data Quality Index (DQI) that feeds into analytical confidence indicators and quality-gated processing.</w:t>
      </w:r>
    </w:p>
    <w:bookmarkEnd w:id="97"/>
    <w:bookmarkStart w:id="98" w:name="key-functional-requirements-1"/>
    <w:p>
      <w:pPr>
        <w:pStyle w:val="Heading2"/>
      </w:pPr>
      <w:r>
        <w:t xml:space="preserve">4.2 Key Functional Requirements</w:t>
      </w:r>
    </w:p>
    <w:p>
      <w:pPr>
        <w:pStyle w:val="FirstParagraph"/>
      </w:pPr>
      <w:r>
        <w:rPr>
          <w:bCs/>
          <w:b/>
        </w:rPr>
        <w:t xml:space="preserve">D04-FR-001</w:t>
      </w:r>
      <w:r>
        <w:t xml:space="preserve"> </w:t>
      </w:r>
      <w:r>
        <w:t xml:space="preserve">The DQI SHALL be computed per source, per entity type, per tenant as a weighted score (0-100) across six dimensions:</w:t>
      </w:r>
    </w:p>
    <w:tbl>
      <w:tblPr>
        <w:tblStyle w:val="Table"/>
        <w:tblW w:type="pct" w:w="4934"/>
        <w:tblLook w:firstRow="0" w:lastRow="0" w:firstColumn="0" w:lastColumn="0" w:noHBand="0" w:noVBand="0" w:val="0000"/>
        <w:jc w:val="start"/>
      </w:tblPr>
      <w:tblGrid>
        <w:gridCol w:w="996"/>
        <w:gridCol w:w="2202"/>
        <w:gridCol w:w="3147"/>
        <w:gridCol w:w="1468"/>
      </w:tblGrid>
      <w:tr>
        <w:tc>
          <w:tcPr/>
          <w:p>
            <w:pPr>
              <w:pStyle w:val="Compact"/>
              <w:jc w:val="left"/>
            </w:pPr>
            <w:r>
              <w:rPr>
                <w:bCs/>
                <w:b/>
              </w:rPr>
              <w:t xml:space="preserve">Dimension</w:t>
            </w:r>
          </w:p>
        </w:tc>
        <w:tc>
          <w:tcPr/>
          <w:p>
            <w:pPr>
              <w:pStyle w:val="Compact"/>
              <w:jc w:val="left"/>
            </w:pPr>
            <w:r>
              <w:rPr>
                <w:bCs/>
                <w:b/>
              </w:rPr>
              <w:t xml:space="preserve">Measurement</w:t>
            </w:r>
          </w:p>
        </w:tc>
        <w:tc>
          <w:tcPr/>
          <w:p>
            <w:pPr>
              <w:pStyle w:val="Compact"/>
              <w:jc w:val="left"/>
            </w:pPr>
            <w:r>
              <w:rPr>
                <w:bCs/>
                <w:b/>
              </w:rPr>
              <w:t xml:space="preserve">Example</w:t>
            </w:r>
          </w:p>
        </w:tc>
        <w:tc>
          <w:tcPr/>
          <w:p>
            <w:pPr>
              <w:pStyle w:val="Compact"/>
              <w:jc w:val="left"/>
            </w:pPr>
            <w:r>
              <w:rPr>
                <w:bCs/>
                <w:b/>
              </w:rPr>
              <w:t xml:space="preserve">Weight (default)</w:t>
            </w:r>
          </w:p>
        </w:tc>
      </w:tr>
      <w:tr>
        <w:tc>
          <w:tcPr/>
          <w:p>
            <w:pPr>
              <w:pStyle w:val="Compact"/>
              <w:jc w:val="left"/>
            </w:pPr>
            <w:r>
              <w:rPr>
                <w:bCs/>
                <w:b/>
              </w:rPr>
              <w:t xml:space="preserve">Completeness</w:t>
            </w:r>
          </w:p>
        </w:tc>
        <w:tc>
          <w:tcPr/>
          <w:p>
            <w:pPr>
              <w:pStyle w:val="Compact"/>
              <w:jc w:val="left"/>
            </w:pPr>
            <w:r>
              <w:t xml:space="preserve">% of required fields populated</w:t>
            </w:r>
          </w:p>
        </w:tc>
        <w:tc>
          <w:tcPr/>
          <w:p>
            <w:pPr>
              <w:pStyle w:val="Compact"/>
              <w:jc w:val="left"/>
            </w:pPr>
            <w:r>
              <w:t xml:space="preserve">Customer records with email populated: 87%</w:t>
            </w:r>
          </w:p>
        </w:tc>
        <w:tc>
          <w:tcPr/>
          <w:p>
            <w:pPr>
              <w:pStyle w:val="Compact"/>
              <w:jc w:val="left"/>
            </w:pPr>
            <w:r>
              <w:t xml:space="preserve">25%</w:t>
            </w:r>
          </w:p>
        </w:tc>
      </w:tr>
      <w:tr>
        <w:tc>
          <w:tcPr/>
          <w:p>
            <w:pPr>
              <w:pStyle w:val="Compact"/>
              <w:jc w:val="left"/>
            </w:pPr>
            <w:r>
              <w:rPr>
                <w:bCs/>
                <w:b/>
              </w:rPr>
              <w:t xml:space="preserve">Accuracy</w:t>
            </w:r>
          </w:p>
        </w:tc>
        <w:tc>
          <w:tcPr/>
          <w:p>
            <w:pPr>
              <w:pStyle w:val="Compact"/>
              <w:jc w:val="left"/>
            </w:pPr>
            <w:r>
              <w:t xml:space="preserve">% of values passing validation rules</w:t>
            </w:r>
          </w:p>
        </w:tc>
        <w:tc>
          <w:tcPr/>
          <w:p>
            <w:pPr>
              <w:pStyle w:val="Compact"/>
              <w:jc w:val="left"/>
            </w:pPr>
            <w:r>
              <w:t xml:space="preserve">Phone numbers matching E.164 format: 92%</w:t>
            </w:r>
          </w:p>
        </w:tc>
        <w:tc>
          <w:tcPr/>
          <w:p>
            <w:pPr>
              <w:pStyle w:val="Compact"/>
              <w:jc w:val="left"/>
            </w:pPr>
            <w:r>
              <w:t xml:space="preserve">20%</w:t>
            </w:r>
          </w:p>
        </w:tc>
      </w:tr>
      <w:tr>
        <w:tc>
          <w:tcPr/>
          <w:p>
            <w:pPr>
              <w:pStyle w:val="Compact"/>
              <w:jc w:val="left"/>
            </w:pPr>
            <w:r>
              <w:rPr>
                <w:bCs/>
                <w:b/>
              </w:rPr>
              <w:t xml:space="preserve">Consistency</w:t>
            </w:r>
          </w:p>
        </w:tc>
        <w:tc>
          <w:tcPr/>
          <w:p>
            <w:pPr>
              <w:pStyle w:val="Compact"/>
              <w:jc w:val="left"/>
            </w:pPr>
            <w:r>
              <w:t xml:space="preserve">% of values agreeing across sources</w:t>
            </w:r>
          </w:p>
        </w:tc>
        <w:tc>
          <w:tcPr/>
          <w:p>
            <w:pPr>
              <w:pStyle w:val="Compact"/>
              <w:jc w:val="left"/>
            </w:pPr>
            <w:r>
              <w:t xml:space="preserve">Customer address matching in CRM vs. POS: 78%</w:t>
            </w:r>
          </w:p>
        </w:tc>
        <w:tc>
          <w:tcPr/>
          <w:p>
            <w:pPr>
              <w:pStyle w:val="Compact"/>
              <w:jc w:val="left"/>
            </w:pPr>
            <w:r>
              <w:t xml:space="preserve">20%</w:t>
            </w:r>
          </w:p>
        </w:tc>
      </w:tr>
      <w:tr>
        <w:tc>
          <w:tcPr/>
          <w:p>
            <w:pPr>
              <w:pStyle w:val="Compact"/>
              <w:jc w:val="left"/>
            </w:pPr>
            <w:r>
              <w:rPr>
                <w:bCs/>
                <w:b/>
              </w:rPr>
              <w:t xml:space="preserve">Timeliness</w:t>
            </w:r>
          </w:p>
        </w:tc>
        <w:tc>
          <w:tcPr/>
          <w:p>
            <w:pPr>
              <w:pStyle w:val="Compact"/>
              <w:jc w:val="left"/>
            </w:pPr>
            <w:r>
              <w:t xml:space="preserve">Average data arrival lag vs. SLA</w:t>
            </w:r>
          </w:p>
        </w:tc>
        <w:tc>
          <w:tcPr/>
          <w:p>
            <w:pPr>
              <w:pStyle w:val="Compact"/>
              <w:jc w:val="left"/>
            </w:pPr>
            <w:r>
              <w:t xml:space="preserve">POS transactions arrive within 15 min (SLA: 1 hour): 100%</w:t>
            </w:r>
          </w:p>
        </w:tc>
        <w:tc>
          <w:tcPr/>
          <w:p>
            <w:pPr>
              <w:pStyle w:val="Compact"/>
              <w:jc w:val="left"/>
            </w:pPr>
            <w:r>
              <w:t xml:space="preserve">15%</w:t>
            </w:r>
          </w:p>
        </w:tc>
      </w:tr>
      <w:tr>
        <w:tc>
          <w:tcPr/>
          <w:p>
            <w:pPr>
              <w:pStyle w:val="Compact"/>
              <w:jc w:val="left"/>
            </w:pPr>
            <w:r>
              <w:rPr>
                <w:bCs/>
                <w:b/>
              </w:rPr>
              <w:t xml:space="preserve">Uniqueness</w:t>
            </w:r>
          </w:p>
        </w:tc>
        <w:tc>
          <w:tcPr/>
          <w:p>
            <w:pPr>
              <w:pStyle w:val="Compact"/>
              <w:jc w:val="left"/>
            </w:pPr>
            <w:r>
              <w:t xml:space="preserve">Duplicate rate</w:t>
            </w:r>
          </w:p>
        </w:tc>
        <w:tc>
          <w:tcPr/>
          <w:p>
            <w:pPr>
              <w:pStyle w:val="Compact"/>
              <w:jc w:val="left"/>
            </w:pPr>
            <w:r>
              <w:t xml:space="preserve">0.3% duplicate transactions detected</w:t>
            </w:r>
          </w:p>
        </w:tc>
        <w:tc>
          <w:tcPr/>
          <w:p>
            <w:pPr>
              <w:pStyle w:val="Compact"/>
              <w:jc w:val="left"/>
            </w:pPr>
            <w:r>
              <w:t xml:space="preserve">10%</w:t>
            </w:r>
          </w:p>
        </w:tc>
      </w:tr>
      <w:tr>
        <w:tc>
          <w:tcPr/>
          <w:p>
            <w:pPr>
              <w:pStyle w:val="Compact"/>
              <w:jc w:val="left"/>
            </w:pPr>
            <w:r>
              <w:rPr>
                <w:bCs/>
                <w:b/>
              </w:rPr>
              <w:t xml:space="preserve">Conformity</w:t>
            </w:r>
          </w:p>
        </w:tc>
        <w:tc>
          <w:tcPr/>
          <w:p>
            <w:pPr>
              <w:pStyle w:val="Compact"/>
              <w:jc w:val="left"/>
            </w:pPr>
            <w:r>
              <w:t xml:space="preserve">% of values matching expected patterns</w:t>
            </w:r>
          </w:p>
        </w:tc>
        <w:tc>
          <w:tcPr/>
          <w:p>
            <w:pPr>
              <w:pStyle w:val="Compact"/>
              <w:jc w:val="left"/>
            </w:pPr>
            <w:r>
              <w:t xml:space="preserve">Date fields in correct format: 99.5%</w:t>
            </w:r>
          </w:p>
        </w:tc>
        <w:tc>
          <w:tcPr/>
          <w:p>
            <w:pPr>
              <w:pStyle w:val="Compact"/>
              <w:jc w:val="left"/>
            </w:pPr>
            <w:r>
              <w:t xml:space="preserve">10%</w:t>
            </w:r>
          </w:p>
        </w:tc>
      </w:tr>
    </w:tbl>
    <w:p>
      <w:pPr>
        <w:pStyle w:val="BodyText"/>
      </w:pPr>
      <w:r>
        <w:rPr>
          <w:bCs/>
          <w:b/>
        </w:rPr>
        <w:t xml:space="preserve">D04-FR-002</w:t>
      </w:r>
      <w:r>
        <w:t xml:space="preserve"> </w:t>
      </w:r>
      <w:r>
        <w:t xml:space="preserve">Dimension weights SHALL be configurable per tenant. DQI = SUM(dimension_score * weight) for each dimension.</w:t>
      </w:r>
    </w:p>
    <w:p>
      <w:pPr>
        <w:pStyle w:val="BodyText"/>
      </w:pPr>
      <w:r>
        <w:rPr>
          <w:bCs/>
          <w:b/>
        </w:rPr>
        <w:t xml:space="preserve">D04-FR-003</w:t>
      </w:r>
      <w:r>
        <w:t xml:space="preserve"> </w:t>
      </w:r>
      <w:r>
        <w:t xml:space="preserve">Quality-gated processing: algorithm execution (A02) SHALL check input DQI before running. If DQI &lt; configured threshold (default: 70), the algorithm SHALL either: (a) skip execution with QUALITY_GATE_FAILED log, or (b) execute with a LOW_CONFIDENCE flag on outputs. Mode configurable per algorithm.</w:t>
      </w:r>
    </w:p>
    <w:p>
      <w:pPr>
        <w:pStyle w:val="BodyText"/>
      </w:pPr>
      <w:r>
        <w:rPr>
          <w:bCs/>
          <w:b/>
        </w:rPr>
        <w:t xml:space="preserve">D04-FR-004</w:t>
      </w:r>
      <w:r>
        <w:t xml:space="preserve"> </w:t>
      </w:r>
      <w:r>
        <w:t xml:space="preserve">Every Gold-layer KPI and analytical output SHALL carry a quality_confidence indicator derived from the DQI of its input data. Dashboard displays: 'Revenue: ₹4.2 Cr (confidence: HIGH — 98% source completeness)' or 'Revenue: ₹2.1 Cr (confidence: LOW — 67% source completeness, 3 sources in conflict)'.</w:t>
      </w:r>
    </w:p>
    <w:p>
      <w:pPr>
        <w:pStyle w:val="BodyText"/>
      </w:pPr>
      <w:r>
        <w:rPr>
          <w:bCs/>
          <w:b/>
        </w:rPr>
        <w:t xml:space="preserve">D04-FR-005</w:t>
      </w:r>
      <w:r>
        <w:t xml:space="preserve"> </w:t>
      </w:r>
      <w:r>
        <w:t xml:space="preserve">Anomaly detection: D04 SHALL automatically detect data quality anomalies: sudden drops in completeness, volume anomalies (10x normal or 0.1x normal), new null patterns, and value distribution shifts. Anomalies trigger alerts via O02.</w:t>
      </w:r>
    </w:p>
    <w:bookmarkEnd w:id="98"/>
    <w:bookmarkEnd w:id="99"/>
    <w:bookmarkStart w:id="102" w:name="d05-data-lineage-provenance"/>
    <w:p>
      <w:pPr>
        <w:pStyle w:val="Heading1"/>
      </w:pPr>
      <w:r>
        <w:t xml:space="preserve">D05 — Data Lineage &amp; Provenance</w:t>
      </w:r>
    </w:p>
    <w:tbl>
      <w:tblPr>
        <w:tblStyle w:val="Table"/>
        <w:tblW w:type="pct" w:w="4868"/>
        <w:tblLook w:firstRow="0" w:lastRow="0" w:firstColumn="0" w:lastColumn="0" w:noHBand="0" w:noVBand="0" w:val="0000"/>
        <w:jc w:val="start"/>
      </w:tblPr>
      <w:tblGrid>
        <w:gridCol w:w="2501"/>
        <w:gridCol w:w="5210"/>
      </w:tblGrid>
      <w:t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rPr>
                <w:bCs/>
                <w:b/>
              </w:rPr>
              <w:t xml:space="preserve">Module ID / Phase</w:t>
            </w:r>
          </w:p>
        </w:tc>
        <w:tc>
          <w:tcPr/>
          <w:p>
            <w:pPr>
              <w:pStyle w:val="Compact"/>
              <w:jc w:val="left"/>
            </w:pPr>
            <w:r>
              <w:t xml:space="preserve">D05 / Phase 1</w:t>
            </w:r>
          </w:p>
        </w:tc>
      </w:tr>
      <w:tr>
        <w:tc>
          <w:tcPr/>
          <w:p>
            <w:pPr>
              <w:pStyle w:val="Compact"/>
              <w:jc w:val="left"/>
            </w:pPr>
            <w:r>
              <w:rPr>
                <w:bCs/>
                <w:b/>
              </w:rPr>
              <w:t xml:space="preserve">Dependencies</w:t>
            </w:r>
          </w:p>
        </w:tc>
        <w:tc>
          <w:tcPr/>
          <w:p>
            <w:pPr>
              <w:pStyle w:val="Compact"/>
              <w:jc w:val="left"/>
            </w:pPr>
            <w:r>
              <w:t xml:space="preserve">D01, D02</w:t>
            </w:r>
          </w:p>
        </w:tc>
      </w:tr>
    </w:tbl>
    <w:bookmarkStart w:id="100" w:name="purpose-9"/>
    <w:p>
      <w:pPr>
        <w:pStyle w:val="Heading2"/>
      </w:pPr>
      <w:r>
        <w:t xml:space="preserve">5.1 Purpose</w:t>
      </w:r>
    </w:p>
    <w:p>
      <w:pPr>
        <w:pStyle w:val="FirstParagraph"/>
      </w:pPr>
      <w:r>
        <w:t xml:space="preserve">D05 provides end-to-end traceability: from any Gold-layer KPI or algorithmic decision, trace backward through every transformation to the original raw source. From any source field, trace forward to all downstream metrics, features, and decisions that depend on it. This is essential for debugging, compliance (DPDP/GDPR audit trail), and impact analysis before making changes.</w:t>
      </w:r>
    </w:p>
    <w:bookmarkEnd w:id="100"/>
    <w:bookmarkStart w:id="101" w:name="key-functional-requirements-2"/>
    <w:p>
      <w:pPr>
        <w:pStyle w:val="Heading2"/>
      </w:pPr>
      <w:r>
        <w:t xml:space="preserve">5.2 Key Functional Requirements</w:t>
      </w:r>
    </w:p>
    <w:p>
      <w:pPr>
        <w:pStyle w:val="FirstParagraph"/>
      </w:pPr>
      <w:r>
        <w:rPr>
          <w:bCs/>
          <w:b/>
        </w:rPr>
        <w:t xml:space="preserve">D05-FR-001</w:t>
      </w:r>
      <w:r>
        <w:t xml:space="preserve"> </w:t>
      </w:r>
      <w:r>
        <w:t xml:space="preserve">Lineage SHALL be captured automatically at every processing stage. Every mapping execution (D02), every aggregation (Gold layer), every feature computation (A01), and every algorithm execution (A02) SHALL emit a lineage event containing: input record IDs, output record IDs, transformation applied, timestamp, and module version.</w:t>
      </w:r>
    </w:p>
    <w:p>
      <w:pPr>
        <w:pStyle w:val="BodyText"/>
      </w:pPr>
      <w:r>
        <w:rPr>
          <w:bCs/>
          <w:b/>
        </w:rPr>
        <w:t xml:space="preserve">D05-FR-002</w:t>
      </w:r>
      <w:r>
        <w:t xml:space="preserve"> </w:t>
      </w:r>
      <w:r>
        <w:t xml:space="preserve">Lineage SHALL support two query directions: (a) Backward (upstream): given a KPI value, which Silver records, which Bronze files, which source systems contributed to it? (b) Forward (downstream): given a source field, which KPIs, features, algorithms, and decisions depend on it?</w:t>
      </w:r>
    </w:p>
    <w:p>
      <w:pPr>
        <w:pStyle w:val="BodyText"/>
      </w:pPr>
      <w:r>
        <w:rPr>
          <w:bCs/>
          <w:b/>
        </w:rPr>
        <w:t xml:space="preserve">D05-FR-003</w:t>
      </w:r>
      <w:r>
        <w:t xml:space="preserve"> </w:t>
      </w:r>
      <w:r>
        <w:t xml:space="preserve">Lineage granularity SHALL be column-level for the Silver→Gold path (which canonical fields feed which KPIs) and record-level for the Bronze→Silver path (which source records were mapped to which canonical records). Full cell-level lineage is NOT required at launch (too expensive at scale).</w:t>
      </w:r>
    </w:p>
    <w:p>
      <w:pPr>
        <w:pStyle w:val="BodyText"/>
      </w:pPr>
      <w:r>
        <w:rPr>
          <w:bCs/>
          <w:b/>
        </w:rPr>
        <w:t xml:space="preserve">D05-FR-004</w:t>
      </w:r>
      <w:r>
        <w:t xml:space="preserve"> </w:t>
      </w:r>
      <w:r>
        <w:t xml:space="preserve">Lineage SHALL be visualisable in the Admin Console (Screen S20, Audit &amp; Activity Log): an interactive graph showing upstream and downstream nodes with drill-down at each node.</w:t>
      </w:r>
    </w:p>
    <w:p>
      <w:pPr>
        <w:pStyle w:val="BodyText"/>
      </w:pPr>
      <w:r>
        <w:rPr>
          <w:bCs/>
          <w:b/>
        </w:rPr>
        <w:t xml:space="preserve">D05-FR-005</w:t>
      </w:r>
      <w:r>
        <w:t xml:space="preserve"> </w:t>
      </w:r>
      <w:r>
        <w:t xml:space="preserve">Impact Analysis API: given a proposed change (source field removed, mapping rule modified, KPI formula updated), the lineage graph SHALL compute: all downstream outputs that would be affected, estimated scope (number of records, number of tenants), and risk level (HIGH if &gt;1000 records or production KPIs affected).</w:t>
      </w:r>
    </w:p>
    <w:bookmarkEnd w:id="101"/>
    <w:bookmarkEnd w:id="102"/>
    <w:bookmarkStart w:id="107" w:name="d06-polyglot-storage-layer"/>
    <w:p>
      <w:pPr>
        <w:pStyle w:val="Heading1"/>
      </w:pPr>
      <w:r>
        <w:t xml:space="preserve">D06 — Polyglot Storage Layer</w:t>
      </w:r>
    </w:p>
    <w:tbl>
      <w:tblPr>
        <w:tblStyle w:val="Table"/>
        <w:tblW w:type="pct" w:w="4868"/>
        <w:tblLook w:firstRow="0" w:lastRow="0" w:firstColumn="0" w:lastColumn="0" w:noHBand="0" w:noVBand="0" w:val="0000"/>
        <w:jc w:val="start"/>
      </w:tblPr>
      <w:tblGrid>
        <w:gridCol w:w="2501"/>
        <w:gridCol w:w="5210"/>
      </w:tblGrid>
      <w:t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rPr>
                <w:bCs/>
                <w:b/>
              </w:rPr>
              <w:t xml:space="preserve">Module ID / Phase</w:t>
            </w:r>
          </w:p>
        </w:tc>
        <w:tc>
          <w:tcPr/>
          <w:p>
            <w:pPr>
              <w:pStyle w:val="Compact"/>
              <w:jc w:val="left"/>
            </w:pPr>
            <w:r>
              <w:t xml:space="preserve">D06 / Phase 0</w:t>
            </w:r>
          </w:p>
        </w:tc>
      </w:tr>
      <w:tr>
        <w:tc>
          <w:tcPr/>
          <w:p>
            <w:pPr>
              <w:pStyle w:val="Compact"/>
              <w:jc w:val="left"/>
            </w:pPr>
            <w:r>
              <w:rPr>
                <w:bCs/>
                <w:b/>
              </w:rPr>
              <w:t xml:space="preserve">Dependencies</w:t>
            </w:r>
          </w:p>
        </w:tc>
        <w:tc>
          <w:tcPr/>
          <w:p>
            <w:pPr>
              <w:pStyle w:val="Compact"/>
              <w:jc w:val="left"/>
            </w:pPr>
            <w:r>
              <w:t xml:space="preserve">F01 (Multi-Tenancy)</w:t>
            </w:r>
          </w:p>
        </w:tc>
      </w:tr>
    </w:tbl>
    <w:bookmarkStart w:id="103" w:name="purpose-10"/>
    <w:p>
      <w:pPr>
        <w:pStyle w:val="Heading2"/>
      </w:pPr>
      <w:r>
        <w:t xml:space="preserve">6.1 Purpose</w:t>
      </w:r>
    </w:p>
    <w:p>
      <w:pPr>
        <w:pStyle w:val="FirstParagraph"/>
      </w:pPr>
      <w:r>
        <w:t xml:space="preserve">D06 is the storage abstraction layer that routes reads and writes to the correct storage engine based on data type, query pattern, and tenant configuration. The platform uses multiple storage technologies (PostgreSQL, BigQuery, GCS, Redis, Vector DB, Graph DB) — D06 ensures that application code never directly couples to a specific storage technology.</w:t>
      </w:r>
    </w:p>
    <w:bookmarkEnd w:id="103"/>
    <w:bookmarkStart w:id="104" w:name="storage-engine-mapping-gcp"/>
    <w:p>
      <w:pPr>
        <w:pStyle w:val="Heading2"/>
      </w:pPr>
      <w:r>
        <w:t xml:space="preserve">6.2 Storage Engine Mapping (GCP)</w:t>
      </w:r>
    </w:p>
    <w:tbl>
      <w:tblPr>
        <w:tblStyle w:val="Table"/>
        <w:tblW w:type="pct" w:w="4968"/>
        <w:tblLook w:firstRow="0" w:lastRow="0" w:firstColumn="0" w:lastColumn="0" w:noHBand="0" w:noVBand="0" w:val="0000"/>
        <w:jc w:val="start"/>
      </w:tblPr>
      <w:tblGrid>
        <w:gridCol w:w="832"/>
        <w:gridCol w:w="1866"/>
        <w:gridCol w:w="2698"/>
        <w:gridCol w:w="2471"/>
      </w:tblGrid>
      <w:tr>
        <w:tc>
          <w:tcPr/>
          <w:p>
            <w:pPr>
              <w:pStyle w:val="Compact"/>
              <w:jc w:val="left"/>
            </w:pPr>
            <w:r>
              <w:rPr>
                <w:bCs/>
                <w:b/>
              </w:rPr>
              <w:t xml:space="preserve">Data Layer</w:t>
            </w:r>
          </w:p>
        </w:tc>
        <w:tc>
          <w:tcPr/>
          <w:p>
            <w:pPr>
              <w:pStyle w:val="Compact"/>
              <w:jc w:val="left"/>
            </w:pPr>
            <w:r>
              <w:rPr>
                <w:bCs/>
                <w:b/>
              </w:rPr>
              <w:t xml:space="preserve">Storage Engine</w:t>
            </w:r>
          </w:p>
        </w:tc>
        <w:tc>
          <w:tcPr/>
          <w:p>
            <w:pPr>
              <w:pStyle w:val="Compact"/>
              <w:jc w:val="left"/>
            </w:pPr>
            <w:r>
              <w:rPr>
                <w:bCs/>
                <w:b/>
              </w:rPr>
              <w:t xml:space="preserve">Access Pattern</w:t>
            </w:r>
          </w:p>
        </w:tc>
        <w:tc>
          <w:tcPr/>
          <w:p>
            <w:pPr>
              <w:pStyle w:val="Compact"/>
              <w:jc w:val="left"/>
            </w:pPr>
            <w:r>
              <w:rPr>
                <w:bCs/>
                <w:b/>
              </w:rPr>
              <w:t xml:space="preserve">Tenant Isolation</w:t>
            </w:r>
          </w:p>
        </w:tc>
      </w:tr>
      <w:tr>
        <w:tc>
          <w:tcPr/>
          <w:p>
            <w:pPr>
              <w:pStyle w:val="Compact"/>
              <w:jc w:val="left"/>
            </w:pPr>
            <w:r>
              <w:rPr>
                <w:bCs/>
                <w:b/>
              </w:rPr>
              <w:t xml:space="preserve">Bronze (raw files)</w:t>
            </w:r>
          </w:p>
        </w:tc>
        <w:tc>
          <w:tcPr/>
          <w:p>
            <w:pPr>
              <w:pStyle w:val="Compact"/>
              <w:jc w:val="left"/>
            </w:pPr>
            <w:r>
              <w:t xml:space="preserve">Google Cloud Storage</w:t>
            </w:r>
          </w:p>
        </w:tc>
        <w:tc>
          <w:tcPr/>
          <w:p>
            <w:pPr>
              <w:pStyle w:val="Compact"/>
              <w:jc w:val="left"/>
            </w:pPr>
            <w:r>
              <w:t xml:space="preserve">Write-once, read-rarely. Append-only. Accessed for reprocessing or audit.</w:t>
            </w:r>
          </w:p>
        </w:tc>
        <w:tc>
          <w:tcPr/>
          <w:p>
            <w:pPr>
              <w:pStyle w:val="Compact"/>
              <w:jc w:val="left"/>
            </w:pPr>
            <w:r>
              <w:t xml:space="preserve">Prefix-based: gs://bucket/{tenant_id}/bronze/</w:t>
            </w:r>
          </w:p>
        </w:tc>
      </w:tr>
      <w:tr>
        <w:tc>
          <w:tcPr/>
          <w:p>
            <w:pPr>
              <w:pStyle w:val="Compact"/>
              <w:jc w:val="left"/>
            </w:pPr>
            <w:r>
              <w:rPr>
                <w:bCs/>
                <w:b/>
              </w:rPr>
              <w:t xml:space="preserve">Silver (canonical)</w:t>
            </w:r>
          </w:p>
        </w:tc>
        <w:tc>
          <w:tcPr/>
          <w:p>
            <w:pPr>
              <w:pStyle w:val="Compact"/>
              <w:jc w:val="left"/>
            </w:pPr>
            <w:r>
              <w:t xml:space="preserve">Cloud SQL PostgreSQL 15+</w:t>
            </w:r>
          </w:p>
        </w:tc>
        <w:tc>
          <w:tcPr/>
          <w:p>
            <w:pPr>
              <w:pStyle w:val="Compact"/>
              <w:jc w:val="left"/>
            </w:pPr>
            <w:r>
              <w:t xml:space="preserve">High-frequency read/write. Bi-temporal queries. Point lookups and range scans.</w:t>
            </w:r>
          </w:p>
        </w:tc>
        <w:tc>
          <w:tcPr/>
          <w:p>
            <w:pPr>
              <w:pStyle w:val="Compact"/>
              <w:jc w:val="left"/>
            </w:pPr>
            <w:r>
              <w:t xml:space="preserve">RLS on shared instance (Mode A) or dedicated instance (Mode B). Schema: silver_{tenant_id}.</w:t>
            </w:r>
          </w:p>
        </w:tc>
      </w:tr>
      <w:tr>
        <w:tc>
          <w:tcPr/>
          <w:p>
            <w:pPr>
              <w:pStyle w:val="Compact"/>
              <w:jc w:val="left"/>
            </w:pPr>
            <w:r>
              <w:rPr>
                <w:bCs/>
                <w:b/>
              </w:rPr>
              <w:t xml:space="preserve">Gold (analytics)</w:t>
            </w:r>
          </w:p>
        </w:tc>
        <w:tc>
          <w:tcPr/>
          <w:p>
            <w:pPr>
              <w:pStyle w:val="Compact"/>
              <w:jc w:val="left"/>
            </w:pPr>
            <w:r>
              <w:t xml:space="preserve">BigQuery</w:t>
            </w:r>
          </w:p>
        </w:tc>
        <w:tc>
          <w:tcPr/>
          <w:p>
            <w:pPr>
              <w:pStyle w:val="Compact"/>
              <w:jc w:val="left"/>
            </w:pPr>
            <w:r>
              <w:t xml:space="preserve">Complex analytical queries. Aggregations, window functions, joins across large datasets. Primarily read.</w:t>
            </w:r>
          </w:p>
        </w:tc>
        <w:tc>
          <w:tcPr/>
          <w:p>
            <w:pPr>
              <w:pStyle w:val="Compact"/>
              <w:jc w:val="left"/>
            </w:pPr>
            <w:r>
              <w:t xml:space="preserve">Per-tenant dataset: bq://{project}.gold_{tenant_id}. Authorised views for RBAC.</w:t>
            </w:r>
          </w:p>
        </w:tc>
      </w:tr>
      <w:tr>
        <w:tc>
          <w:tcPr/>
          <w:p>
            <w:pPr>
              <w:pStyle w:val="Compact"/>
              <w:jc w:val="left"/>
            </w:pPr>
            <w:r>
              <w:rPr>
                <w:bCs/>
                <w:b/>
              </w:rPr>
              <w:t xml:space="preserve">Cache (hot data)</w:t>
            </w:r>
          </w:p>
        </w:tc>
        <w:tc>
          <w:tcPr/>
          <w:p>
            <w:pPr>
              <w:pStyle w:val="Compact"/>
              <w:jc w:val="left"/>
            </w:pPr>
            <w:r>
              <w:t xml:space="preserve">Memorystore (Redis)</w:t>
            </w:r>
          </w:p>
        </w:tc>
        <w:tc>
          <w:tcPr/>
          <w:p>
            <w:pPr>
              <w:pStyle w:val="Compact"/>
              <w:jc w:val="left"/>
            </w:pPr>
            <w:r>
              <w:t xml:space="preserve">Sub-millisecond reads. Session data, quota state, feature serving, config cache.</w:t>
            </w:r>
          </w:p>
        </w:tc>
        <w:tc>
          <w:tcPr/>
          <w:p>
            <w:pPr>
              <w:pStyle w:val="Compact"/>
              <w:jc w:val="left"/>
            </w:pPr>
            <w:r>
              <w:t xml:space="preserve">Key prefix: {tenant_id}:*. TTL-based expiry.</w:t>
            </w:r>
          </w:p>
        </w:tc>
      </w:tr>
      <w:tr>
        <w:tc>
          <w:tcPr/>
          <w:p>
            <w:pPr>
              <w:pStyle w:val="Compact"/>
              <w:jc w:val="left"/>
            </w:pPr>
            <w:r>
              <w:rPr>
                <w:bCs/>
                <w:b/>
              </w:rPr>
              <w:t xml:space="preserve">Time-series (IoT)</w:t>
            </w:r>
          </w:p>
        </w:tc>
        <w:tc>
          <w:tcPr/>
          <w:p>
            <w:pPr>
              <w:pStyle w:val="Compact"/>
              <w:jc w:val="left"/>
            </w:pPr>
            <w:r>
              <w:t xml:space="preserve">Cloud SQL + TimescaleDB extension (Phase 2: dedicated Bigtable)</w:t>
            </w:r>
          </w:p>
        </w:tc>
        <w:tc>
          <w:tcPr/>
          <w:p>
            <w:pPr>
              <w:pStyle w:val="Compact"/>
              <w:jc w:val="left"/>
            </w:pPr>
            <w:r>
              <w:t xml:space="preserve">Time-range queries, continuous aggregates, downsampling.</w:t>
            </w:r>
          </w:p>
        </w:tc>
        <w:tc>
          <w:tcPr/>
          <w:p>
            <w:pPr>
              <w:pStyle w:val="Compact"/>
              <w:jc w:val="left"/>
            </w:pPr>
            <w:r>
              <w:t xml:space="preserve">Schema-per-tenant in shared instance. Hypertable partitioned by tenant_id + time.</w:t>
            </w:r>
          </w:p>
        </w:tc>
      </w:tr>
      <w:tr>
        <w:tc>
          <w:tcPr/>
          <w:p>
            <w:pPr>
              <w:pStyle w:val="Compact"/>
              <w:jc w:val="left"/>
            </w:pPr>
            <w:r>
              <w:rPr>
                <w:bCs/>
                <w:b/>
              </w:rPr>
              <w:t xml:space="preserve">Vector (embeddings)</w:t>
            </w:r>
          </w:p>
        </w:tc>
        <w:tc>
          <w:tcPr/>
          <w:p>
            <w:pPr>
              <w:pStyle w:val="Compact"/>
              <w:jc w:val="left"/>
            </w:pPr>
            <w:r>
              <w:t xml:space="preserve">pgvector extension on Cloud SQL (Phase 2: dedicated Weaviate)</w:t>
            </w:r>
          </w:p>
        </w:tc>
        <w:tc>
          <w:tcPr/>
          <w:p>
            <w:pPr>
              <w:pStyle w:val="Compact"/>
              <w:jc w:val="left"/>
            </w:pPr>
            <w:r>
              <w:t xml:space="preserve">Approximate nearest neighbor search, similarity queries.</w:t>
            </w:r>
          </w:p>
        </w:tc>
        <w:tc>
          <w:tcPr/>
          <w:p>
            <w:pPr>
              <w:pStyle w:val="Compact"/>
              <w:jc w:val="left"/>
            </w:pPr>
            <w:r>
              <w:t xml:space="preserve">Namespace per tenant within pgvector. Metadata filter on tenant_id.</w:t>
            </w:r>
          </w:p>
        </w:tc>
      </w:tr>
      <w:tr>
        <w:tc>
          <w:tcPr/>
          <w:p>
            <w:pPr>
              <w:pStyle w:val="Compact"/>
              <w:jc w:val="left"/>
            </w:pPr>
            <w:r>
              <w:rPr>
                <w:bCs/>
                <w:b/>
              </w:rPr>
              <w:t xml:space="preserve">Graph (identity/knowledge)</w:t>
            </w:r>
          </w:p>
        </w:tc>
        <w:tc>
          <w:tcPr/>
          <w:p>
            <w:pPr>
              <w:pStyle w:val="Compact"/>
              <w:jc w:val="left"/>
            </w:pPr>
            <w:r>
              <w:t xml:space="preserve">Neo4j Aura (Phase 0 for SIR: pgvector + adjacency tables in PostgreSQL)</w:t>
            </w:r>
          </w:p>
        </w:tc>
        <w:tc>
          <w:tcPr/>
          <w:p>
            <w:pPr>
              <w:pStyle w:val="Compact"/>
              <w:jc w:val="left"/>
            </w:pPr>
            <w:r>
              <w:t xml:space="preserve">Graph traversals, shortest path, community detection.</w:t>
            </w:r>
          </w:p>
        </w:tc>
        <w:tc>
          <w:tcPr/>
          <w:p>
            <w:pPr>
              <w:pStyle w:val="Compact"/>
              <w:jc w:val="left"/>
            </w:pPr>
            <w:r>
              <w:t xml:space="preserve">Phase 0: PostgreSQL adjacency tables with tenant_id. Phase 2: Neo4j Aura with tenant subgraphs.</w:t>
            </w:r>
          </w:p>
        </w:tc>
      </w:tr>
    </w:tbl>
    <w:bookmarkEnd w:id="104"/>
    <w:bookmarkStart w:id="105" w:name="key-functional-requirements-3"/>
    <w:p>
      <w:pPr>
        <w:pStyle w:val="Heading2"/>
      </w:pPr>
      <w:r>
        <w:t xml:space="preserve">6.3 Key Functional Requirements</w:t>
      </w:r>
    </w:p>
    <w:p>
      <w:pPr>
        <w:pStyle w:val="FirstParagraph"/>
      </w:pPr>
      <w:r>
        <w:rPr>
          <w:bCs/>
          <w:b/>
        </w:rPr>
        <w:t xml:space="preserve">D06-FR-001</w:t>
      </w:r>
      <w:r>
        <w:t xml:space="preserve"> </w:t>
      </w:r>
      <w:r>
        <w:t xml:space="preserve">All application services SHALL access storage through the Storage Abstraction Layer (SAL). The SAL provides a unified interface: read(entity_type, query_params, tenant_context) and write(entity_type, records, tenant_context). The SAL routes to the correct storage engine based on the entity_type’s configured storage backend.</w:t>
      </w:r>
    </w:p>
    <w:p>
      <w:pPr>
        <w:pStyle w:val="BodyText"/>
      </w:pPr>
      <w:r>
        <w:rPr>
          <w:bCs/>
          <w:b/>
        </w:rPr>
        <w:t xml:space="preserve">D06-FR-002</w:t>
      </w:r>
      <w:r>
        <w:t xml:space="preserve"> </w:t>
      </w:r>
      <w:r>
        <w:t xml:space="preserve">Storage engine routing SHALL be configurable per entity type per data layer. The default routing (defined above) can be overridden for specific tenants. Example: an Enterprise tenant might have their Gold layer on a dedicated BigQuery project instead of the shared one.</w:t>
      </w:r>
    </w:p>
    <w:p>
      <w:pPr>
        <w:pStyle w:val="BodyText"/>
      </w:pPr>
      <w:r>
        <w:rPr>
          <w:bCs/>
          <w:b/>
        </w:rPr>
        <w:t xml:space="preserve">D06-FR-003</w:t>
      </w:r>
      <w:r>
        <w:t xml:space="preserve"> </w:t>
      </w:r>
      <w:r>
        <w:t xml:space="preserve">The SAL SHALL handle connection pooling, retry logic, circuit breaking, and tenant context injection for each storage engine. Application code does NOT manage connections directly.</w:t>
      </w:r>
    </w:p>
    <w:p>
      <w:pPr>
        <w:pStyle w:val="BodyText"/>
      </w:pPr>
      <w:r>
        <w:rPr>
          <w:bCs/>
          <w:b/>
        </w:rPr>
        <w:t xml:space="preserve">D06-FR-004</w:t>
      </w:r>
      <w:r>
        <w:t xml:space="preserve"> </w:t>
      </w:r>
      <w:r>
        <w:t xml:space="preserve">Storage tiering SHALL be automated via lifecycle policies: Bronze data moves from Standard to Nearline at 90 days, Coldline at 1 year. Gold materialised views are refreshed on schedule; stale views beyond their refresh SLA trigger an alert. Silver data is never tiered (always hot — it’s the active working set).</w:t>
      </w:r>
    </w:p>
    <w:p>
      <w:pPr>
        <w:pStyle w:val="BlockText"/>
      </w:pPr>
      <w:r>
        <w:rPr>
          <w:iCs/>
          <w:i/>
        </w:rPr>
        <w:t xml:space="preserve">⚠ QUESTION FOR SEEMA: For Phase 0 with 3–10 tenants, I’m recommending PostgreSQL with pgvector for vector storage and adjacency tables for graph queries, rather than deploying separate Weaviate and Neo4j instances. This reduces operational complexity at small scale. The SAL abstraction means we can swap to dedicated vector/graph databases in Phase 2 without changing application code. Do you agree with this approach, or do you want dedicated vector/graph databases from day one?</w:t>
      </w:r>
    </w:p>
    <w:bookmarkEnd w:id="105"/>
    <w:bookmarkStart w:id="106" w:name="acceptance-criteria-7"/>
    <w:p>
      <w:pPr>
        <w:pStyle w:val="Heading2"/>
      </w:pPr>
      <w:r>
        <w:t xml:space="preserve">6.4 Acceptance Criteria</w:t>
      </w:r>
    </w:p>
    <w:p>
      <w:pPr>
        <w:pStyle w:val="FirstParagraph"/>
      </w:pPr>
      <w:r>
        <w:t xml:space="preserve">A service writing a retail.Transaction record calls SAL.write() once. SAL routes the write to Cloud SQL (Silver layer) and emits a Pub/Sub event for Gold layer materialisation. No application code references Cloud SQL directly.</w:t>
      </w:r>
    </w:p>
    <w:p>
      <w:pPr>
        <w:pStyle w:val="BodyText"/>
      </w:pPr>
      <w:r>
        <w:t xml:space="preserve">Swapping the Gold layer from BigQuery to a different analytical engine (e.g., ClickHouse) requires changing only the SAL configuration, not application code.</w:t>
      </w:r>
    </w:p>
    <w:p>
      <w:pPr>
        <w:pStyle w:val="BodyText"/>
      </w:pPr>
      <w:r>
        <w:t xml:space="preserve">Storage tiering automatically moves Bronze data to Nearline after 90 days, reducing storage costs by 40-60% for historical data.</w:t>
      </w:r>
    </w:p>
    <w:p>
      <w:pPr>
        <w:pStyle w:val="BodyText"/>
      </w:pPr>
      <w:r>
        <w:t xml:space="preserve">The SAL correctly injects tenant_id into every storage operation, regardless of which storage engine is targeted.</w:t>
      </w:r>
    </w:p>
    <w:p>
      <w:pPr>
        <w:pStyle w:val="BodyText"/>
      </w:pPr>
      <w:r>
        <w:rPr>
          <w:iCs/>
          <w:i/>
        </w:rPr>
        <w:t xml:space="preserve">End of Data Platform Layer (D01–D06) specifications. The next batch will cover Identity &amp; Knowledge (I01–I03) and Ingestion (G01–G02) — the Phase 0 modules that complete the data flow from source to canonical model.</w:t>
      </w:r>
    </w:p>
    <w:p>
      <w:pPr>
        <w:pStyle w:val="BodyText"/>
      </w:pPr>
      <w:r>
        <w:rPr>
          <w:bCs/>
          <w:b/>
        </w:rPr>
        <w:t xml:space="preserve">PART III</w:t>
      </w:r>
    </w:p>
    <w:p>
      <w:pPr>
        <w:pStyle w:val="BodyText"/>
      </w:pPr>
      <w:r>
        <w:t xml:space="preserve">Identity &amp; Ingestion — I01 through I03, G01 through G02</w:t>
      </w:r>
    </w:p>
    <w:p>
      <w:pPr>
        <w:pStyle w:val="BodyText"/>
      </w:pPr>
      <w:r>
        <w:rPr>
          <w:bCs/>
          <w:b/>
        </w:rPr>
        <w:t xml:space="preserve">Detailed Module Specifications</w:t>
      </w:r>
    </w:p>
    <w:p>
      <w:pPr>
        <w:pStyle w:val="BodyText"/>
      </w:pPr>
      <w:r>
        <w:t xml:space="preserve">Identity &amp; Knowledge (I01–I03) + Ingestion (G01–G02)</w:t>
      </w:r>
    </w:p>
    <w:p>
      <w:pPr>
        <w:pStyle w:val="BodyText"/>
      </w:pPr>
      <w:r>
        <w:t xml:space="preserve">Sevyn8 Intelligence &amp; Analytics Platform — v1.0 — April 2026 — CONFIDENTIAL</w:t>
      </w:r>
    </w:p>
    <w:p>
      <w:pPr>
        <w:pStyle w:val="BodyText"/>
      </w:pPr>
      <w:r>
        <w:t xml:space="preserve">Probabilistic Multi-Signal Identity Resolution • Dual-Mode Ingestion (Batch + Streaming) • Pluggable Connector Framework</w:t>
      </w:r>
    </w:p>
    <w:bookmarkEnd w:id="106"/>
    <w:bookmarkEnd w:id="107"/>
    <w:bookmarkStart w:id="108" w:name="design-decisions-for-this-batch"/>
    <w:p>
      <w:pPr>
        <w:pStyle w:val="Heading1"/>
      </w:pPr>
      <w:r>
        <w:t xml:space="preserve">Design Decisions for This Batch</w:t>
      </w:r>
    </w:p>
    <w:p>
      <w:pPr>
        <w:pStyle w:val="BlockText"/>
      </w:pPr>
      <w:r>
        <w:rPr>
          <w:iCs/>
          <w:i/>
        </w:rPr>
        <w:t xml:space="preserve">✔ LOCKED DECISION: Identity resolution uses probabilistic multi-signal matching — no single anchor identifier. Phone, email, loyalty card, name, and address are weighted signals combined for match scoring.</w:t>
      </w:r>
    </w:p>
    <w:p>
      <w:pPr>
        <w:pStyle w:val="BlockText"/>
      </w:pPr>
      <w:r>
        <w:rPr>
          <w:iCs/>
          <w:i/>
        </w:rPr>
        <w:t xml:space="preserve">✔ LOCKED DECISION: Ingestion supports both real-time (Pub/Sub streaming) and batch (file upload, scheduled pull) modes. Same mapping rules (D02) apply to both.</w:t>
      </w:r>
    </w:p>
    <w:p>
      <w:pPr>
        <w:pStyle w:val="BlockText"/>
      </w:pPr>
      <w:r>
        <w:rPr>
          <w:iCs/>
          <w:i/>
        </w:rPr>
        <w:t xml:space="preserve">✔ LOCKED DECISION: Connector framework is abstracted — pluggable connectors for any POS, CRM, e-commerce platform. No hardcoded integrations. Shopify, Magento, custom APIs all plug into the same interface.</w:t>
      </w:r>
    </w:p>
    <w:p>
      <w:pPr>
        <w:pStyle w:val="BlockText"/>
      </w:pPr>
      <w:r>
        <w:rPr>
          <w:iCs/>
          <w:i/>
        </w:rPr>
        <w:t xml:space="preserve">✔ LOCKED DECISION: Graph storage at Phase 0 uses PostgreSQL adjacency tables. Phase 2 migrates to Neo4j via SAL abstraction.</w:t>
      </w:r>
    </w:p>
    <w:bookmarkEnd w:id="108"/>
    <w:bookmarkStart w:id="118" w:name="i01-probabilistic-identity-registry-sir"/>
    <w:p>
      <w:pPr>
        <w:pStyle w:val="Heading1"/>
      </w:pPr>
      <w:r>
        <w:t xml:space="preserve">I01 — Probabilistic Identity Registry (SIR)</w:t>
      </w:r>
    </w:p>
    <w:tbl>
      <w:tblPr>
        <w:tblStyle w:val="Table"/>
        <w:tblW w:type="pct" w:w="4953"/>
        <w:tblLook w:firstRow="0" w:lastRow="0" w:firstColumn="0" w:lastColumn="0" w:noHBand="0" w:noVBand="0" w:val="0000"/>
        <w:jc w:val="start"/>
      </w:tblPr>
      <w:tblGrid>
        <w:gridCol w:w="814"/>
        <w:gridCol w:w="7031"/>
      </w:tblGrid>
      <w:t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rPr>
                <w:bCs/>
                <w:b/>
              </w:rPr>
              <w:t xml:space="preserve">Module ID</w:t>
            </w:r>
          </w:p>
        </w:tc>
        <w:tc>
          <w:tcPr/>
          <w:p>
            <w:pPr>
              <w:pStyle w:val="Compact"/>
              <w:jc w:val="left"/>
            </w:pPr>
            <w:r>
              <w:t xml:space="preserve">I01</w:t>
            </w:r>
          </w:p>
        </w:tc>
      </w:tr>
      <w:tr>
        <w:tc>
          <w:tcPr/>
          <w:p>
            <w:pPr>
              <w:pStyle w:val="Compact"/>
              <w:jc w:val="left"/>
            </w:pPr>
            <w:r>
              <w:rPr>
                <w:bCs/>
                <w:b/>
              </w:rPr>
              <w:t xml:space="preserve">Phase</w:t>
            </w:r>
          </w:p>
        </w:tc>
        <w:tc>
          <w:tcPr/>
          <w:p>
            <w:pPr>
              <w:pStyle w:val="Compact"/>
              <w:jc w:val="left"/>
            </w:pPr>
            <w:r>
              <w:t xml:space="preserve">0 (Core Foundation)</w:t>
            </w:r>
          </w:p>
        </w:tc>
      </w:tr>
      <w:tr>
        <w:tc>
          <w:tcPr/>
          <w:p>
            <w:pPr>
              <w:pStyle w:val="Compact"/>
              <w:jc w:val="left"/>
            </w:pPr>
            <w:r>
              <w:rPr>
                <w:bCs/>
                <w:b/>
              </w:rPr>
              <w:t xml:space="preserve">Complexity</w:t>
            </w:r>
          </w:p>
        </w:tc>
        <w:tc>
          <w:tcPr/>
          <w:p>
            <w:pPr>
              <w:pStyle w:val="Compact"/>
              <w:jc w:val="left"/>
            </w:pPr>
            <w:r>
              <w:t xml:space="preserve">Very High</w:t>
            </w:r>
          </w:p>
        </w:tc>
      </w:tr>
      <w:tr>
        <w:tc>
          <w:tcPr/>
          <w:p>
            <w:pPr>
              <w:pStyle w:val="Compact"/>
              <w:jc w:val="left"/>
            </w:pPr>
            <w:r>
              <w:rPr>
                <w:bCs/>
                <w:b/>
              </w:rPr>
              <w:t xml:space="preserve">Dependencies</w:t>
            </w:r>
          </w:p>
        </w:tc>
        <w:tc>
          <w:tcPr/>
          <w:p>
            <w:pPr>
              <w:pStyle w:val="Compact"/>
              <w:jc w:val="left"/>
            </w:pPr>
            <w:r>
              <w:t xml:space="preserve">F01 (Multi-Tenancy), F03 (Temporal Engine)</w:t>
            </w:r>
          </w:p>
        </w:tc>
      </w:tr>
      <w:tr>
        <w:tc>
          <w:tcPr/>
          <w:p>
            <w:pPr>
              <w:pStyle w:val="Compact"/>
              <w:jc w:val="left"/>
            </w:pPr>
            <w:r>
              <w:rPr>
                <w:bCs/>
                <w:b/>
              </w:rPr>
              <w:t xml:space="preserve">Depended On By</w:t>
            </w:r>
          </w:p>
        </w:tc>
        <w:tc>
          <w:tcPr/>
          <w:p>
            <w:pPr>
              <w:pStyle w:val="Compact"/>
              <w:jc w:val="left"/>
            </w:pPr>
            <w:r>
              <w:t xml:space="preserve">I02 (Knowledge Graph), I03 (Conflict Resolution), D01 (Canonical Model), S02 (Cross-Modal Correlation), PR02 (DSAR Portal), E01 (Embedding Pipeline) — every module that references</w:t>
            </w:r>
            <w:r>
              <w:t xml:space="preserve"> </w:t>
            </w:r>
            <w:r>
              <w:t xml:space="preserve">‘</w:t>
            </w:r>
            <w:r>
              <w:t xml:space="preserve">who</w:t>
            </w:r>
            <w:r>
              <w:t xml:space="preserve">’</w:t>
            </w:r>
          </w:p>
        </w:tc>
      </w:tr>
      <w:tr>
        <w:tc>
          <w:tcPr/>
          <w:p>
            <w:pPr>
              <w:pStyle w:val="Compact"/>
              <w:jc w:val="left"/>
            </w:pPr>
            <w:r>
              <w:rPr>
                <w:bCs/>
                <w:b/>
              </w:rPr>
              <w:t xml:space="preserve">Owner</w:t>
            </w:r>
          </w:p>
        </w:tc>
        <w:tc>
          <w:tcPr/>
          <w:p>
            <w:pPr>
              <w:pStyle w:val="Compact"/>
              <w:jc w:val="left"/>
            </w:pPr>
            <w:r>
              <w:t xml:space="preserve">Data Engineering Lead</w:t>
            </w:r>
          </w:p>
        </w:tc>
      </w:tr>
    </w:tbl>
    <w:bookmarkStart w:id="109" w:name="purpose-11"/>
    <w:p>
      <w:pPr>
        <w:pStyle w:val="Heading2"/>
      </w:pPr>
      <w:r>
        <w:t xml:space="preserve">1.1 Purpose</w:t>
      </w:r>
    </w:p>
    <w:p>
      <w:pPr>
        <w:pStyle w:val="FirstParagraph"/>
      </w:pPr>
      <w:r>
        <w:t xml:space="preserve">I01 is the identity backbone of the platform. When data arrives from multiple sources — a POS transaction with a loyalty card number, a CRM record with an email address, an e-commerce order with a login ID, a video feed with a face — I01 determines whether these all refer to the same real-world person (or organisation, or device). It assigns a Universal Entity ID (UEID) to each resolved entity and maintains the identity graph that links all source identifiers to their resolved entity.</w:t>
      </w:r>
    </w:p>
    <w:p>
      <w:pPr>
        <w:pStyle w:val="BodyText"/>
      </w:pPr>
      <w:r>
        <w:t xml:space="preserve">Without I01, the platform cannot do omnichannel analytics. A customer who shops in-store and online would appear as two separate people, and every KPI (CLV, omnichannel rate, repeat purchase rate) would be wrong. Note: in Phase 0, I01 uses probabilistic signal matching (phone, email, loyalty card, name similarity). In Phase 2, when E01 (Embedding Pipeline) is deployed, I01 upgrades to true semantic matching — resolving identities based on behavioural patterns and contextual similarity, not just surface signal overlap. The SIR acronym is retained for continuity.</w:t>
      </w:r>
    </w:p>
    <w:bookmarkEnd w:id="109"/>
    <w:bookmarkStart w:id="116" w:name="functional-requirements-6"/>
    <w:p>
      <w:pPr>
        <w:pStyle w:val="Heading2"/>
      </w:pPr>
      <w:r>
        <w:t xml:space="preserve">1.2 Functional Requirements</w:t>
      </w:r>
    </w:p>
    <w:bookmarkStart w:id="110" w:name="identity-signal-framework"/>
    <w:p>
      <w:pPr>
        <w:pStyle w:val="Heading3"/>
      </w:pPr>
      <w:r>
        <w:t xml:space="preserve">1.2.1 Identity Signal Framework</w:t>
      </w:r>
    </w:p>
    <w:p>
      <w:pPr>
        <w:pStyle w:val="FirstParagraph"/>
      </w:pPr>
      <w:r>
        <w:rPr>
          <w:bCs/>
          <w:b/>
        </w:rPr>
        <w:t xml:space="preserve">I01-FR-001</w:t>
      </w:r>
      <w:r>
        <w:t xml:space="preserve"> </w:t>
      </w:r>
      <w:r>
        <w:t xml:space="preserve">The SIR SHALL resolve identities using a probabilistic multi-signal matching engine. Each incoming data record carries one or more identity signals — fields that may identify the entity. No single signal is assumed to be a definitive identifier.</w:t>
      </w:r>
    </w:p>
    <w:p>
      <w:pPr>
        <w:pStyle w:val="BodyText"/>
      </w:pPr>
      <w:r>
        <w:rPr>
          <w:bCs/>
          <w:b/>
        </w:rPr>
        <w:t xml:space="preserve">I01-FR-002</w:t>
      </w:r>
      <w:r>
        <w:t xml:space="preserve"> </w:t>
      </w:r>
      <w:r>
        <w:t xml:space="preserve">The following identity signals SHALL be supported for the retail vertical, each with a configured match weight and match type:</w:t>
      </w:r>
    </w:p>
    <w:tbl>
      <w:tblPr>
        <w:tblStyle w:val="Table"/>
        <w:tblW w:type="pct" w:w="4964"/>
        <w:tblLook w:firstRow="0" w:lastRow="0" w:firstColumn="0" w:lastColumn="0" w:noHBand="0" w:noVBand="0" w:val="0000"/>
        <w:jc w:val="start"/>
      </w:tblPr>
      <w:tblGrid>
        <w:gridCol w:w="792"/>
        <w:gridCol w:w="367"/>
        <w:gridCol w:w="1216"/>
        <w:gridCol w:w="1782"/>
        <w:gridCol w:w="3705"/>
      </w:tblGrid>
      <w:tr>
        <w:tc>
          <w:tcPr/>
          <w:p>
            <w:pPr>
              <w:pStyle w:val="Compact"/>
              <w:jc w:val="left"/>
            </w:pPr>
            <w:r>
              <w:rPr>
                <w:bCs/>
                <w:b/>
              </w:rPr>
              <w:t xml:space="preserve">Signal</w:t>
            </w:r>
          </w:p>
        </w:tc>
        <w:tc>
          <w:tcPr/>
          <w:p>
            <w:pPr>
              <w:pStyle w:val="Compact"/>
              <w:jc w:val="left"/>
            </w:pPr>
            <w:r>
              <w:rPr>
                <w:bCs/>
                <w:b/>
              </w:rPr>
              <w:t xml:space="preserve">Weight</w:t>
            </w:r>
          </w:p>
        </w:tc>
        <w:tc>
          <w:tcPr/>
          <w:p>
            <w:pPr>
              <w:pStyle w:val="Compact"/>
              <w:jc w:val="left"/>
            </w:pPr>
            <w:r>
              <w:rPr>
                <w:bCs/>
                <w:b/>
              </w:rPr>
              <w:t xml:space="preserve">Match Type</w:t>
            </w:r>
          </w:p>
        </w:tc>
        <w:tc>
          <w:tcPr/>
          <w:p>
            <w:pPr>
              <w:pStyle w:val="Compact"/>
              <w:jc w:val="left"/>
            </w:pPr>
            <w:r>
              <w:rPr>
                <w:bCs/>
                <w:b/>
              </w:rPr>
              <w:t xml:space="preserve">Uniqueness</w:t>
            </w:r>
          </w:p>
        </w:tc>
        <w:tc>
          <w:tcPr/>
          <w:p>
            <w:pPr>
              <w:pStyle w:val="Compact"/>
              <w:jc w:val="left"/>
            </w:pPr>
            <w:r>
              <w:rPr>
                <w:bCs/>
                <w:b/>
              </w:rPr>
              <w:t xml:space="preserve">Notes</w:t>
            </w:r>
          </w:p>
        </w:tc>
      </w:tr>
      <w:tr>
        <w:tc>
          <w:tcPr/>
          <w:p>
            <w:pPr>
              <w:pStyle w:val="Compact"/>
              <w:jc w:val="left"/>
            </w:pPr>
            <w:r>
              <w:rPr>
                <w:bCs/>
                <w:b/>
              </w:rPr>
              <w:t xml:space="preserve">Phone (normalised)</w:t>
            </w:r>
          </w:p>
        </w:tc>
        <w:tc>
          <w:tcPr/>
          <w:p>
            <w:pPr>
              <w:pStyle w:val="Compact"/>
              <w:jc w:val="left"/>
            </w:pPr>
            <w:r>
              <w:t xml:space="preserve">0.90</w:t>
            </w:r>
          </w:p>
        </w:tc>
        <w:tc>
          <w:tcPr/>
          <w:p>
            <w:pPr>
              <w:pStyle w:val="Compact"/>
              <w:jc w:val="left"/>
            </w:pPr>
            <w:r>
              <w:t xml:space="preserve">Exact (after normalisation)</w:t>
            </w:r>
          </w:p>
        </w:tc>
        <w:tc>
          <w:tcPr/>
          <w:p>
            <w:pPr>
              <w:pStyle w:val="Compact"/>
              <w:jc w:val="left"/>
            </w:pPr>
            <w:r>
              <w:t xml:space="preserve">High but not unique (shared family phones, recycled numbers)</w:t>
            </w:r>
          </w:p>
        </w:tc>
        <w:tc>
          <w:tcPr/>
          <w:p>
            <w:pPr>
              <w:pStyle w:val="Compact"/>
              <w:jc w:val="left"/>
            </w:pPr>
            <w:r>
              <w:t xml:space="preserve">Normalise to E.164 format (+91XXXXXXXXXX). Remove leading 0, spaces, dashes. Most commonly available retail identifier in India.</w:t>
            </w:r>
          </w:p>
        </w:tc>
      </w:tr>
      <w:tr>
        <w:tc>
          <w:tcPr/>
          <w:p>
            <w:pPr>
              <w:pStyle w:val="Compact"/>
              <w:jc w:val="left"/>
            </w:pPr>
            <w:r>
              <w:rPr>
                <w:bCs/>
                <w:b/>
              </w:rPr>
              <w:t xml:space="preserve">Email</w:t>
            </w:r>
          </w:p>
        </w:tc>
        <w:tc>
          <w:tcPr/>
          <w:p>
            <w:pPr>
              <w:pStyle w:val="Compact"/>
              <w:jc w:val="left"/>
            </w:pPr>
            <w:r>
              <w:t xml:space="preserve">0.85</w:t>
            </w:r>
          </w:p>
        </w:tc>
        <w:tc>
          <w:tcPr/>
          <w:p>
            <w:pPr>
              <w:pStyle w:val="Compact"/>
              <w:jc w:val="left"/>
            </w:pPr>
            <w:r>
              <w:t xml:space="preserve">Exact (case-insensitive, trimmed)</w:t>
            </w:r>
          </w:p>
        </w:tc>
        <w:tc>
          <w:tcPr/>
          <w:p>
            <w:pPr>
              <w:pStyle w:val="Compact"/>
              <w:jc w:val="left"/>
            </w:pPr>
            <w:r>
              <w:t xml:space="preserve">High</w:t>
            </w:r>
          </w:p>
        </w:tc>
        <w:tc>
          <w:tcPr/>
          <w:p>
            <w:pPr>
              <w:pStyle w:val="Compact"/>
              <w:jc w:val="left"/>
            </w:pPr>
            <w:r>
              <w:t xml:space="preserve">Common for e-commerce and loyalty. Less common for in-store walk-ins.</w:t>
            </w:r>
          </w:p>
        </w:tc>
      </w:tr>
      <w:tr>
        <w:tc>
          <w:tcPr/>
          <w:p>
            <w:pPr>
              <w:pStyle w:val="Compact"/>
              <w:jc w:val="left"/>
            </w:pPr>
            <w:r>
              <w:rPr>
                <w:bCs/>
                <w:b/>
              </w:rPr>
              <w:t xml:space="preserve">Loyalty Card Number</w:t>
            </w:r>
          </w:p>
        </w:tc>
        <w:tc>
          <w:tcPr/>
          <w:p>
            <w:pPr>
              <w:pStyle w:val="Compact"/>
              <w:jc w:val="left"/>
            </w:pPr>
            <w:r>
              <w:t xml:space="preserve">0.95</w:t>
            </w:r>
          </w:p>
        </w:tc>
        <w:tc>
          <w:tcPr/>
          <w:p>
            <w:pPr>
              <w:pStyle w:val="Compact"/>
              <w:jc w:val="left"/>
            </w:pPr>
            <w:r>
              <w:t xml:space="preserve">Exact</w:t>
            </w:r>
          </w:p>
        </w:tc>
        <w:tc>
          <w:tcPr/>
          <w:p>
            <w:pPr>
              <w:pStyle w:val="Compact"/>
              <w:jc w:val="left"/>
            </w:pPr>
            <w:r>
              <w:t xml:space="preserve">Very High (system-assigned)</w:t>
            </w:r>
          </w:p>
        </w:tc>
        <w:tc>
          <w:tcPr/>
          <w:p>
            <w:pPr>
              <w:pStyle w:val="Compact"/>
              <w:jc w:val="left"/>
            </w:pPr>
            <w:r>
              <w:t xml:space="preserve">Most reliable identifier when present. But not all customers have loyalty cards.</w:t>
            </w:r>
          </w:p>
        </w:tc>
      </w:tr>
      <w:tr>
        <w:tc>
          <w:tcPr/>
          <w:p>
            <w:pPr>
              <w:pStyle w:val="Compact"/>
              <w:jc w:val="left"/>
            </w:pPr>
            <w:r>
              <w:rPr>
                <w:bCs/>
                <w:b/>
              </w:rPr>
              <w:t xml:space="preserve">E-commerce Account ID</w:t>
            </w:r>
          </w:p>
        </w:tc>
        <w:tc>
          <w:tcPr/>
          <w:p>
            <w:pPr>
              <w:pStyle w:val="Compact"/>
              <w:jc w:val="left"/>
            </w:pPr>
            <w:r>
              <w:t xml:space="preserve">0.95</w:t>
            </w:r>
          </w:p>
        </w:tc>
        <w:tc>
          <w:tcPr/>
          <w:p>
            <w:pPr>
              <w:pStyle w:val="Compact"/>
              <w:jc w:val="left"/>
            </w:pPr>
            <w:r>
              <w:t xml:space="preserve">Exact</w:t>
            </w:r>
          </w:p>
        </w:tc>
        <w:tc>
          <w:tcPr/>
          <w:p>
            <w:pPr>
              <w:pStyle w:val="Compact"/>
              <w:jc w:val="left"/>
            </w:pPr>
            <w:r>
              <w:t xml:space="preserve">Very High (system-assigned)</w:t>
            </w:r>
          </w:p>
        </w:tc>
        <w:tc>
          <w:tcPr/>
          <w:p>
            <w:pPr>
              <w:pStyle w:val="Compact"/>
              <w:jc w:val="left"/>
            </w:pPr>
            <w:r>
              <w:t xml:space="preserve">Unique within the e-commerce platform. Maps 1:1 to a customer entity.</w:t>
            </w:r>
          </w:p>
        </w:tc>
      </w:tr>
      <w:tr>
        <w:tc>
          <w:tcPr/>
          <w:p>
            <w:pPr>
              <w:pStyle w:val="Compact"/>
              <w:jc w:val="left"/>
            </w:pPr>
            <w:r>
              <w:rPr>
                <w:bCs/>
                <w:b/>
              </w:rPr>
              <w:t xml:space="preserve">Full Name</w:t>
            </w:r>
          </w:p>
        </w:tc>
        <w:tc>
          <w:tcPr/>
          <w:p>
            <w:pPr>
              <w:pStyle w:val="Compact"/>
              <w:jc w:val="left"/>
            </w:pPr>
            <w:r>
              <w:t xml:space="preserve">0.30</w:t>
            </w:r>
          </w:p>
        </w:tc>
        <w:tc>
          <w:tcPr/>
          <w:p>
            <w:pPr>
              <w:pStyle w:val="Compact"/>
              <w:jc w:val="left"/>
            </w:pPr>
            <w:r>
              <w:t xml:space="preserve">Fuzzy (Jaro-Winkler &gt; 0.85)</w:t>
            </w:r>
          </w:p>
        </w:tc>
        <w:tc>
          <w:tcPr/>
          <w:p>
            <w:pPr>
              <w:pStyle w:val="Compact"/>
              <w:jc w:val="left"/>
            </w:pPr>
            <w:r>
              <w:t xml:space="preserve">Low (common names in India)</w:t>
            </w:r>
          </w:p>
        </w:tc>
        <w:tc>
          <w:tcPr/>
          <w:p>
            <w:pPr>
              <w:pStyle w:val="Compact"/>
              <w:jc w:val="left"/>
            </w:pPr>
            <w:r>
              <w:t xml:space="preserve">Never sufficient alone. Used as supporting signal when combined with other signals.</w:t>
            </w:r>
          </w:p>
        </w:tc>
      </w:tr>
      <w:tr>
        <w:tc>
          <w:tcPr/>
          <w:p>
            <w:pPr>
              <w:pStyle w:val="Compact"/>
              <w:jc w:val="left"/>
            </w:pPr>
            <w:r>
              <w:rPr>
                <w:bCs/>
                <w:b/>
              </w:rPr>
              <w:t xml:space="preserve">Name + DOB</w:t>
            </w:r>
          </w:p>
        </w:tc>
        <w:tc>
          <w:tcPr/>
          <w:p>
            <w:pPr>
              <w:pStyle w:val="Compact"/>
              <w:jc w:val="left"/>
            </w:pPr>
            <w:r>
              <w:t xml:space="preserve">0.60</w:t>
            </w:r>
          </w:p>
        </w:tc>
        <w:tc>
          <w:tcPr/>
          <w:p>
            <w:pPr>
              <w:pStyle w:val="Compact"/>
              <w:jc w:val="left"/>
            </w:pPr>
            <w:r>
              <w:t xml:space="preserve">Fuzzy name + exact DOB</w:t>
            </w:r>
          </w:p>
        </w:tc>
        <w:tc>
          <w:tcPr/>
          <w:p>
            <w:pPr>
              <w:pStyle w:val="Compact"/>
              <w:jc w:val="left"/>
            </w:pPr>
            <w:r>
              <w:t xml:space="preserve">Medium</w:t>
            </w:r>
          </w:p>
        </w:tc>
        <w:tc>
          <w:tcPr/>
          <w:p>
            <w:pPr>
              <w:pStyle w:val="Compact"/>
              <w:jc w:val="left"/>
            </w:pPr>
            <w:r>
              <w:t xml:space="preserve">DOB significantly increases name-based match confidence.</w:t>
            </w:r>
          </w:p>
        </w:tc>
      </w:tr>
      <w:tr>
        <w:tc>
          <w:tcPr/>
          <w:p>
            <w:pPr>
              <w:pStyle w:val="Compact"/>
              <w:jc w:val="left"/>
            </w:pPr>
            <w:r>
              <w:rPr>
                <w:bCs/>
                <w:b/>
              </w:rPr>
              <w:t xml:space="preserve">Address</w:t>
            </w:r>
          </w:p>
        </w:tc>
        <w:tc>
          <w:tcPr/>
          <w:p>
            <w:pPr>
              <w:pStyle w:val="Compact"/>
              <w:jc w:val="left"/>
            </w:pPr>
            <w:r>
              <w:t xml:space="preserve">0.40</w:t>
            </w:r>
          </w:p>
        </w:tc>
        <w:tc>
          <w:tcPr/>
          <w:p>
            <w:pPr>
              <w:pStyle w:val="Compact"/>
              <w:jc w:val="left"/>
            </w:pPr>
            <w:r>
              <w:t xml:space="preserve">Fuzzy (normalised, Jaro-Winkler &gt; 0.80)</w:t>
            </w:r>
          </w:p>
        </w:tc>
        <w:tc>
          <w:tcPr/>
          <w:p>
            <w:pPr>
              <w:pStyle w:val="Compact"/>
              <w:jc w:val="left"/>
            </w:pPr>
            <w:r>
              <w:t xml:space="preserve">Low</w:t>
            </w:r>
          </w:p>
        </w:tc>
        <w:tc>
          <w:tcPr/>
          <w:p>
            <w:pPr>
              <w:pStyle w:val="Compact"/>
              <w:jc w:val="left"/>
            </w:pPr>
            <w:r>
              <w:t xml:space="preserve">Address normalisation required (abbreviation expansion, pincode validation). Supporting signal only.</w:t>
            </w:r>
          </w:p>
        </w:tc>
      </w:tr>
      <w:tr>
        <w:tc>
          <w:tcPr/>
          <w:p>
            <w:pPr>
              <w:pStyle w:val="Compact"/>
              <w:jc w:val="left"/>
            </w:pPr>
            <w:r>
              <w:rPr>
                <w:bCs/>
                <w:b/>
              </w:rPr>
              <w:t xml:space="preserve">Device Fingerprint</w:t>
            </w:r>
          </w:p>
        </w:tc>
        <w:tc>
          <w:tcPr/>
          <w:p>
            <w:pPr>
              <w:pStyle w:val="Compact"/>
              <w:jc w:val="left"/>
            </w:pPr>
            <w:r>
              <w:t xml:space="preserve">0.50</w:t>
            </w:r>
          </w:p>
        </w:tc>
        <w:tc>
          <w:tcPr/>
          <w:p>
            <w:pPr>
              <w:pStyle w:val="Compact"/>
              <w:jc w:val="left"/>
            </w:pPr>
            <w:r>
              <w:t xml:space="preserve">Exact hash</w:t>
            </w:r>
          </w:p>
        </w:tc>
        <w:tc>
          <w:tcPr/>
          <w:p>
            <w:pPr>
              <w:pStyle w:val="Compact"/>
              <w:jc w:val="left"/>
            </w:pPr>
            <w:r>
              <w:t xml:space="preserve">Medium (shared devices)</w:t>
            </w:r>
          </w:p>
        </w:tc>
        <w:tc>
          <w:tcPr/>
          <w:p>
            <w:pPr>
              <w:pStyle w:val="Compact"/>
              <w:jc w:val="left"/>
            </w:pPr>
            <w:r>
              <w:t xml:space="preserve">For e-commerce: browser/device fingerprint. Useful for matching anonymous sessions to later-identified entities.</w:t>
            </w:r>
          </w:p>
        </w:tc>
      </w:tr>
      <w:tr>
        <w:tc>
          <w:tcPr/>
          <w:p>
            <w:pPr>
              <w:pStyle w:val="Compact"/>
              <w:jc w:val="left"/>
            </w:pPr>
            <w:r>
              <w:rPr>
                <w:bCs/>
                <w:b/>
              </w:rPr>
              <w:t xml:space="preserve">Face Embedding</w:t>
            </w:r>
          </w:p>
        </w:tc>
        <w:tc>
          <w:tcPr/>
          <w:p>
            <w:pPr>
              <w:pStyle w:val="Compact"/>
              <w:jc w:val="left"/>
            </w:pPr>
            <w:r>
              <w:t xml:space="preserve">0.80</w:t>
            </w:r>
          </w:p>
        </w:tc>
        <w:tc>
          <w:tcPr/>
          <w:p>
            <w:pPr>
              <w:pStyle w:val="Compact"/>
              <w:jc w:val="left"/>
            </w:pPr>
            <w:r>
              <w:t xml:space="preserve">Cosine similarity &gt; 0.85</w:t>
            </w:r>
          </w:p>
        </w:tc>
        <w:tc>
          <w:tcPr/>
          <w:p>
            <w:pPr>
              <w:pStyle w:val="Compact"/>
              <w:jc w:val="left"/>
            </w:pPr>
            <w:r>
              <w:t xml:space="preserve">High (biometric)</w:t>
            </w:r>
          </w:p>
        </w:tc>
        <w:tc>
          <w:tcPr/>
          <w:p>
            <w:pPr>
              <w:pStyle w:val="Compact"/>
              <w:jc w:val="left"/>
            </w:pPr>
            <w:r>
              <w:t xml:space="preserve">Phase 3. Requires consent (AC03). Links video events to entity. Stored via E01.</w:t>
            </w:r>
          </w:p>
        </w:tc>
      </w:tr>
    </w:tbl>
    <w:p>
      <w:pPr>
        <w:pStyle w:val="BodyText"/>
      </w:pPr>
      <w:r>
        <w:rPr>
          <w:bCs/>
          <w:b/>
        </w:rPr>
        <w:t xml:space="preserve">I01-FR-003</w:t>
      </w:r>
      <w:r>
        <w:t xml:space="preserve"> </w:t>
      </w:r>
      <w:r>
        <w:t xml:space="preserve">Signal weights SHALL be configurable per tenant via F04 Configuration Plane. The defaults above are the retail vertical baseline. An insurance vertical would assign higher weight to PAN (0.95) and Aadhaar (0.98) and lower weight to phone (0.70, because phone numbers are more commonly shared in insurance contexts).</w:t>
      </w:r>
    </w:p>
    <w:p>
      <w:pPr>
        <w:pStyle w:val="BodyText"/>
      </w:pPr>
      <w:r>
        <w:rPr>
          <w:bCs/>
          <w:b/>
        </w:rPr>
        <w:t xml:space="preserve">I01-FR-004</w:t>
      </w:r>
      <w:r>
        <w:t xml:space="preserve"> </w:t>
      </w:r>
      <w:r>
        <w:t xml:space="preserve">Signal normalisation SHALL be applied before matching: phone numbers normalised to E.164, emails lowercased and trimmed, names transliterated to Latin script (for Hindi/regional language names), addresses expanded (abbreviations like</w:t>
      </w:r>
      <w:r>
        <w:t xml:space="preserve"> </w:t>
      </w:r>
      <w:r>
        <w:t xml:space="preserve">‘</w:t>
      </w:r>
      <w:r>
        <w:t xml:space="preserve">Rd</w:t>
      </w:r>
      <w:r>
        <w:t xml:space="preserve">’</w:t>
      </w:r>
      <w:r>
        <w:t xml:space="preserve">→</w:t>
      </w:r>
      <w:r>
        <w:t xml:space="preserve">‘</w:t>
      </w:r>
      <w:r>
        <w:t xml:space="preserve">Road</w:t>
      </w:r>
      <w:r>
        <w:t xml:space="preserve">’</w:t>
      </w:r>
      <w:r>
        <w:t xml:space="preserve">,</w:t>
      </w:r>
      <w:r>
        <w:t xml:space="preserve"> </w:t>
      </w:r>
      <w:r>
        <w:t xml:space="preserve">‘</w:t>
      </w:r>
      <w:r>
        <w:t xml:space="preserve">St</w:t>
      </w:r>
      <w:r>
        <w:t xml:space="preserve">’</w:t>
      </w:r>
      <w:r>
        <w:t xml:space="preserve">→</w:t>
      </w:r>
      <w:r>
        <w:t xml:space="preserve">‘</w:t>
      </w:r>
      <w:r>
        <w:t xml:space="preserve">Street</w:t>
      </w:r>
      <w:r>
        <w:t xml:space="preserve">’</w:t>
      </w:r>
      <w:r>
        <w:t xml:space="preserve">) and pincode-validated.</w:t>
      </w:r>
    </w:p>
    <w:bookmarkEnd w:id="110"/>
    <w:bookmarkStart w:id="111" w:name="match-scoring-algorithm"/>
    <w:p>
      <w:pPr>
        <w:pStyle w:val="Heading3"/>
      </w:pPr>
      <w:r>
        <w:t xml:space="preserve">1.2.2 Match Scoring Algorithm</w:t>
      </w:r>
    </w:p>
    <w:p>
      <w:pPr>
        <w:pStyle w:val="FirstParagraph"/>
      </w:pPr>
      <w:r>
        <w:rPr>
          <w:bCs/>
          <w:b/>
        </w:rPr>
        <w:t xml:space="preserve">I01-FR-010</w:t>
      </w:r>
      <w:r>
        <w:t xml:space="preserve"> </w:t>
      </w:r>
      <w:r>
        <w:t xml:space="preserve">When a new record arrives with identity signals, the SIR SHALL compute a Match Score against every candidate entity in the tenant’s identity graph using the following algorithm:</w:t>
      </w:r>
    </w:p>
    <w:p>
      <w:pPr>
        <w:pStyle w:val="BodyText"/>
      </w:pPr>
      <w:r>
        <w:t xml:space="preserve">match_score = SUM( signal_weight[i] * signal_match[i] ) / SUM( signal_weight[i] ) for all signals present in both the incoming record and the candidate entity.</w:t>
      </w:r>
    </w:p>
    <w:p>
      <w:pPr>
        <w:pStyle w:val="BodyText"/>
      </w:pPr>
      <w:r>
        <w:t xml:space="preserve">Where signal_match[i] is: 1.0 for exact match signals that match, 0.0 for exact match signals that don’t match, and the fuzzy similarity score (0.0–1.0) for fuzzy match signals.</w:t>
      </w:r>
    </w:p>
    <w:p>
      <w:pPr>
        <w:pStyle w:val="BodyText"/>
      </w:pPr>
      <w:r>
        <w:rPr>
          <w:bCs/>
          <w:b/>
        </w:rPr>
        <w:t xml:space="preserve">I01-FR-011</w:t>
      </w:r>
      <w:r>
        <w:t xml:space="preserve"> </w:t>
      </w:r>
      <w:r>
        <w:t xml:space="preserve">The match score SHALL be classified into three zones:</w:t>
      </w:r>
    </w:p>
    <w:tbl>
      <w:tblPr>
        <w:tblStyle w:val="Table"/>
        <w:tblW w:type="pct" w:w="4944"/>
        <w:tblLook w:firstRow="0" w:lastRow="0" w:firstColumn="0" w:lastColumn="0" w:noHBand="0" w:noVBand="0" w:val="0000"/>
        <w:jc w:val="start"/>
      </w:tblPr>
      <w:tblGrid>
        <w:gridCol w:w="756"/>
        <w:gridCol w:w="800"/>
        <w:gridCol w:w="6273"/>
      </w:tblGrid>
      <w:tr>
        <w:tc>
          <w:tcPr/>
          <w:p>
            <w:pPr>
              <w:pStyle w:val="Compact"/>
              <w:jc w:val="left"/>
            </w:pPr>
            <w:r>
              <w:rPr>
                <w:bCs/>
                <w:b/>
              </w:rPr>
              <w:t xml:space="preserve">Zone</w:t>
            </w:r>
          </w:p>
        </w:tc>
        <w:tc>
          <w:tcPr/>
          <w:p>
            <w:pPr>
              <w:pStyle w:val="Compact"/>
              <w:jc w:val="left"/>
            </w:pPr>
            <w:r>
              <w:rPr>
                <w:bCs/>
                <w:b/>
              </w:rPr>
              <w:t xml:space="preserve">Score Range</w:t>
            </w:r>
          </w:p>
        </w:tc>
        <w:tc>
          <w:tcPr/>
          <w:p>
            <w:pPr>
              <w:pStyle w:val="Compact"/>
              <w:jc w:val="left"/>
            </w:pPr>
            <w:r>
              <w:rPr>
                <w:bCs/>
                <w:b/>
              </w:rPr>
              <w:t xml:space="preserve">Action</w:t>
            </w:r>
          </w:p>
        </w:tc>
      </w:tr>
      <w:tr>
        <w:tc>
          <w:tcPr/>
          <w:p>
            <w:pPr>
              <w:pStyle w:val="Compact"/>
              <w:jc w:val="left"/>
            </w:pPr>
            <w:r>
              <w:rPr>
                <w:bCs/>
                <w:b/>
              </w:rPr>
              <w:t xml:space="preserve">AUTO_MERGE</w:t>
            </w:r>
          </w:p>
        </w:tc>
        <w:tc>
          <w:tcPr/>
          <w:p>
            <w:pPr>
              <w:pStyle w:val="Compact"/>
              <w:jc w:val="left"/>
            </w:pPr>
            <w:r>
              <w:t xml:space="preserve">&gt; 0.85</w:t>
            </w:r>
          </w:p>
        </w:tc>
        <w:tc>
          <w:tcPr/>
          <w:p>
            <w:pPr>
              <w:pStyle w:val="Compact"/>
              <w:jc w:val="left"/>
            </w:pPr>
            <w:r>
              <w:t xml:space="preserve">Automatically merge the incoming record with the matching entity. No human review required. Decision logged.</w:t>
            </w:r>
          </w:p>
        </w:tc>
      </w:tr>
      <w:tr>
        <w:tc>
          <w:tcPr/>
          <w:p>
            <w:pPr>
              <w:pStyle w:val="Compact"/>
              <w:jc w:val="left"/>
            </w:pPr>
            <w:r>
              <w:rPr>
                <w:bCs/>
                <w:b/>
              </w:rPr>
              <w:t xml:space="preserve">QUARANTINE</w:t>
            </w:r>
          </w:p>
        </w:tc>
        <w:tc>
          <w:tcPr/>
          <w:p>
            <w:pPr>
              <w:pStyle w:val="Compact"/>
              <w:jc w:val="left"/>
            </w:pPr>
            <w:r>
              <w:t xml:space="preserve">0.60 – 0.85</w:t>
            </w:r>
          </w:p>
        </w:tc>
        <w:tc>
          <w:tcPr/>
          <w:p>
            <w:pPr>
              <w:pStyle w:val="Compact"/>
              <w:jc w:val="left"/>
            </w:pPr>
            <w:r>
              <w:t xml:space="preserve">Record placed in the Resolution Quarantine Queue for human review by Data Steward. SIR suggests the probable match but does not commit it.</w:t>
            </w:r>
          </w:p>
        </w:tc>
      </w:tr>
      <w:tr>
        <w:tc>
          <w:tcPr/>
          <w:p>
            <w:pPr>
              <w:pStyle w:val="Compact"/>
              <w:jc w:val="left"/>
            </w:pPr>
            <w:r>
              <w:rPr>
                <w:bCs/>
                <w:b/>
              </w:rPr>
              <w:t xml:space="preserve">NEW_ENTITY</w:t>
            </w:r>
          </w:p>
        </w:tc>
        <w:tc>
          <w:tcPr/>
          <w:p>
            <w:pPr>
              <w:pStyle w:val="Compact"/>
              <w:jc w:val="left"/>
            </w:pPr>
            <w:r>
              <w:t xml:space="preserve">&lt; 0.60</w:t>
            </w:r>
          </w:p>
        </w:tc>
        <w:tc>
          <w:tcPr/>
          <w:p>
            <w:pPr>
              <w:pStyle w:val="Compact"/>
              <w:jc w:val="left"/>
            </w:pPr>
            <w:r>
              <w:t xml:space="preserve">No sufficient match found. Create a new entity with a new UEID. Link all incoming signals to this new entity.</w:t>
            </w:r>
          </w:p>
        </w:tc>
      </w:tr>
    </w:tbl>
    <w:p>
      <w:pPr>
        <w:pStyle w:val="BodyText"/>
      </w:pPr>
      <w:r>
        <w:rPr>
          <w:bCs/>
          <w:b/>
        </w:rPr>
        <w:t xml:space="preserve">I01-FR-012</w:t>
      </w:r>
      <w:r>
        <w:t xml:space="preserve"> </w:t>
      </w:r>
      <w:r>
        <w:t xml:space="preserve">Zone thresholds SHALL be configurable per tenant (via F04). Some tenants may prefer lower auto-merge thresholds (more aggressive matching, fewer quarantined records but higher false-positive risk). Others may prefer higher thresholds (conservative matching, more quarantined records but fewer false merges).</w:t>
      </w:r>
    </w:p>
    <w:bookmarkEnd w:id="111"/>
    <w:bookmarkStart w:id="112" w:name="identity-graph-data-model"/>
    <w:p>
      <w:pPr>
        <w:pStyle w:val="Heading3"/>
      </w:pPr>
      <w:r>
        <w:t xml:space="preserve">1.2.3 Identity Graph Data Model</w:t>
      </w:r>
    </w:p>
    <w:p>
      <w:pPr>
        <w:pStyle w:val="FirstParagraph"/>
      </w:pPr>
      <w:r>
        <w:rPr>
          <w:bCs/>
          <w:b/>
        </w:rPr>
        <w:t xml:space="preserve">I01-FR-020</w:t>
      </w:r>
      <w:r>
        <w:t xml:space="preserve"> </w:t>
      </w:r>
      <w:r>
        <w:t xml:space="preserve">The identity graph SHALL be stored in PostgreSQL (Phase 0) using the following tables:</w:t>
      </w:r>
    </w:p>
    <w:tbl>
      <w:tblPr>
        <w:tblStyle w:val="Table"/>
        <w:tblW w:type="pct" w:w="4951"/>
        <w:tblLook w:firstRow="0" w:lastRow="0" w:firstColumn="0" w:lastColumn="0" w:noHBand="0" w:noVBand="0" w:val="0000"/>
        <w:jc w:val="start"/>
      </w:tblPr>
      <w:tblGrid>
        <w:gridCol w:w="884"/>
        <w:gridCol w:w="730"/>
        <w:gridCol w:w="692"/>
        <w:gridCol w:w="5536"/>
      </w:tblGrid>
      <w:tr>
        <w:tc>
          <w:tcPr/>
          <w:p>
            <w:pPr>
              <w:pStyle w:val="Compact"/>
              <w:jc w:val="left"/>
            </w:pPr>
            <w:r>
              <w:rPr>
                <w:bCs/>
                <w:b/>
              </w:rPr>
              <w:t xml:space="preserve">Table</w:t>
            </w:r>
          </w:p>
        </w:tc>
        <w:tc>
          <w:tcPr/>
          <w:p>
            <w:pPr>
              <w:pStyle w:val="Compact"/>
              <w:jc w:val="left"/>
            </w:pPr>
            <w:r>
              <w:rPr>
                <w:bCs/>
                <w:b/>
              </w:rPr>
              <w:t xml:space="preserve">Column</w:t>
            </w:r>
          </w:p>
        </w:tc>
        <w:tc>
          <w:tcPr/>
          <w:p>
            <w:pPr>
              <w:pStyle w:val="Compact"/>
              <w:jc w:val="left"/>
            </w:pPr>
            <w:r>
              <w:rPr>
                <w:bCs/>
                <w:b/>
              </w:rPr>
              <w:t xml:space="preserve">Type</w:t>
            </w:r>
          </w:p>
        </w:tc>
        <w:tc>
          <w:tcPr/>
          <w:p>
            <w:pPr>
              <w:pStyle w:val="Compact"/>
              <w:jc w:val="left"/>
            </w:pPr>
            <w:r>
              <w:rPr>
                <w:bCs/>
                <w:b/>
              </w:rPr>
              <w:t xml:space="preserve">Description</w:t>
            </w:r>
          </w:p>
        </w:tc>
      </w:tr>
      <w:tr>
        <w:tc>
          <w:tcPr/>
          <w:p>
            <w:pPr>
              <w:pStyle w:val="Compact"/>
              <w:jc w:val="left"/>
            </w:pPr>
            <w:r>
              <w:rPr>
                <w:bCs/>
                <w:b/>
              </w:rPr>
              <w:t xml:space="preserve">entities</w:t>
            </w:r>
          </w:p>
        </w:tc>
        <w:tc>
          <w:tcPr/>
          <w:p>
            <w:pPr>
              <w:pStyle w:val="Compact"/>
              <w:jc w:val="left"/>
            </w:pPr>
            <w:r>
              <w:t xml:space="preserve">entity_id (UEID)</w:t>
            </w:r>
          </w:p>
        </w:tc>
        <w:tc>
          <w:tcPr/>
          <w:p>
            <w:pPr>
              <w:pStyle w:val="Compact"/>
              <w:jc w:val="left"/>
            </w:pPr>
            <w:r>
              <w:t xml:space="preserve">UUID (PK)</w:t>
            </w:r>
          </w:p>
        </w:tc>
        <w:tc>
          <w:tcPr/>
          <w:p>
            <w:pPr>
              <w:pStyle w:val="Compact"/>
              <w:jc w:val="left"/>
            </w:pPr>
            <w:r>
              <w:t xml:space="preserve">The Universal Entity ID. Globally unique across the platform. Immutable once created.</w:t>
            </w:r>
          </w:p>
        </w:tc>
      </w:tr>
      <w:tr>
        <w:tc>
          <w:tcPr/>
          <w:p>
            <w:pPr>
              <w:pStyle w:val="Compact"/>
            </w:pPr>
          </w:p>
        </w:tc>
        <w:tc>
          <w:tcPr/>
          <w:p>
            <w:pPr>
              <w:pStyle w:val="Compact"/>
              <w:jc w:val="left"/>
            </w:pPr>
            <w:r>
              <w:t xml:space="preserve">tenant_id</w:t>
            </w:r>
          </w:p>
        </w:tc>
        <w:tc>
          <w:tcPr/>
          <w:p>
            <w:pPr>
              <w:pStyle w:val="Compact"/>
              <w:jc w:val="left"/>
            </w:pPr>
            <w:r>
              <w:t xml:space="preserve">UUID (FK)</w:t>
            </w:r>
          </w:p>
        </w:tc>
        <w:tc>
          <w:tcPr/>
          <w:p>
            <w:pPr>
              <w:pStyle w:val="Compact"/>
              <w:jc w:val="left"/>
            </w:pPr>
            <w:r>
              <w:t xml:space="preserve">Tenant scope. RLS-enforced.</w:t>
            </w:r>
          </w:p>
        </w:tc>
      </w:tr>
      <w:tr>
        <w:tc>
          <w:tcPr/>
          <w:p>
            <w:pPr>
              <w:pStyle w:val="Compact"/>
            </w:pPr>
          </w:p>
        </w:tc>
        <w:tc>
          <w:tcPr/>
          <w:p>
            <w:pPr>
              <w:pStyle w:val="Compact"/>
              <w:jc w:val="left"/>
            </w:pPr>
            <w:r>
              <w:t xml:space="preserve">entity_type</w:t>
            </w:r>
          </w:p>
        </w:tc>
        <w:tc>
          <w:tcPr/>
          <w:p>
            <w:pPr>
              <w:pStyle w:val="Compact"/>
              <w:jc w:val="left"/>
            </w:pPr>
            <w:r>
              <w:t xml:space="preserve">ENUM</w:t>
            </w:r>
          </w:p>
        </w:tc>
        <w:tc>
          <w:tcPr/>
          <w:p>
            <w:pPr>
              <w:pStyle w:val="Compact"/>
              <w:jc w:val="left"/>
            </w:pPr>
            <w:r>
              <w:t xml:space="preserve">PERSON, ORGANISATION, DEVICE, UNKNOWN.</w:t>
            </w:r>
          </w:p>
        </w:tc>
      </w:tr>
      <w:tr>
        <w:tc>
          <w:tcPr/>
          <w:p>
            <w:pPr>
              <w:pStyle w:val="Compact"/>
            </w:pPr>
          </w:p>
        </w:tc>
        <w:tc>
          <w:tcPr/>
          <w:p>
            <w:pPr>
              <w:pStyle w:val="Compact"/>
              <w:jc w:val="left"/>
            </w:pPr>
            <w:r>
              <w:t xml:space="preserve">status</w:t>
            </w:r>
          </w:p>
        </w:tc>
        <w:tc>
          <w:tcPr/>
          <w:p>
            <w:pPr>
              <w:pStyle w:val="Compact"/>
              <w:jc w:val="left"/>
            </w:pPr>
            <w:r>
              <w:t xml:space="preserve">ENUM</w:t>
            </w:r>
          </w:p>
        </w:tc>
        <w:tc>
          <w:tcPr/>
          <w:p>
            <w:pPr>
              <w:pStyle w:val="Compact"/>
              <w:jc w:val="left"/>
            </w:pPr>
            <w:r>
              <w:t xml:space="preserve">ACTIVE, MERGED (this entity was merged into another), DELETED (erasure).</w:t>
            </w:r>
          </w:p>
        </w:tc>
      </w:tr>
      <w:tr>
        <w:tc>
          <w:tcPr/>
          <w:p>
            <w:pPr>
              <w:pStyle w:val="Compact"/>
            </w:pPr>
          </w:p>
        </w:tc>
        <w:tc>
          <w:tcPr/>
          <w:p>
            <w:pPr>
              <w:pStyle w:val="Compact"/>
              <w:jc w:val="left"/>
            </w:pPr>
            <w:r>
              <w:t xml:space="preserve">merged_into</w:t>
            </w:r>
          </w:p>
        </w:tc>
        <w:tc>
          <w:tcPr/>
          <w:p>
            <w:pPr>
              <w:pStyle w:val="Compact"/>
              <w:jc w:val="left"/>
            </w:pPr>
            <w:r>
              <w:t xml:space="preserve">UUID</w:t>
            </w:r>
          </w:p>
        </w:tc>
        <w:tc>
          <w:tcPr/>
          <w:p>
            <w:pPr>
              <w:pStyle w:val="Compact"/>
              <w:jc w:val="left"/>
            </w:pPr>
            <w:r>
              <w:t xml:space="preserve">If status=MERGED: the surviving entity’s UEID.</w:t>
            </w:r>
          </w:p>
        </w:tc>
      </w:tr>
      <w:tr>
        <w:tc>
          <w:tcPr/>
          <w:p>
            <w:pPr>
              <w:pStyle w:val="Compact"/>
            </w:pPr>
          </w:p>
        </w:tc>
        <w:tc>
          <w:tcPr/>
          <w:p>
            <w:pPr>
              <w:pStyle w:val="Compact"/>
              <w:jc w:val="left"/>
            </w:pPr>
            <w:r>
              <w:t xml:space="preserve">created_at</w:t>
            </w:r>
          </w:p>
        </w:tc>
        <w:tc>
          <w:tcPr/>
          <w:p>
            <w:pPr>
              <w:pStyle w:val="Compact"/>
              <w:jc w:val="left"/>
            </w:pPr>
            <w:r>
              <w:t xml:space="preserve">TIMESTAMPTZ</w:t>
            </w:r>
          </w:p>
        </w:tc>
        <w:tc>
          <w:tcPr/>
          <w:p>
            <w:pPr>
              <w:pStyle w:val="Compact"/>
              <w:jc w:val="left"/>
            </w:pPr>
            <w:r>
              <w:t xml:space="preserve">Entity creation timestamp.</w:t>
            </w:r>
          </w:p>
        </w:tc>
      </w:tr>
      <w:tr>
        <w:tc>
          <w:tcPr/>
          <w:p>
            <w:pPr>
              <w:pStyle w:val="Compact"/>
            </w:pPr>
          </w:p>
        </w:tc>
        <w:tc>
          <w:tcPr/>
          <w:p>
            <w:pPr>
              <w:pStyle w:val="Compact"/>
              <w:jc w:val="left"/>
            </w:pPr>
            <w:r>
              <w:t xml:space="preserve">confidence</w:t>
            </w:r>
          </w:p>
        </w:tc>
        <w:tc>
          <w:tcPr/>
          <w:p>
            <w:pPr>
              <w:pStyle w:val="Compact"/>
              <w:jc w:val="left"/>
            </w:pPr>
            <w:r>
              <w:t xml:space="preserve">NUMERIC(5,4)</w:t>
            </w:r>
          </w:p>
        </w:tc>
        <w:tc>
          <w:tcPr/>
          <w:p>
            <w:pPr>
              <w:pStyle w:val="Compact"/>
              <w:jc w:val="left"/>
            </w:pPr>
            <w:r>
              <w:t xml:space="preserve">Overall entity confidence: weighted average of contributing signal match scores.</w:t>
            </w:r>
          </w:p>
        </w:tc>
      </w:tr>
      <w:tr>
        <w:tc>
          <w:tcPr/>
          <w:p>
            <w:pPr>
              <w:pStyle w:val="Compact"/>
            </w:pPr>
          </w:p>
        </w:tc>
        <w:tc>
          <w:tcPr/>
          <w:p>
            <w:pPr>
              <w:pStyle w:val="Compact"/>
              <w:jc w:val="left"/>
            </w:pPr>
            <w:r>
              <w:t xml:space="preserve">signal_count</w:t>
            </w:r>
          </w:p>
        </w:tc>
        <w:tc>
          <w:tcPr/>
          <w:p>
            <w:pPr>
              <w:pStyle w:val="Compact"/>
              <w:jc w:val="left"/>
            </w:pPr>
            <w:r>
              <w:t xml:space="preserve">INT</w:t>
            </w:r>
          </w:p>
        </w:tc>
        <w:tc>
          <w:tcPr/>
          <w:p>
            <w:pPr>
              <w:pStyle w:val="Compact"/>
              <w:jc w:val="left"/>
            </w:pPr>
            <w:r>
              <w:t xml:space="preserve">Number of distinct identity signals linked to this entity.</w:t>
            </w:r>
          </w:p>
        </w:tc>
      </w:tr>
      <w:tr>
        <w:tc>
          <w:tcPr/>
          <w:p>
            <w:pPr>
              <w:pStyle w:val="Compact"/>
              <w:jc w:val="left"/>
            </w:pPr>
            <w:r>
              <w:rPr>
                <w:bCs/>
                <w:b/>
              </w:rPr>
              <w:t xml:space="preserve">identity_signals</w:t>
            </w:r>
          </w:p>
        </w:tc>
        <w:tc>
          <w:tcPr/>
          <w:p>
            <w:pPr>
              <w:pStyle w:val="Compact"/>
              <w:jc w:val="left"/>
            </w:pPr>
            <w:r>
              <w:t xml:space="preserve">signal_id</w:t>
            </w:r>
          </w:p>
        </w:tc>
        <w:tc>
          <w:tcPr/>
          <w:p>
            <w:pPr>
              <w:pStyle w:val="Compact"/>
              <w:jc w:val="left"/>
            </w:pPr>
            <w:r>
              <w:t xml:space="preserve">UUID (PK)</w:t>
            </w:r>
          </w:p>
        </w:tc>
        <w:tc>
          <w:tcPr/>
          <w:p>
            <w:pPr>
              <w:pStyle w:val="Compact"/>
              <w:jc w:val="left"/>
            </w:pPr>
            <w:r>
              <w:t xml:space="preserve">Unique signal record identifier.</w:t>
            </w:r>
          </w:p>
        </w:tc>
      </w:tr>
      <w:tr>
        <w:tc>
          <w:tcPr/>
          <w:p>
            <w:pPr>
              <w:pStyle w:val="Compact"/>
            </w:pPr>
          </w:p>
        </w:tc>
        <w:tc>
          <w:tcPr/>
          <w:p>
            <w:pPr>
              <w:pStyle w:val="Compact"/>
              <w:jc w:val="left"/>
            </w:pPr>
            <w:r>
              <w:t xml:space="preserve">entity_id</w:t>
            </w:r>
          </w:p>
        </w:tc>
        <w:tc>
          <w:tcPr/>
          <w:p>
            <w:pPr>
              <w:pStyle w:val="Compact"/>
              <w:jc w:val="left"/>
            </w:pPr>
            <w:r>
              <w:t xml:space="preserve">UUID (FK)</w:t>
            </w:r>
          </w:p>
        </w:tc>
        <w:tc>
          <w:tcPr/>
          <w:p>
            <w:pPr>
              <w:pStyle w:val="Compact"/>
              <w:jc w:val="left"/>
            </w:pPr>
            <w:r>
              <w:t xml:space="preserve">The UEID this signal is linked to.</w:t>
            </w:r>
          </w:p>
        </w:tc>
      </w:tr>
      <w:tr>
        <w:tc>
          <w:tcPr/>
          <w:p>
            <w:pPr>
              <w:pStyle w:val="Compact"/>
            </w:pPr>
          </w:p>
        </w:tc>
        <w:tc>
          <w:tcPr/>
          <w:p>
            <w:pPr>
              <w:pStyle w:val="Compact"/>
              <w:jc w:val="left"/>
            </w:pPr>
            <w:r>
              <w:t xml:space="preserve">tenant_id</w:t>
            </w:r>
          </w:p>
        </w:tc>
        <w:tc>
          <w:tcPr/>
          <w:p>
            <w:pPr>
              <w:pStyle w:val="Compact"/>
              <w:jc w:val="left"/>
            </w:pPr>
            <w:r>
              <w:t xml:space="preserve">UUID (FK)</w:t>
            </w:r>
          </w:p>
        </w:tc>
        <w:tc>
          <w:tcPr/>
          <w:p>
            <w:pPr>
              <w:pStyle w:val="Compact"/>
              <w:jc w:val="left"/>
            </w:pPr>
            <w:r>
              <w:t xml:space="preserve">Tenant scope. RLS-enforced.</w:t>
            </w:r>
          </w:p>
        </w:tc>
      </w:tr>
      <w:tr>
        <w:tc>
          <w:tcPr/>
          <w:p>
            <w:pPr>
              <w:pStyle w:val="Compact"/>
            </w:pPr>
          </w:p>
        </w:tc>
        <w:tc>
          <w:tcPr/>
          <w:p>
            <w:pPr>
              <w:pStyle w:val="Compact"/>
              <w:jc w:val="left"/>
            </w:pPr>
            <w:r>
              <w:t xml:space="preserve">signal_type</w:t>
            </w:r>
          </w:p>
        </w:tc>
        <w:tc>
          <w:tcPr/>
          <w:p>
            <w:pPr>
              <w:pStyle w:val="Compact"/>
              <w:jc w:val="left"/>
            </w:pPr>
            <w:r>
              <w:t xml:space="preserve">ENUM</w:t>
            </w:r>
          </w:p>
        </w:tc>
        <w:tc>
          <w:tcPr/>
          <w:p>
            <w:pPr>
              <w:pStyle w:val="Compact"/>
              <w:jc w:val="left"/>
            </w:pPr>
            <w:r>
              <w:t xml:space="preserve">PHONE, EMAIL, LOYALTY_CARD, ECOM_ACCOUNT, NAME, DOB, ADDRESS, DEVICE_FINGERPRINT, FACE_EMBEDDING_REF.</w:t>
            </w:r>
          </w:p>
        </w:tc>
      </w:tr>
      <w:tr>
        <w:tc>
          <w:tcPr/>
          <w:p>
            <w:pPr>
              <w:pStyle w:val="Compact"/>
            </w:pPr>
          </w:p>
        </w:tc>
        <w:tc>
          <w:tcPr/>
          <w:p>
            <w:pPr>
              <w:pStyle w:val="Compact"/>
              <w:jc w:val="left"/>
            </w:pPr>
            <w:r>
              <w:t xml:space="preserve">signal_value</w:t>
            </w:r>
          </w:p>
        </w:tc>
        <w:tc>
          <w:tcPr/>
          <w:p>
            <w:pPr>
              <w:pStyle w:val="Compact"/>
              <w:jc w:val="left"/>
            </w:pPr>
            <w:r>
              <w:t xml:space="preserve">VARCHAR</w:t>
            </w:r>
          </w:p>
        </w:tc>
        <w:tc>
          <w:tcPr/>
          <w:p>
            <w:pPr>
              <w:pStyle w:val="Compact"/>
              <w:jc w:val="left"/>
            </w:pPr>
            <w:r>
              <w:t xml:space="preserve">The normalised signal value. For sensitive signals (phone, email): encrypted at rest using tenant DEK (F01). Indexed for exact match lookups.</w:t>
            </w:r>
          </w:p>
        </w:tc>
      </w:tr>
      <w:tr>
        <w:tc>
          <w:tcPr/>
          <w:p>
            <w:pPr>
              <w:pStyle w:val="Compact"/>
            </w:pPr>
          </w:p>
        </w:tc>
        <w:tc>
          <w:tcPr/>
          <w:p>
            <w:pPr>
              <w:pStyle w:val="Compact"/>
              <w:jc w:val="left"/>
            </w:pPr>
            <w:r>
              <w:t xml:space="preserve">signal_hash</w:t>
            </w:r>
          </w:p>
        </w:tc>
        <w:tc>
          <w:tcPr/>
          <w:p>
            <w:pPr>
              <w:pStyle w:val="Compact"/>
              <w:jc w:val="left"/>
            </w:pPr>
            <w:r>
              <w:t xml:space="preserve">VARCHAR(64)</w:t>
            </w:r>
          </w:p>
        </w:tc>
        <w:tc>
          <w:tcPr/>
          <w:p>
            <w:pPr>
              <w:pStyle w:val="Compact"/>
              <w:jc w:val="left"/>
            </w:pPr>
            <w:r>
              <w:t xml:space="preserve">SHA-256 hash of normalised signal value. Used for index lookups without decrypting.</w:t>
            </w:r>
          </w:p>
        </w:tc>
      </w:tr>
      <w:tr>
        <w:tc>
          <w:tcPr/>
          <w:p>
            <w:pPr>
              <w:pStyle w:val="Compact"/>
            </w:pPr>
          </w:p>
        </w:tc>
        <w:tc>
          <w:tcPr/>
          <w:p>
            <w:pPr>
              <w:pStyle w:val="Compact"/>
              <w:jc w:val="left"/>
            </w:pPr>
            <w:r>
              <w:t xml:space="preserve">source_system</w:t>
            </w:r>
          </w:p>
        </w:tc>
        <w:tc>
          <w:tcPr/>
          <w:p>
            <w:pPr>
              <w:pStyle w:val="Compact"/>
              <w:jc w:val="left"/>
            </w:pPr>
            <w:r>
              <w:t xml:space="preserve">VARCHAR</w:t>
            </w:r>
          </w:p>
        </w:tc>
        <w:tc>
          <w:tcPr/>
          <w:p>
            <w:pPr>
              <w:pStyle w:val="Compact"/>
              <w:jc w:val="left"/>
            </w:pPr>
            <w:r>
              <w:t xml:space="preserve">Which source system contributed this signal (e.g.,</w:t>
            </w:r>
            <w:r>
              <w:t xml:space="preserve"> </w:t>
            </w:r>
            <w:r>
              <w:t xml:space="preserve">‘</w:t>
            </w:r>
            <w:r>
              <w:t xml:space="preserve">pos_retailpro</w:t>
            </w:r>
            <w:r>
              <w:t xml:space="preserve">’</w:t>
            </w:r>
            <w:r>
              <w:t xml:space="preserve">,</w:t>
            </w:r>
            <w:r>
              <w:t xml:space="preserve"> </w:t>
            </w:r>
            <w:r>
              <w:t xml:space="preserve">‘</w:t>
            </w:r>
            <w:r>
              <w:t xml:space="preserve">crm_salesforce</w:t>
            </w:r>
            <w:r>
              <w:t xml:space="preserve">’</w:t>
            </w:r>
            <w:r>
              <w:t xml:space="preserve">,</w:t>
            </w:r>
            <w:r>
              <w:t xml:space="preserve"> </w:t>
            </w:r>
            <w:r>
              <w:t xml:space="preserve">‘</w:t>
            </w:r>
            <w:r>
              <w:t xml:space="preserve">ecom_shopify</w:t>
            </w:r>
            <w:r>
              <w:t xml:space="preserve">’</w:t>
            </w:r>
            <w:r>
              <w:t xml:space="preserve">).</w:t>
            </w:r>
          </w:p>
        </w:tc>
      </w:tr>
      <w:tr>
        <w:tc>
          <w:tcPr/>
          <w:p>
            <w:pPr>
              <w:pStyle w:val="Compact"/>
            </w:pPr>
          </w:p>
        </w:tc>
        <w:tc>
          <w:tcPr/>
          <w:p>
            <w:pPr>
              <w:pStyle w:val="Compact"/>
              <w:jc w:val="left"/>
            </w:pPr>
            <w:r>
              <w:t xml:space="preserve">first_seen_at</w:t>
            </w:r>
          </w:p>
        </w:tc>
        <w:tc>
          <w:tcPr/>
          <w:p>
            <w:pPr>
              <w:pStyle w:val="Compact"/>
              <w:jc w:val="left"/>
            </w:pPr>
            <w:r>
              <w:t xml:space="preserve">TIMESTAMPTZ</w:t>
            </w:r>
          </w:p>
        </w:tc>
        <w:tc>
          <w:tcPr/>
          <w:p>
            <w:pPr>
              <w:pStyle w:val="Compact"/>
              <w:jc w:val="left"/>
            </w:pPr>
            <w:r>
              <w:t xml:space="preserve">When this signal was first associated with this entity.</w:t>
            </w:r>
          </w:p>
        </w:tc>
      </w:tr>
      <w:tr>
        <w:tc>
          <w:tcPr/>
          <w:p>
            <w:pPr>
              <w:pStyle w:val="Compact"/>
            </w:pPr>
          </w:p>
        </w:tc>
        <w:tc>
          <w:tcPr/>
          <w:p>
            <w:pPr>
              <w:pStyle w:val="Compact"/>
              <w:jc w:val="left"/>
            </w:pPr>
            <w:r>
              <w:t xml:space="preserve">last_seen_at</w:t>
            </w:r>
          </w:p>
        </w:tc>
        <w:tc>
          <w:tcPr/>
          <w:p>
            <w:pPr>
              <w:pStyle w:val="Compact"/>
              <w:jc w:val="left"/>
            </w:pPr>
            <w:r>
              <w:t xml:space="preserve">TIMESTAMPTZ</w:t>
            </w:r>
          </w:p>
        </w:tc>
        <w:tc>
          <w:tcPr/>
          <w:p>
            <w:pPr>
              <w:pStyle w:val="Compact"/>
              <w:jc w:val="left"/>
            </w:pPr>
            <w:r>
              <w:t xml:space="preserve">Most recent time this signal was confirmed (e.g., used in a transaction).</w:t>
            </w:r>
          </w:p>
        </w:tc>
      </w:tr>
      <w:tr>
        <w:tc>
          <w:tcPr/>
          <w:p>
            <w:pPr>
              <w:pStyle w:val="Compact"/>
            </w:pPr>
          </w:p>
        </w:tc>
        <w:tc>
          <w:tcPr/>
          <w:p>
            <w:pPr>
              <w:pStyle w:val="Compact"/>
              <w:jc w:val="left"/>
            </w:pPr>
            <w:r>
              <w:t xml:space="preserve">is_verified</w:t>
            </w:r>
          </w:p>
        </w:tc>
        <w:tc>
          <w:tcPr/>
          <w:p>
            <w:pPr>
              <w:pStyle w:val="Compact"/>
              <w:jc w:val="left"/>
            </w:pPr>
            <w:r>
              <w:t xml:space="preserve">BOOLEAN</w:t>
            </w:r>
          </w:p>
        </w:tc>
        <w:tc>
          <w:tcPr/>
          <w:p>
            <w:pPr>
              <w:pStyle w:val="Compact"/>
              <w:jc w:val="left"/>
            </w:pPr>
            <w:r>
              <w:t xml:space="preserve">Whether this signal has been verified (e.g., email confirmed, phone OTP verified). Verified signals get a 10% weight boost.</w:t>
            </w:r>
          </w:p>
        </w:tc>
      </w:tr>
      <w:tr>
        <w:tc>
          <w:tcPr/>
          <w:p>
            <w:pPr>
              <w:pStyle w:val="Compact"/>
              <w:jc w:val="left"/>
            </w:pPr>
            <w:r>
              <w:rPr>
                <w:bCs/>
                <w:b/>
              </w:rPr>
              <w:t xml:space="preserve">resolution_log</w:t>
            </w:r>
          </w:p>
        </w:tc>
        <w:tc>
          <w:tcPr/>
          <w:p>
            <w:pPr>
              <w:pStyle w:val="Compact"/>
              <w:jc w:val="left"/>
            </w:pPr>
            <w:r>
              <w:t xml:space="preserve">log_id</w:t>
            </w:r>
          </w:p>
        </w:tc>
        <w:tc>
          <w:tcPr/>
          <w:p>
            <w:pPr>
              <w:pStyle w:val="Compact"/>
              <w:jc w:val="left"/>
            </w:pPr>
            <w:r>
              <w:t xml:space="preserve">UUID (PK)</w:t>
            </w:r>
          </w:p>
        </w:tc>
        <w:tc>
          <w:tcPr/>
          <w:p>
            <w:pPr>
              <w:pStyle w:val="Compact"/>
              <w:jc w:val="left"/>
            </w:pPr>
            <w:r>
              <w:t xml:space="preserve">Audit log of every resolution decision.</w:t>
            </w:r>
          </w:p>
        </w:tc>
      </w:tr>
      <w:tr>
        <w:tc>
          <w:tcPr/>
          <w:p>
            <w:pPr>
              <w:pStyle w:val="Compact"/>
            </w:pPr>
          </w:p>
        </w:tc>
        <w:tc>
          <w:tcPr/>
          <w:p>
            <w:pPr>
              <w:pStyle w:val="Compact"/>
              <w:jc w:val="left"/>
            </w:pPr>
            <w:r>
              <w:t xml:space="preserve">entity_id</w:t>
            </w:r>
          </w:p>
        </w:tc>
        <w:tc>
          <w:tcPr/>
          <w:p>
            <w:pPr>
              <w:pStyle w:val="Compact"/>
              <w:jc w:val="left"/>
            </w:pPr>
            <w:r>
              <w:t xml:space="preserve">UUID (FK)</w:t>
            </w:r>
          </w:p>
        </w:tc>
        <w:tc>
          <w:tcPr/>
          <w:p>
            <w:pPr>
              <w:pStyle w:val="Compact"/>
              <w:jc w:val="left"/>
            </w:pPr>
            <w:r>
              <w:t xml:space="preserve">The entity involved.</w:t>
            </w:r>
          </w:p>
        </w:tc>
      </w:tr>
      <w:tr>
        <w:tc>
          <w:tcPr/>
          <w:p>
            <w:pPr>
              <w:pStyle w:val="Compact"/>
            </w:pPr>
          </w:p>
        </w:tc>
        <w:tc>
          <w:tcPr/>
          <w:p>
            <w:pPr>
              <w:pStyle w:val="Compact"/>
              <w:jc w:val="left"/>
            </w:pPr>
            <w:r>
              <w:t xml:space="preserve">action</w:t>
            </w:r>
          </w:p>
        </w:tc>
        <w:tc>
          <w:tcPr/>
          <w:p>
            <w:pPr>
              <w:pStyle w:val="Compact"/>
              <w:jc w:val="left"/>
            </w:pPr>
            <w:r>
              <w:t xml:space="preserve">ENUM</w:t>
            </w:r>
          </w:p>
        </w:tc>
        <w:tc>
          <w:tcPr/>
          <w:p>
            <w:pPr>
              <w:pStyle w:val="Compact"/>
              <w:jc w:val="left"/>
            </w:pPr>
            <w:r>
              <w:t xml:space="preserve">AUTO_MERGED, QUARANTINED, NEW_ENTITY, HUMAN_MERGED, HUMAN_SPLIT, HUMAN_CONFIRMED.</w:t>
            </w:r>
          </w:p>
        </w:tc>
      </w:tr>
      <w:tr>
        <w:tc>
          <w:tcPr/>
          <w:p>
            <w:pPr>
              <w:pStyle w:val="Compact"/>
            </w:pPr>
          </w:p>
        </w:tc>
        <w:tc>
          <w:tcPr/>
          <w:p>
            <w:pPr>
              <w:pStyle w:val="Compact"/>
              <w:jc w:val="left"/>
            </w:pPr>
            <w:r>
              <w:t xml:space="preserve">match_score</w:t>
            </w:r>
          </w:p>
        </w:tc>
        <w:tc>
          <w:tcPr/>
          <w:p>
            <w:pPr>
              <w:pStyle w:val="Compact"/>
              <w:jc w:val="left"/>
            </w:pPr>
            <w:r>
              <w:t xml:space="preserve">NUMERIC(5,4)</w:t>
            </w:r>
          </w:p>
        </w:tc>
        <w:tc>
          <w:tcPr/>
          <w:p>
            <w:pPr>
              <w:pStyle w:val="Compact"/>
              <w:jc w:val="left"/>
            </w:pPr>
            <w:r>
              <w:t xml:space="preserve">The computed match score that triggered this action.</w:t>
            </w:r>
          </w:p>
        </w:tc>
      </w:tr>
      <w:tr>
        <w:tc>
          <w:tcPr/>
          <w:p>
            <w:pPr>
              <w:pStyle w:val="Compact"/>
            </w:pPr>
          </w:p>
        </w:tc>
        <w:tc>
          <w:tcPr/>
          <w:p>
            <w:pPr>
              <w:pStyle w:val="Compact"/>
              <w:jc w:val="left"/>
            </w:pPr>
            <w:r>
              <w:t xml:space="preserve">matched_against</w:t>
            </w:r>
          </w:p>
        </w:tc>
        <w:tc>
          <w:tcPr/>
          <w:p>
            <w:pPr>
              <w:pStyle w:val="Compact"/>
              <w:jc w:val="left"/>
            </w:pPr>
            <w:r>
              <w:t xml:space="preserve">UUID</w:t>
            </w:r>
          </w:p>
        </w:tc>
        <w:tc>
          <w:tcPr/>
          <w:p>
            <w:pPr>
              <w:pStyle w:val="Compact"/>
              <w:jc w:val="left"/>
            </w:pPr>
            <w:r>
              <w:t xml:space="preserve">For merges: the other entity ID involved.</w:t>
            </w:r>
          </w:p>
        </w:tc>
      </w:tr>
      <w:tr>
        <w:tc>
          <w:tcPr/>
          <w:p>
            <w:pPr>
              <w:pStyle w:val="Compact"/>
            </w:pPr>
          </w:p>
        </w:tc>
        <w:tc>
          <w:tcPr/>
          <w:p>
            <w:pPr>
              <w:pStyle w:val="Compact"/>
              <w:jc w:val="left"/>
            </w:pPr>
            <w:r>
              <w:t xml:space="preserve">signals_compared</w:t>
            </w:r>
          </w:p>
        </w:tc>
        <w:tc>
          <w:tcPr/>
          <w:p>
            <w:pPr>
              <w:pStyle w:val="Compact"/>
              <w:jc w:val="left"/>
            </w:pPr>
            <w:r>
              <w:t xml:space="preserve">JSONB</w:t>
            </w:r>
          </w:p>
        </w:tc>
        <w:tc>
          <w:tcPr/>
          <w:p>
            <w:pPr>
              <w:pStyle w:val="Compact"/>
              <w:jc w:val="left"/>
            </w:pPr>
            <w:r>
              <w:t xml:space="preserve">Which signals were compared and their individual match scores. Full audit trail for forensic analysis.</w:t>
            </w:r>
          </w:p>
        </w:tc>
      </w:tr>
      <w:tr>
        <w:tc>
          <w:tcPr/>
          <w:p>
            <w:pPr>
              <w:pStyle w:val="Compact"/>
            </w:pPr>
          </w:p>
        </w:tc>
        <w:tc>
          <w:tcPr/>
          <w:p>
            <w:pPr>
              <w:pStyle w:val="Compact"/>
              <w:jc w:val="left"/>
            </w:pPr>
            <w:r>
              <w:t xml:space="preserve">decided_by</w:t>
            </w:r>
          </w:p>
        </w:tc>
        <w:tc>
          <w:tcPr/>
          <w:p>
            <w:pPr>
              <w:pStyle w:val="Compact"/>
              <w:jc w:val="left"/>
            </w:pPr>
            <w:r>
              <w:t xml:space="preserve">UUID /</w:t>
            </w:r>
            <w:r>
              <w:t xml:space="preserve"> </w:t>
            </w:r>
            <w:r>
              <w:t xml:space="preserve">‘</w:t>
            </w:r>
            <w:r>
              <w:t xml:space="preserve">SYSTEM</w:t>
            </w:r>
            <w:r>
              <w:t xml:space="preserve">’</w:t>
            </w:r>
          </w:p>
        </w:tc>
        <w:tc>
          <w:tcPr/>
          <w:p>
            <w:pPr>
              <w:pStyle w:val="Compact"/>
              <w:jc w:val="left"/>
            </w:pPr>
            <w:r>
              <w:t xml:space="preserve">User ID (for human decisions) or</w:t>
            </w:r>
            <w:r>
              <w:t xml:space="preserve"> </w:t>
            </w:r>
            <w:r>
              <w:t xml:space="preserve">‘</w:t>
            </w:r>
            <w:r>
              <w:t xml:space="preserve">SYSTEM</w:t>
            </w:r>
            <w:r>
              <w:t xml:space="preserve">’</w:t>
            </w:r>
            <w:r>
              <w:t xml:space="preserve"> </w:t>
            </w:r>
            <w:r>
              <w:t xml:space="preserve">(for auto-merge/new-entity).</w:t>
            </w:r>
          </w:p>
        </w:tc>
      </w:tr>
      <w:tr>
        <w:tc>
          <w:tcPr/>
          <w:p>
            <w:pPr>
              <w:pStyle w:val="Compact"/>
            </w:pPr>
          </w:p>
        </w:tc>
        <w:tc>
          <w:tcPr/>
          <w:p>
            <w:pPr>
              <w:pStyle w:val="Compact"/>
              <w:jc w:val="left"/>
            </w:pPr>
            <w:r>
              <w:t xml:space="preserve">decided_at</w:t>
            </w:r>
          </w:p>
        </w:tc>
        <w:tc>
          <w:tcPr/>
          <w:p>
            <w:pPr>
              <w:pStyle w:val="Compact"/>
              <w:jc w:val="left"/>
            </w:pPr>
            <w:r>
              <w:t xml:space="preserve">TIMESTAMPTZ</w:t>
            </w:r>
          </w:p>
        </w:tc>
        <w:tc>
          <w:tcPr/>
          <w:p>
            <w:pPr>
              <w:pStyle w:val="Compact"/>
              <w:jc w:val="left"/>
            </w:pPr>
            <w:r>
              <w:t xml:space="preserve">Decision timestamp.</w:t>
            </w:r>
          </w:p>
        </w:tc>
      </w:tr>
    </w:tbl>
    <w:bookmarkEnd w:id="112"/>
    <w:bookmarkStart w:id="113" w:name="merge-and-split-operations"/>
    <w:p>
      <w:pPr>
        <w:pStyle w:val="Heading3"/>
      </w:pPr>
      <w:r>
        <w:t xml:space="preserve">1.2.4 Merge and Split Operations</w:t>
      </w:r>
    </w:p>
    <w:p>
      <w:pPr>
        <w:pStyle w:val="FirstParagraph"/>
      </w:pPr>
      <w:r>
        <w:rPr>
          <w:bCs/>
          <w:b/>
        </w:rPr>
        <w:t xml:space="preserve">I01-FR-030</w:t>
      </w:r>
      <w:r>
        <w:t xml:space="preserve"> </w:t>
      </w:r>
      <w:r>
        <w:t xml:space="preserve">MERGE: When two entities are determined to be the same person (auto or human), the SIR SHALL: (a) designate one as the surviving entity (the one with more signals or higher confidence), (b) move all identity_signals from the non-surviving entity to the surviving entity, (c) set the non-surviving entity’s status to MERGED with merged_into pointing to the survivor, (d) update all references in the Silver layer (D01) — all Events, Observations, Relationships that referenced the non-surviving entity_id are updated to the surviving entity_id, (e) log the merge in resolution_log with full signal comparison details, (f) recalculate the surviving entity’s confidence score based on the combined signals.</w:t>
      </w:r>
    </w:p>
    <w:p>
      <w:pPr>
        <w:pStyle w:val="BodyText"/>
      </w:pPr>
      <w:r>
        <w:rPr>
          <w:bCs/>
          <w:b/>
        </w:rPr>
        <w:t xml:space="preserve">I01-FR-031</w:t>
      </w:r>
      <w:r>
        <w:t xml:space="preserve"> </w:t>
      </w:r>
      <w:r>
        <w:t xml:space="preserve">SPLIT: When a Data Steward determines two records were incorrectly merged (a false positive merge), the SIR SHALL: (a) create a new entity with a new UEID, (b) move the appropriate signals from the incorrectly merged entity to the new entity (Data Steward selects which signals belong to which entity), (c) update Silver layer references — Events associated with the moved signals are reassigned to the new entity, (d) log the split in resolution_log, (e) recalculate confidence scores for both entities.</w:t>
      </w:r>
    </w:p>
    <w:p>
      <w:pPr>
        <w:pStyle w:val="BodyText"/>
      </w:pPr>
      <w:r>
        <w:rPr>
          <w:bCs/>
          <w:b/>
        </w:rPr>
        <w:t xml:space="preserve">I01-FR-032</w:t>
      </w:r>
      <w:r>
        <w:t xml:space="preserve"> </w:t>
      </w:r>
      <w:r>
        <w:t xml:space="preserve">Both merge and split operations SHALL be bi-temporal (F03): the merge/split is recorded with a valid_from timestamp. Historical queries for dates before the merge/split return the pre-merge/pre-split entity state. This ensures historical analytics are not retroactively distorted by identity corrections.</w:t>
      </w:r>
    </w:p>
    <w:bookmarkEnd w:id="113"/>
    <w:bookmarkStart w:id="114" w:name="resolution-performance-requirements"/>
    <w:p>
      <w:pPr>
        <w:pStyle w:val="Heading3"/>
      </w:pPr>
      <w:r>
        <w:t xml:space="preserve">1.2.5 Resolution Performance Requirements</w:t>
      </w:r>
    </w:p>
    <w:tbl>
      <w:tblPr>
        <w:tblStyle w:val="Table"/>
        <w:tblW w:type="pct" w:w="4955"/>
        <w:tblLook w:firstRow="0" w:lastRow="0" w:firstColumn="0" w:lastColumn="0" w:noHBand="0" w:noVBand="0" w:val="0000"/>
        <w:jc w:val="start"/>
      </w:tblPr>
      <w:tblGrid>
        <w:gridCol w:w="1378"/>
        <w:gridCol w:w="1343"/>
        <w:gridCol w:w="5126"/>
      </w:tblGrid>
      <w:tr>
        <w:tc>
          <w:tcPr/>
          <w:p>
            <w:pPr>
              <w:pStyle w:val="Compact"/>
              <w:jc w:val="left"/>
            </w:pPr>
            <w:r>
              <w:rPr>
                <w:bCs/>
                <w:b/>
              </w:rPr>
              <w:t xml:space="preserve">Requirement</w:t>
            </w:r>
          </w:p>
        </w:tc>
        <w:tc>
          <w:tcPr/>
          <w:p>
            <w:pPr>
              <w:pStyle w:val="Compact"/>
              <w:jc w:val="left"/>
            </w:pPr>
            <w:r>
              <w:rPr>
                <w:bCs/>
                <w:b/>
              </w:rPr>
              <w:t xml:space="preserve">Target</w:t>
            </w:r>
          </w:p>
        </w:tc>
        <w:tc>
          <w:tcPr/>
          <w:p>
            <w:pPr>
              <w:pStyle w:val="Compact"/>
              <w:jc w:val="left"/>
            </w:pPr>
            <w:r>
              <w:rPr>
                <w:bCs/>
                <w:b/>
              </w:rPr>
              <w:t xml:space="preserve">Method</w:t>
            </w:r>
          </w:p>
        </w:tc>
      </w:tr>
      <w:tr>
        <w:tc>
          <w:tcPr/>
          <w:p>
            <w:pPr>
              <w:pStyle w:val="Compact"/>
              <w:jc w:val="left"/>
            </w:pPr>
            <w:r>
              <w:rPr>
                <w:bCs/>
                <w:b/>
              </w:rPr>
              <w:t xml:space="preserve">Single-record resolution latency</w:t>
            </w:r>
          </w:p>
        </w:tc>
        <w:tc>
          <w:tcPr/>
          <w:p>
            <w:pPr>
              <w:pStyle w:val="Compact"/>
              <w:jc w:val="left"/>
            </w:pPr>
            <w:r>
              <w:t xml:space="preserve">&lt; 50ms (p95)</w:t>
            </w:r>
          </w:p>
        </w:tc>
        <w:tc>
          <w:tcPr/>
          <w:p>
            <w:pPr>
              <w:pStyle w:val="Compact"/>
              <w:jc w:val="left"/>
            </w:pPr>
            <w:r>
              <w:t xml:space="preserve">Candidate retrieval via signal_hash index. Score computation in application layer. Pre-filter candidates by tenant_id + signal_type.</w:t>
            </w:r>
          </w:p>
        </w:tc>
      </w:tr>
      <w:tr>
        <w:tc>
          <w:tcPr/>
          <w:p>
            <w:pPr>
              <w:pStyle w:val="Compact"/>
              <w:jc w:val="left"/>
            </w:pPr>
            <w:r>
              <w:rPr>
                <w:bCs/>
                <w:b/>
              </w:rPr>
              <w:t xml:space="preserve">Batch resolution throughput</w:t>
            </w:r>
          </w:p>
        </w:tc>
        <w:tc>
          <w:tcPr/>
          <w:p>
            <w:pPr>
              <w:pStyle w:val="Compact"/>
              <w:jc w:val="left"/>
            </w:pPr>
            <w:r>
              <w:t xml:space="preserve">&gt; 5,000 records/second</w:t>
            </w:r>
          </w:p>
        </w:tc>
        <w:tc>
          <w:tcPr/>
          <w:p>
            <w:pPr>
              <w:pStyle w:val="Compact"/>
              <w:jc w:val="left"/>
            </w:pPr>
            <w:r>
              <w:t xml:space="preserve">Parallelised across Pub/Sub consumers. Each consumer resolves independently. Merge conflicts resolved by last-writer-wins with reconciliation.</w:t>
            </w:r>
          </w:p>
        </w:tc>
      </w:tr>
      <w:tr>
        <w:tc>
          <w:tcPr/>
          <w:p>
            <w:pPr>
              <w:pStyle w:val="Compact"/>
              <w:jc w:val="left"/>
            </w:pPr>
            <w:r>
              <w:rPr>
                <w:bCs/>
                <w:b/>
              </w:rPr>
              <w:t xml:space="preserve">Identity graph size per tenant</w:t>
            </w:r>
          </w:p>
        </w:tc>
        <w:tc>
          <w:tcPr/>
          <w:p>
            <w:pPr>
              <w:pStyle w:val="Compact"/>
              <w:jc w:val="left"/>
            </w:pPr>
            <w:r>
              <w:t xml:space="preserve">Up to 10M entities, 50M signals</w:t>
            </w:r>
          </w:p>
        </w:tc>
        <w:tc>
          <w:tcPr/>
          <w:p>
            <w:pPr>
              <w:pStyle w:val="Compact"/>
              <w:jc w:val="left"/>
            </w:pPr>
            <w:r>
              <w:t xml:space="preserve">PostgreSQL with partitioning by tenant_id. Signal_hash index for O(1) lookups. Phase 2: migrate to Neo4j for graph traversal performance.</w:t>
            </w:r>
          </w:p>
        </w:tc>
      </w:tr>
      <w:tr>
        <w:tc>
          <w:tcPr/>
          <w:p>
            <w:pPr>
              <w:pStyle w:val="Compact"/>
              <w:jc w:val="left"/>
            </w:pPr>
            <w:r>
              <w:rPr>
                <w:bCs/>
                <w:b/>
              </w:rPr>
              <w:t xml:space="preserve">False positive merge rate</w:t>
            </w:r>
          </w:p>
        </w:tc>
        <w:tc>
          <w:tcPr/>
          <w:p>
            <w:pPr>
              <w:pStyle w:val="Compact"/>
              <w:jc w:val="left"/>
            </w:pPr>
            <w:r>
              <w:t xml:space="preserve">&lt; 2% (measured by quarterly audit)</w:t>
            </w:r>
          </w:p>
        </w:tc>
        <w:tc>
          <w:tcPr/>
          <w:p>
            <w:pPr>
              <w:pStyle w:val="Compact"/>
              <w:jc w:val="left"/>
            </w:pPr>
            <w:r>
              <w:t xml:space="preserve">Continuous IRQ measurement. Ground-truth sampling of 500 resolutions per tenant per quarter.</w:t>
            </w:r>
          </w:p>
        </w:tc>
      </w:tr>
      <w:tr>
        <w:tc>
          <w:tcPr/>
          <w:p>
            <w:pPr>
              <w:pStyle w:val="Compact"/>
              <w:jc w:val="left"/>
            </w:pPr>
            <w:r>
              <w:rPr>
                <w:bCs/>
                <w:b/>
              </w:rPr>
              <w:t xml:space="preserve">False negative miss rate</w:t>
            </w:r>
          </w:p>
        </w:tc>
        <w:tc>
          <w:tcPr/>
          <w:p>
            <w:pPr>
              <w:pStyle w:val="Compact"/>
              <w:jc w:val="left"/>
            </w:pPr>
            <w:r>
              <w:t xml:space="preserve">&lt; 5%</w:t>
            </w:r>
          </w:p>
        </w:tc>
        <w:tc>
          <w:tcPr/>
          <w:p>
            <w:pPr>
              <w:pStyle w:val="Compact"/>
              <w:jc w:val="left"/>
            </w:pPr>
            <w:r>
              <w:t xml:space="preserve">Same quarterly audit. Higher tolerance than false positives because missed matches can be corrected; false merges corrupt data.</w:t>
            </w:r>
          </w:p>
        </w:tc>
      </w:tr>
    </w:tbl>
    <w:bookmarkEnd w:id="114"/>
    <w:bookmarkStart w:id="115" w:name="cross-channel-resolution-scenarios"/>
    <w:p>
      <w:pPr>
        <w:pStyle w:val="Heading3"/>
      </w:pPr>
      <w:r>
        <w:t xml:space="preserve">1.2.6 Cross-Channel Resolution Scenarios</w:t>
      </w:r>
    </w:p>
    <w:p>
      <w:pPr>
        <w:pStyle w:val="FirstParagraph"/>
      </w:pPr>
      <w:r>
        <w:t xml:space="preserve">The following scenarios SHALL be resolved correctly by I01:</w:t>
      </w:r>
    </w:p>
    <w:p>
      <w:pPr>
        <w:pStyle w:val="BodyText"/>
      </w:pPr>
      <w:r>
        <w:t xml:space="preserve">Scenario 1 — Loyalty customer shops online: POS transaction has loyalty card #12345 and phone +91-98765xxxxx. E-commerce order has email john@example.com and loyalty card #12345. Resolution: loyalty card is an exact match (weight 0.95) → auto-merge. Both transactions linked to the same UEID.</w:t>
      </w:r>
    </w:p>
    <w:p>
      <w:pPr>
        <w:pStyle w:val="BodyText"/>
      </w:pPr>
      <w:r>
        <w:t xml:space="preserve">Scenario 2 — Anonymous walk-in later identifies: First visit is anonymous (no phone, no loyalty). Second visit, customer provides phone +91-98765xxxxx. Third visit, customer enrolls in loyalty. Resolution: visit 1 remains anonymous (separate UEID). Visits 2 and 3 are merged via phone match. Visit 1 cannot be retroactively linked unless additional evidence emerges.</w:t>
      </w:r>
    </w:p>
    <w:p>
      <w:pPr>
        <w:pStyle w:val="BodyText"/>
      </w:pPr>
      <w:r>
        <w:t xml:space="preserve">Scenario 3 — Shared phone number: Husband and wife share a phone number. Husband shops in-store with phone. Wife shops online with same phone but different email and name. Resolution: phone matches (0.90) but name mismatches (0.0) → score likely falls in QUARANTINE zone. Data Steward reviews, creates two separate entities, and marks the phone signal as SHARED (reduces phone weight for these entities in future resolutions).</w:t>
      </w:r>
    </w:p>
    <w:p>
      <w:pPr>
        <w:pStyle w:val="BodyText"/>
      </w:pPr>
      <w:r>
        <w:t xml:space="preserve">Scenario 4 — Name transliteration: CRM has</w:t>
      </w:r>
      <w:r>
        <w:t xml:space="preserve"> </w:t>
      </w:r>
      <w:r>
        <w:t xml:space="preserve">‘</w:t>
      </w:r>
      <w:r>
        <w:t xml:space="preserve">Priya Sharma</w:t>
      </w:r>
      <w:r>
        <w:t xml:space="preserve">’</w:t>
      </w:r>
      <w:r>
        <w:t xml:space="preserve"> </w:t>
      </w:r>
      <w:r>
        <w:t xml:space="preserve">(English). POS has</w:t>
      </w:r>
      <w:r>
        <w:t xml:space="preserve"> </w:t>
      </w:r>
      <w:r>
        <w:t xml:space="preserve">‘</w:t>
      </w:r>
      <w:r>
        <w:t xml:space="preserve">प्रिया शर्मा</w:t>
      </w:r>
      <w:r>
        <w:t xml:space="preserve">’</w:t>
      </w:r>
      <w:r>
        <w:t xml:space="preserve"> </w:t>
      </w:r>
      <w:r>
        <w:t xml:space="preserve">(Hindi). After transliteration normalisation, fuzzy match on name yields 0.95 similarity. Combined with matching phone → auto-merge.</w:t>
      </w:r>
    </w:p>
    <w:p>
      <w:pPr>
        <w:pStyle w:val="BlockText"/>
      </w:pPr>
      <w:r>
        <w:rPr>
          <w:iCs/>
          <w:i/>
        </w:rPr>
        <w:t xml:space="preserve">⚠ QUESTION FOR SEEMA: For Phase 0, should I01 handle organisation-level identity resolution (matching the same retail chain tenant across different system connections), or only person-level resolution? Organisation resolution is simpler but adds scope. My recommendation: person-only for Phase 0, organisation resolution in Phase 1.</w:t>
      </w:r>
    </w:p>
    <w:bookmarkEnd w:id="115"/>
    <w:bookmarkEnd w:id="116"/>
    <w:bookmarkStart w:id="117" w:name="acceptance-criteria-8"/>
    <w:p>
      <w:pPr>
        <w:pStyle w:val="Heading2"/>
      </w:pPr>
      <w:r>
        <w:t xml:space="preserve">1.3 Acceptance Criteria</w:t>
      </w:r>
    </w:p>
    <w:p>
      <w:pPr>
        <w:pStyle w:val="FirstParagraph"/>
      </w:pPr>
      <w:r>
        <w:t xml:space="preserve">A customer with loyalty card in POS and same loyalty card in e-commerce is auto-merged into a single UEID with match score &gt; 0.85.</w:t>
      </w:r>
    </w:p>
    <w:p>
      <w:pPr>
        <w:pStyle w:val="BodyText"/>
      </w:pPr>
      <w:r>
        <w:t xml:space="preserve">A customer with matching phone and email across POS and CRM is auto-merged. All transactions from both sources are linked to the single UEID.</w:t>
      </w:r>
    </w:p>
    <w:p>
      <w:pPr>
        <w:pStyle w:val="BodyText"/>
      </w:pPr>
      <w:r>
        <w:t xml:space="preserve">Shared phone numbers (different names) land in the quarantine queue, not auto-merged.</w:t>
      </w:r>
    </w:p>
    <w:p>
      <w:pPr>
        <w:pStyle w:val="BodyText"/>
      </w:pPr>
      <w:r>
        <w:t xml:space="preserve">A Data Steward can merge two entities from the quarantine queue in &lt;30 seconds via the Entity Resolution Console (S11).</w:t>
      </w:r>
    </w:p>
    <w:p>
      <w:pPr>
        <w:pStyle w:val="BodyText"/>
      </w:pPr>
      <w:r>
        <w:t xml:space="preserve">A Data Steward can split a false-positive merge, and historical analytics for dates before the split correctly show the pre-split entity state.</w:t>
      </w:r>
    </w:p>
    <w:p>
      <w:pPr>
        <w:pStyle w:val="BodyText"/>
      </w:pPr>
      <w:r>
        <w:t xml:space="preserve">Resolution latency for a single POS transaction (with phone + loyalty card signals) is &lt;50ms p95.</w:t>
      </w:r>
    </w:p>
    <w:p>
      <w:pPr>
        <w:pStyle w:val="BodyText"/>
      </w:pPr>
      <w:r>
        <w:t xml:space="preserve">IRQ precision is &gt;0.97 and recall is &gt;0.95 as measured by quarterly ground-truth audit.</w:t>
      </w:r>
    </w:p>
    <w:bookmarkEnd w:id="117"/>
    <w:bookmarkEnd w:id="118"/>
    <w:bookmarkStart w:id="121" w:name="i02-knowledge-graph"/>
    <w:p>
      <w:pPr>
        <w:pStyle w:val="Heading1"/>
      </w:pPr>
      <w:r>
        <w:t xml:space="preserve">I02 — Knowledge Graph</w:t>
      </w:r>
    </w:p>
    <w:tbl>
      <w:tblPr>
        <w:tblStyle w:val="Table"/>
        <w:tblW w:type="pct" w:w="4868"/>
        <w:tblLook w:firstRow="0" w:lastRow="0" w:firstColumn="0" w:lastColumn="0" w:noHBand="0" w:noVBand="0" w:val="0000"/>
        <w:jc w:val="start"/>
      </w:tblPr>
      <w:tblGrid>
        <w:gridCol w:w="2501"/>
        <w:gridCol w:w="5210"/>
      </w:tblGrid>
      <w:t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rPr>
                <w:bCs/>
                <w:b/>
              </w:rPr>
              <w:t xml:space="preserve">Module ID / Phase</w:t>
            </w:r>
          </w:p>
        </w:tc>
        <w:tc>
          <w:tcPr/>
          <w:p>
            <w:pPr>
              <w:pStyle w:val="Compact"/>
              <w:jc w:val="left"/>
            </w:pPr>
            <w:r>
              <w:t xml:space="preserve">I02 / Phase 2</w:t>
            </w:r>
          </w:p>
        </w:tc>
      </w:tr>
      <w:tr>
        <w:tc>
          <w:tcPr/>
          <w:p>
            <w:pPr>
              <w:pStyle w:val="Compact"/>
              <w:jc w:val="left"/>
            </w:pPr>
            <w:r>
              <w:rPr>
                <w:bCs/>
                <w:b/>
              </w:rPr>
              <w:t xml:space="preserve">Dependencies</w:t>
            </w:r>
          </w:p>
        </w:tc>
        <w:tc>
          <w:tcPr/>
          <w:p>
            <w:pPr>
              <w:pStyle w:val="Compact"/>
              <w:jc w:val="left"/>
            </w:pPr>
            <w:r>
              <w:t xml:space="preserve">I01 (SIR), D01 (Canonical Model)</w:t>
            </w:r>
          </w:p>
        </w:tc>
      </w:tr>
    </w:tbl>
    <w:bookmarkStart w:id="119" w:name="purpose-12"/>
    <w:p>
      <w:pPr>
        <w:pStyle w:val="Heading2"/>
      </w:pPr>
      <w:r>
        <w:t xml:space="preserve">2.1 Purpose</w:t>
      </w:r>
    </w:p>
    <w:p>
      <w:pPr>
        <w:pStyle w:val="FirstParagraph"/>
      </w:pPr>
      <w:r>
        <w:t xml:space="preserve">I02 extends I01’s identity graph into a full knowledge graph that captures not just</w:t>
      </w:r>
      <w:r>
        <w:t xml:space="preserve"> </w:t>
      </w:r>
      <w:r>
        <w:t xml:space="preserve">‘</w:t>
      </w:r>
      <w:r>
        <w:t xml:space="preserve">who is this entity</w:t>
      </w:r>
      <w:r>
        <w:t xml:space="preserve">’</w:t>
      </w:r>
      <w:r>
        <w:t xml:space="preserve"> </w:t>
      </w:r>
      <w:r>
        <w:t xml:space="preserve">but the entire web of relationships, patterns, and derived knowledge. In retail: Customer A frequently buys Product B at Store C, usually on weekends, often with Product D (market basket association), and has been influenced by Campaign E.</w:t>
      </w:r>
    </w:p>
    <w:bookmarkEnd w:id="119"/>
    <w:bookmarkStart w:id="120" w:name="key-functional-requirements-4"/>
    <w:p>
      <w:pPr>
        <w:pStyle w:val="Heading2"/>
      </w:pPr>
      <w:r>
        <w:t xml:space="preserve">2.2 Key Functional Requirements</w:t>
      </w:r>
    </w:p>
    <w:p>
      <w:pPr>
        <w:pStyle w:val="FirstParagraph"/>
      </w:pPr>
      <w:r>
        <w:rPr>
          <w:bCs/>
          <w:b/>
        </w:rPr>
        <w:t xml:space="preserve">I02-FR-001</w:t>
      </w:r>
      <w:r>
        <w:t xml:space="preserve"> </w:t>
      </w:r>
      <w:r>
        <w:t xml:space="preserve">The knowledge graph SHALL store typed, weighted, temporal relationships between all canonical entities (D01). Each edge has: source_entity_id, target_entity_id, relationship_type, weight (0-1), valid_from, valid_to, provenance (which algorithm or data source asserted this relationship), confidence (0-1).</w:t>
      </w:r>
    </w:p>
    <w:p>
      <w:pPr>
        <w:pStyle w:val="BodyText"/>
      </w:pPr>
      <w:r>
        <w:rPr>
          <w:bCs/>
          <w:b/>
        </w:rPr>
        <w:t xml:space="preserve">I02-FR-002</w:t>
      </w:r>
      <w:r>
        <w:t xml:space="preserve"> </w:t>
      </w:r>
      <w:r>
        <w:t xml:space="preserve">Phase 0 storage: PostgreSQL adjacency tables (entity_relationships table). Phase 2: migrate to Neo4j Aura for graph traversal performance. The SAL (D06) abstracts this — application code does not change.</w:t>
      </w:r>
    </w:p>
    <w:p>
      <w:pPr>
        <w:pStyle w:val="BodyText"/>
      </w:pPr>
      <w:r>
        <w:rPr>
          <w:bCs/>
          <w:b/>
        </w:rPr>
        <w:t xml:space="preserve">I02-FR-003</w:t>
      </w:r>
      <w:r>
        <w:t xml:space="preserve"> </w:t>
      </w:r>
      <w:r>
        <w:t xml:space="preserve">The knowledge graph SHALL support three relationship sources: (a) EXPLICIT — directly from data (Customer purchased Product), (b) INFERRED — derived by algorithms (Customer is likely interested in Category based on browsing patterns), (c) ONTOLOGICAL — from the industry ontology (Product belongs-to Category, Store located-in City). Inferred relationships carry confidence scores; explicit and ontological relationships have confidence = 1.0.</w:t>
      </w:r>
    </w:p>
    <w:p>
      <w:pPr>
        <w:pStyle w:val="BodyText"/>
      </w:pPr>
      <w:r>
        <w:rPr>
          <w:bCs/>
          <w:b/>
        </w:rPr>
        <w:t xml:space="preserve">I02-FR-004</w:t>
      </w:r>
      <w:r>
        <w:t xml:space="preserve"> </w:t>
      </w:r>
      <w:r>
        <w:t xml:space="preserve">Graph queries SHALL be integrated with the analytical query layer. Example:</w:t>
      </w:r>
      <w:r>
        <w:t xml:space="preserve"> </w:t>
      </w:r>
      <w:r>
        <w:t xml:space="preserve">‘</w:t>
      </w:r>
      <w:r>
        <w:t xml:space="preserve">Show me revenue for customers who are within 2 hops of Customer X in the co-purchase graph</w:t>
      </w:r>
      <w:r>
        <w:t xml:space="preserve">’</w:t>
      </w:r>
      <w:r>
        <w:t xml:space="preserve"> </w:t>
      </w:r>
      <w:r>
        <w:t xml:space="preserve">— this combines graph traversal (I02) with analytical aggregation (Gold layer).</w:t>
      </w:r>
    </w:p>
    <w:p>
      <w:pPr>
        <w:pStyle w:val="BodyText"/>
      </w:pPr>
      <w:r>
        <w:rPr>
          <w:bCs/>
          <w:b/>
        </w:rPr>
        <w:t xml:space="preserve">I02-FR-005</w:t>
      </w:r>
      <w:r>
        <w:t xml:space="preserve"> </w:t>
      </w:r>
      <w:r>
        <w:t xml:space="preserve">The knowledge graph SHALL be tenant-scoped. No graph traversal may cross tenant boundaries. Platform-level ontological relationships (Product belongs-to Category) are shared across tenants; all other relationships are tenant-isolated.</w:t>
      </w:r>
    </w:p>
    <w:bookmarkEnd w:id="120"/>
    <w:bookmarkEnd w:id="121"/>
    <w:bookmarkStart w:id="124" w:name="i03-multi-source-conflict-resolution"/>
    <w:p>
      <w:pPr>
        <w:pStyle w:val="Heading1"/>
      </w:pPr>
      <w:r>
        <w:t xml:space="preserve">I03 — Multi-Source Conflict Resolution</w:t>
      </w:r>
    </w:p>
    <w:tbl>
      <w:tblPr>
        <w:tblStyle w:val="Table"/>
        <w:tblW w:type="pct" w:w="4868"/>
        <w:tblLook w:firstRow="0" w:lastRow="0" w:firstColumn="0" w:lastColumn="0" w:noHBand="0" w:noVBand="0" w:val="0000"/>
        <w:jc w:val="start"/>
      </w:tblPr>
      <w:tblGrid>
        <w:gridCol w:w="2501"/>
        <w:gridCol w:w="5210"/>
      </w:tblGrid>
      <w:t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rPr>
                <w:bCs/>
                <w:b/>
              </w:rPr>
              <w:t xml:space="preserve">Module ID / Phase</w:t>
            </w:r>
          </w:p>
        </w:tc>
        <w:tc>
          <w:tcPr/>
          <w:p>
            <w:pPr>
              <w:pStyle w:val="Compact"/>
              <w:jc w:val="left"/>
            </w:pPr>
            <w:r>
              <w:t xml:space="preserve">I03 / Phase 2</w:t>
            </w:r>
          </w:p>
        </w:tc>
      </w:tr>
      <w:tr>
        <w:tc>
          <w:tcPr/>
          <w:p>
            <w:pPr>
              <w:pStyle w:val="Compact"/>
              <w:jc w:val="left"/>
            </w:pPr>
            <w:r>
              <w:rPr>
                <w:bCs/>
                <w:b/>
              </w:rPr>
              <w:t xml:space="preserve">Dependencies</w:t>
            </w:r>
          </w:p>
        </w:tc>
        <w:tc>
          <w:tcPr/>
          <w:p>
            <w:pPr>
              <w:pStyle w:val="Compact"/>
              <w:jc w:val="left"/>
            </w:pPr>
            <w:r>
              <w:t xml:space="preserve">I01 (SIR), D02 (Mapping Engine)</w:t>
            </w:r>
          </w:p>
        </w:tc>
      </w:tr>
    </w:tbl>
    <w:bookmarkStart w:id="122" w:name="purpose-13"/>
    <w:p>
      <w:pPr>
        <w:pStyle w:val="Heading2"/>
      </w:pPr>
      <w:r>
        <w:t xml:space="preserve">3.1 Purpose</w:t>
      </w:r>
    </w:p>
    <w:p>
      <w:pPr>
        <w:pStyle w:val="FirstParagraph"/>
      </w:pPr>
      <w:r>
        <w:t xml:space="preserve">When multiple sources provide different values for the same entity attribute (CRM says address is Delhi, POS says Mumbai), I03 determines the</w:t>
      </w:r>
      <w:r>
        <w:t xml:space="preserve"> </w:t>
      </w:r>
      <w:r>
        <w:t xml:space="preserve">‘</w:t>
      </w:r>
      <w:r>
        <w:t xml:space="preserve">golden record</w:t>
      </w:r>
      <w:r>
        <w:t xml:space="preserve">’</w:t>
      </w:r>
      <w:r>
        <w:t xml:space="preserve"> </w:t>
      </w:r>
      <w:r>
        <w:t xml:space="preserve">— the single best value to present in the canonical model. This is distinct from I01 (which resolves identity) — I03 resolves attribute-level conflicts once identity is established.</w:t>
      </w:r>
    </w:p>
    <w:bookmarkEnd w:id="122"/>
    <w:bookmarkStart w:id="123" w:name="key-functional-requirements-5"/>
    <w:p>
      <w:pPr>
        <w:pStyle w:val="Heading2"/>
      </w:pPr>
      <w:r>
        <w:t xml:space="preserve">3.2 Key Functional Requirements</w:t>
      </w:r>
    </w:p>
    <w:p>
      <w:pPr>
        <w:pStyle w:val="FirstParagraph"/>
      </w:pPr>
      <w:r>
        <w:rPr>
          <w:bCs/>
          <w:b/>
        </w:rPr>
        <w:t xml:space="preserve">I03-FR-001</w:t>
      </w:r>
      <w:r>
        <w:t xml:space="preserve"> </w:t>
      </w:r>
      <w:r>
        <w:t xml:space="preserve">For each entity attribute, I03 SHALL maintain a Source Authority Hierarchy: an ordered list of sources ranked by trustworthiness for that specific attribute. Example for customer address: 1st = CRM (most recently human-verified), 2nd = E-commerce (self-reported), 3rd = POS (often outdated). Configurable per tenant via F04.</w:t>
      </w:r>
    </w:p>
    <w:p>
      <w:pPr>
        <w:pStyle w:val="BodyText"/>
      </w:pPr>
      <w:r>
        <w:rPr>
          <w:bCs/>
          <w:b/>
        </w:rPr>
        <w:t xml:space="preserve">I03-FR-002</w:t>
      </w:r>
      <w:r>
        <w:t xml:space="preserve"> </w:t>
      </w:r>
      <w:r>
        <w:t xml:space="preserve">Conflict resolution SHALL follow this cascade: (1) Source Authority — highest-ranked source wins, (2) Recency — if same authority rank, most recently updated value wins, (3) Verification Status — human-verified values beat system-ingested values, (4) Quarantine — if resolution is ambiguous after all three, the conflict is flagged for Data Steward review.</w:t>
      </w:r>
    </w:p>
    <w:p>
      <w:pPr>
        <w:pStyle w:val="BodyText"/>
      </w:pPr>
      <w:r>
        <w:rPr>
          <w:bCs/>
          <w:b/>
        </w:rPr>
        <w:t xml:space="preserve">I03-FR-003</w:t>
      </w:r>
      <w:r>
        <w:t xml:space="preserve"> </w:t>
      </w:r>
      <w:r>
        <w:t xml:space="preserve">The golden record SHALL track provenance for every attribute: which source provided the current value, when, and whether it was auto-resolved or human-reviewed. This enables the Data Steward to see</w:t>
      </w:r>
      <w:r>
        <w:t xml:space="preserve"> </w:t>
      </w:r>
      <w:r>
        <w:t xml:space="preserve">‘</w:t>
      </w:r>
      <w:r>
        <w:t xml:space="preserve">address = Delhi (from CRM, verified 2026-03-15)</w:t>
      </w:r>
      <w:r>
        <w:t xml:space="preserve">’</w:t>
      </w:r>
      <w:r>
        <w:t xml:space="preserve"> </w:t>
      </w:r>
      <w:r>
        <w:t xml:space="preserve">vs. </w:t>
      </w:r>
      <w:r>
        <w:t xml:space="preserve">‘</w:t>
      </w:r>
      <w:r>
        <w:t xml:space="preserve">address = Mumbai (from POS, auto-ingested 2026-02-01, overridden by CRM)</w:t>
      </w:r>
      <w:r>
        <w:t xml:space="preserve">’</w:t>
      </w:r>
      <w:r>
        <w:t xml:space="preserve">.</w:t>
      </w:r>
    </w:p>
    <w:p>
      <w:pPr>
        <w:pStyle w:val="BodyText"/>
      </w:pPr>
      <w:r>
        <w:rPr>
          <w:bCs/>
          <w:b/>
        </w:rPr>
        <w:t xml:space="preserve">I03-FR-004</w:t>
      </w:r>
      <w:r>
        <w:t xml:space="preserve"> </w:t>
      </w:r>
      <w:r>
        <w:t xml:space="preserve">The Conflict Dashboard (part of S11 Entity Resolution Console) SHALL show: total active conflicts by severity, top conflicting attributes, top conflicting source pairs, and aging report (conflicts unresolved for &gt;7 days are escalated).</w:t>
      </w:r>
    </w:p>
    <w:p>
      <w:pPr>
        <w:pStyle w:val="BodyText"/>
      </w:pPr>
      <w:r>
        <w:rPr>
          <w:bCs/>
          <w:b/>
        </w:rPr>
        <w:t xml:space="preserve">I03-FR-005</w:t>
      </w:r>
      <w:r>
        <w:t xml:space="preserve"> </w:t>
      </w:r>
      <w:r>
        <w:t xml:space="preserve">When a conflict is resolved (auto or manual), I03 SHALL trigger downstream recomputation: any Gold-layer aggregates or algorithm outputs that used the conflicting attribute are flagged for refresh.</w:t>
      </w:r>
    </w:p>
    <w:bookmarkEnd w:id="123"/>
    <w:bookmarkEnd w:id="124"/>
    <w:bookmarkStart w:id="134" w:name="g01-universal-ingestion-gateway"/>
    <w:p>
      <w:pPr>
        <w:pStyle w:val="Heading1"/>
      </w:pPr>
      <w:r>
        <w:t xml:space="preserve">G01 — Universal Ingestion Gateway</w:t>
      </w:r>
    </w:p>
    <w:tbl>
      <w:tblPr>
        <w:tblStyle w:val="Table"/>
        <w:tblW w:type="pct" w:w="4904"/>
        <w:tblLook w:firstRow="0" w:lastRow="0" w:firstColumn="0" w:lastColumn="0" w:noHBand="0" w:noVBand="0" w:val="0000"/>
        <w:jc w:val="start"/>
      </w:tblPr>
      <w:tblGrid>
        <w:gridCol w:w="1675"/>
        <w:gridCol w:w="6092"/>
      </w:tblGrid>
      <w:t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rPr>
                <w:bCs/>
                <w:b/>
              </w:rPr>
              <w:t xml:space="preserve">Module ID</w:t>
            </w:r>
          </w:p>
        </w:tc>
        <w:tc>
          <w:tcPr/>
          <w:p>
            <w:pPr>
              <w:pStyle w:val="Compact"/>
              <w:jc w:val="left"/>
            </w:pPr>
            <w:r>
              <w:t xml:space="preserve">G01</w:t>
            </w:r>
          </w:p>
        </w:tc>
      </w:tr>
      <w:tr>
        <w:tc>
          <w:tcPr/>
          <w:p>
            <w:pPr>
              <w:pStyle w:val="Compact"/>
              <w:jc w:val="left"/>
            </w:pPr>
            <w:r>
              <w:rPr>
                <w:bCs/>
                <w:b/>
              </w:rPr>
              <w:t xml:space="preserve">Phase</w:t>
            </w:r>
          </w:p>
        </w:tc>
        <w:tc>
          <w:tcPr/>
          <w:p>
            <w:pPr>
              <w:pStyle w:val="Compact"/>
              <w:jc w:val="left"/>
            </w:pPr>
            <w:r>
              <w:t xml:space="preserve">0 (Core Foundation)</w:t>
            </w:r>
          </w:p>
        </w:tc>
      </w:tr>
      <w:tr>
        <w:tc>
          <w:tcPr/>
          <w:p>
            <w:pPr>
              <w:pStyle w:val="Compact"/>
              <w:jc w:val="left"/>
            </w:pPr>
            <w:r>
              <w:rPr>
                <w:bCs/>
                <w:b/>
              </w:rPr>
              <w:t xml:space="preserve">Complexity</w:t>
            </w:r>
          </w:p>
        </w:tc>
        <w:tc>
          <w:tcPr/>
          <w:p>
            <w:pPr>
              <w:pStyle w:val="Compact"/>
              <w:jc w:val="left"/>
            </w:pPr>
            <w:r>
              <w:t xml:space="preserve">High</w:t>
            </w:r>
          </w:p>
        </w:tc>
      </w:tr>
      <w:tr>
        <w:tc>
          <w:tcPr/>
          <w:p>
            <w:pPr>
              <w:pStyle w:val="Compact"/>
              <w:jc w:val="left"/>
            </w:pPr>
            <w:r>
              <w:rPr>
                <w:bCs/>
                <w:b/>
              </w:rPr>
              <w:t xml:space="preserve">Dependencies</w:t>
            </w:r>
          </w:p>
        </w:tc>
        <w:tc>
          <w:tcPr/>
          <w:p>
            <w:pPr>
              <w:pStyle w:val="Compact"/>
              <w:jc w:val="left"/>
            </w:pPr>
            <w:r>
              <w:t xml:space="preserve">F01 (Multi-Tenancy), D01 (Canonical Model)</w:t>
            </w:r>
          </w:p>
        </w:tc>
      </w:tr>
      <w:tr>
        <w:tc>
          <w:tcPr/>
          <w:p>
            <w:pPr>
              <w:pStyle w:val="Compact"/>
              <w:jc w:val="left"/>
            </w:pPr>
            <w:r>
              <w:rPr>
                <w:bCs/>
                <w:b/>
              </w:rPr>
              <w:t xml:space="preserve">Depended On By</w:t>
            </w:r>
          </w:p>
        </w:tc>
        <w:tc>
          <w:tcPr/>
          <w:p>
            <w:pPr>
              <w:pStyle w:val="Compact"/>
              <w:jc w:val="left"/>
            </w:pPr>
            <w:r>
              <w:t xml:space="preserve">G02–G06 (all modality pipelines), D02 (Mapping Engine), D03 (Data Contracts)</w:t>
            </w:r>
          </w:p>
        </w:tc>
      </w:tr>
    </w:tbl>
    <w:bookmarkStart w:id="125" w:name="purpose-14"/>
    <w:p>
      <w:pPr>
        <w:pStyle w:val="Heading2"/>
      </w:pPr>
      <w:r>
        <w:t xml:space="preserve">4.1 Purpose</w:t>
      </w:r>
    </w:p>
    <w:p>
      <w:pPr>
        <w:pStyle w:val="FirstParagraph"/>
      </w:pPr>
      <w:r>
        <w:t xml:space="preserve">G01 is the single entry point for all data entering the platform, regardless of modality (structured, document, video, audio, IoT) or delivery mechanism (API push, file upload, webhook, scheduled pull, streaming). It receives data, identifies the tenant and source, validates against the data contract (D03), routes to the appropriate modality pipeline, and ensures every record is tagged with provenance metadata before entering the Bronze layer.</w:t>
      </w:r>
    </w:p>
    <w:bookmarkEnd w:id="125"/>
    <w:bookmarkStart w:id="126" w:name="X0d1276c977d10d5603756297e84cac5d41e6436"/>
    <w:p>
      <w:pPr>
        <w:pStyle w:val="Heading2"/>
      </w:pPr>
      <w:r>
        <w:t xml:space="preserve">4.1a External Systems Boundary (added in v2.1)</w:t>
      </w:r>
    </w:p>
    <w:p>
      <w:pPr>
        <w:pStyle w:val="FirstParagraph"/>
      </w:pPr>
      <w:r>
        <w:t xml:space="preserve">G01 is a strict boundary. External systems — partner platforms, upstream ingestion services, POS providers, third-party data vendors — NEVER communicate directly with Cortex internal services. They reach Cortex only through G01’s connector framework.</w:t>
      </w:r>
    </w:p>
    <w:p>
      <w:pPr>
        <w:pStyle w:val="BodyText"/>
      </w:pPr>
      <w:r>
        <w:t xml:space="preserve">The most important external system in Phase 1 is</w:t>
      </w:r>
      <w:r>
        <w:t xml:space="preserve"> </w:t>
      </w:r>
      <w:r>
        <w:rPr>
          <w:bCs/>
          <w:b/>
        </w:rPr>
        <w:t xml:space="preserve">ROOS (Ithina DIS)</w:t>
      </w:r>
      <w:r>
        <w:t xml:space="preserve">. ROOS is Ithina’s production multi-tenant retail event ingestion platform. Cortex does NOT subsume ROOS. Cortex does NOT build POS-specific listeners (Square, Clover, Lightspeed). Cortex consumes from ROOS as an upstream source at a single well-defined contract point: the</w:t>
      </w:r>
      <w:r>
        <w:t xml:space="preserve"> </w:t>
      </w:r>
      <w:r>
        <w:rPr>
          <w:rStyle w:val="VerbatimChar"/>
        </w:rPr>
        <w:t xml:space="preserve">dis.golden.roos</w:t>
      </w:r>
      <w:r>
        <w:t xml:space="preserve"> </w:t>
      </w:r>
      <w:r>
        <w:t xml:space="preserve">canonical output topic. This boundary is governed by ADR-SCOPE-009 and elaborated in the Architectural Decisions section at the end of this document.</w:t>
      </w:r>
    </w:p>
    <w:p>
      <w:pPr>
        <w:pStyle w:val="BodyText"/>
      </w:pPr>
      <w:r>
        <w:t xml:space="preserve">Implementation pattern for external streaming sources:</w:t>
      </w:r>
    </w:p>
    <w:p>
      <w:pPr>
        <w:numPr>
          <w:ilvl w:val="0"/>
          <w:numId w:val="1001"/>
        </w:numPr>
        <w:pStyle w:val="Compact"/>
      </w:pPr>
      <w:r>
        <w:t xml:space="preserve">Partner operates their platform (e.g., Ithina operates ROOS)</w:t>
      </w:r>
    </w:p>
    <w:p>
      <w:pPr>
        <w:numPr>
          <w:ilvl w:val="0"/>
          <w:numId w:val="1001"/>
        </w:numPr>
        <w:pStyle w:val="Compact"/>
      </w:pPr>
      <w:r>
        <w:t xml:space="preserve">Partner publishes canonical events on their output layer (e.g.,</w:t>
      </w:r>
      <w:r>
        <w:t xml:space="preserve"> </w:t>
      </w:r>
      <w:r>
        <w:rPr>
          <w:rStyle w:val="VerbatimChar"/>
        </w:rPr>
        <w:t xml:space="preserve">dis.golden.roos</w:t>
      </w:r>
      <w:r>
        <w:t xml:space="preserve">)</w:t>
      </w:r>
    </w:p>
    <w:p>
      <w:pPr>
        <w:numPr>
          <w:ilvl w:val="0"/>
          <w:numId w:val="1001"/>
        </w:numPr>
        <w:pStyle w:val="Compact"/>
      </w:pPr>
      <w:r>
        <w:t xml:space="preserve">Cortex G01 runs a Kafka consumer (or other protocol connector) subscribed to that layer</w:t>
      </w:r>
    </w:p>
    <w:p>
      <w:pPr>
        <w:numPr>
          <w:ilvl w:val="0"/>
          <w:numId w:val="1001"/>
        </w:numPr>
        <w:pStyle w:val="Compact"/>
      </w:pPr>
      <w:r>
        <w:t xml:space="preserve">Incoming events validated, wrapped in Cortex canonical envelope, emitted to Cortex-internal</w:t>
      </w:r>
      <w:r>
        <w:t xml:space="preserve"> </w:t>
      </w:r>
      <w:r>
        <w:rPr>
          <w:rStyle w:val="VerbatimChar"/>
        </w:rPr>
        <w:t xml:space="preserve">ingest.raw</w:t>
      </w:r>
      <w:r>
        <w:t xml:space="preserve"> </w:t>
      </w:r>
      <w:r>
        <w:t xml:space="preserve">Pub/Sub topic via the</w:t>
      </w:r>
      <w:r>
        <w:t xml:space="preserve"> </w:t>
      </w:r>
      <w:r>
        <w:rPr>
          <w:rStyle w:val="VerbatimChar"/>
        </w:rPr>
        <w:t xml:space="preserve">@cortex/event-bus</w:t>
      </w:r>
      <w:r>
        <w:t xml:space="preserve"> </w:t>
      </w:r>
      <w:r>
        <w:t xml:space="preserve">abstraction</w:t>
      </w:r>
    </w:p>
    <w:p>
      <w:pPr>
        <w:numPr>
          <w:ilvl w:val="0"/>
          <w:numId w:val="1001"/>
        </w:numPr>
        <w:pStyle w:val="Compact"/>
      </w:pPr>
      <w:r>
        <w:t xml:space="preserve">Cortex internal services consume from Pub/Sub; they have no knowledge of or dependency on Kafka or any external protocol</w:t>
      </w:r>
    </w:p>
    <w:p>
      <w:pPr>
        <w:pStyle w:val="FirstParagraph"/>
      </w:pPr>
      <w:r>
        <w:t xml:space="preserve">This pattern means Cortex’s internal event backbone (Pub/Sub) is decoupled from any external messaging choice. Partners can use Kafka, RabbitMQ, Kinesis, REST — Cortex absorbs them at G01 and presents a uniform internal event stream. Governed by ADR-INFRA-001.</w:t>
      </w:r>
    </w:p>
    <w:p>
      <w:pPr>
        <w:pStyle w:val="BodyText"/>
      </w:pPr>
      <w:r>
        <w:rPr>
          <w:bCs/>
          <w:b/>
        </w:rPr>
        <w:t xml:space="preserve">What Cortex DOES build in G01 for Phase 1:</w:t>
      </w:r>
      <w:r>
        <w:t xml:space="preserve"> </w:t>
      </w:r>
      <w:r>
        <w:t xml:space="preserve">Generic Kafka consumer framework (with ROOS as the first and flagship configuration), HTTPS webhook receiver (used by Ithina HHT app for shelf imagery uploads), SFTP / GCS / S3 / JDBC poll connectors, manual CSV upload, REST API poll, Google Sheets connector.</w:t>
      </w:r>
    </w:p>
    <w:p>
      <w:pPr>
        <w:pStyle w:val="BodyText"/>
      </w:pPr>
      <w:r>
        <w:rPr>
          <w:bCs/>
          <w:b/>
        </w:rPr>
        <w:t xml:space="preserve">What Cortex explicitly does NOT build:</w:t>
      </w:r>
      <w:r>
        <w:t xml:space="preserve"> </w:t>
      </w:r>
      <w:r>
        <w:t xml:space="preserve">POS-specific connectors (Square, Clover, Lightspeed — ROOS’s responsibility). Fat/skinny payload enrichment patterns (ROOS’s responsibility). Ithina’s internal agent pipelines (PA, PAC, PROMO, POG on ROOS — remain Ithina’s). Kafka cluster operations (ROOS runs Ithina’s cluster; Cortex is a consumer only).</w:t>
      </w:r>
    </w:p>
    <w:bookmarkEnd w:id="126"/>
    <w:bookmarkStart w:id="132" w:name="functional-requirements-7"/>
    <w:p>
      <w:pPr>
        <w:pStyle w:val="Heading2"/>
      </w:pPr>
      <w:r>
        <w:t xml:space="preserve">4.2 Functional Requirements</w:t>
      </w:r>
    </w:p>
    <w:bookmarkStart w:id="127" w:name="ingestion-modes"/>
    <w:p>
      <w:pPr>
        <w:pStyle w:val="Heading3"/>
      </w:pPr>
      <w:r>
        <w:t xml:space="preserve">4.2.1 Ingestion Modes</w:t>
      </w:r>
    </w:p>
    <w:p>
      <w:pPr>
        <w:pStyle w:val="FirstParagraph"/>
      </w:pPr>
      <w:r>
        <w:rPr>
          <w:bCs/>
          <w:b/>
        </w:rPr>
        <w:t xml:space="preserve">G01-FR-001</w:t>
      </w:r>
      <w:r>
        <w:t xml:space="preserve"> </w:t>
      </w:r>
      <w:r>
        <w:t xml:space="preserve">The gateway SHALL support five ingestion modes, all unified behind a single tenant-scoped API surface:</w:t>
      </w:r>
    </w:p>
    <w:tbl>
      <w:tblPr>
        <w:tblStyle w:val="Table"/>
        <w:tblW w:type="pct" w:w="4964"/>
        <w:tblLook w:firstRow="0" w:lastRow="0" w:firstColumn="0" w:lastColumn="0" w:noHBand="0" w:noVBand="0" w:val="0000"/>
        <w:jc w:val="start"/>
      </w:tblPr>
      <w:tblGrid>
        <w:gridCol w:w="652"/>
        <w:gridCol w:w="1362"/>
        <w:gridCol w:w="3349"/>
        <w:gridCol w:w="2498"/>
      </w:tblGrid>
      <w:tr>
        <w:tc>
          <w:tcPr/>
          <w:p>
            <w:pPr>
              <w:pStyle w:val="Compact"/>
              <w:jc w:val="left"/>
            </w:pPr>
            <w:r>
              <w:rPr>
                <w:bCs/>
                <w:b/>
              </w:rPr>
              <w:t xml:space="preserve">Mode</w:t>
            </w:r>
          </w:p>
        </w:tc>
        <w:tc>
          <w:tcPr/>
          <w:p>
            <w:pPr>
              <w:pStyle w:val="Compact"/>
              <w:jc w:val="left"/>
            </w:pPr>
            <w:r>
              <w:rPr>
                <w:bCs/>
                <w:b/>
              </w:rPr>
              <w:t xml:space="preserve">Mechanism</w:t>
            </w:r>
          </w:p>
        </w:tc>
        <w:tc>
          <w:tcPr/>
          <w:p>
            <w:pPr>
              <w:pStyle w:val="Compact"/>
              <w:jc w:val="left"/>
            </w:pPr>
            <w:r>
              <w:rPr>
                <w:bCs/>
                <w:b/>
              </w:rPr>
              <w:t xml:space="preserve">Typical Sources</w:t>
            </w:r>
          </w:p>
        </w:tc>
        <w:tc>
          <w:tcPr/>
          <w:p>
            <w:pPr>
              <w:pStyle w:val="Compact"/>
              <w:jc w:val="left"/>
            </w:pPr>
            <w:r>
              <w:rPr>
                <w:bCs/>
                <w:b/>
              </w:rPr>
              <w:t xml:space="preserve">GCP Implementation</w:t>
            </w:r>
          </w:p>
        </w:tc>
      </w:tr>
      <w:tr>
        <w:tc>
          <w:tcPr/>
          <w:p>
            <w:pPr>
              <w:pStyle w:val="Compact"/>
              <w:jc w:val="left"/>
            </w:pPr>
            <w:r>
              <w:rPr>
                <w:bCs/>
                <w:b/>
              </w:rPr>
              <w:t xml:space="preserve">File Upload</w:t>
            </w:r>
          </w:p>
        </w:tc>
        <w:tc>
          <w:tcPr/>
          <w:p>
            <w:pPr>
              <w:pStyle w:val="Compact"/>
              <w:jc w:val="left"/>
            </w:pPr>
            <w:r>
              <w:t xml:space="preserve">HTTPS POST with multipart file</w:t>
            </w:r>
          </w:p>
        </w:tc>
        <w:tc>
          <w:tcPr/>
          <w:p>
            <w:pPr>
              <w:pStyle w:val="Compact"/>
              <w:jc w:val="left"/>
            </w:pPr>
            <w:r>
              <w:t xml:space="preserve">CSV, Excel, PDF, images, video files, audio files. Manual or automated uploads.</w:t>
            </w:r>
          </w:p>
        </w:tc>
        <w:tc>
          <w:tcPr/>
          <w:p>
            <w:pPr>
              <w:pStyle w:val="Compact"/>
              <w:jc w:val="left"/>
            </w:pPr>
            <w:r>
              <w:t xml:space="preserve">Cloud Run endpoint → GCS staging bucket → Pub/Sub notification → processing pipeline.</w:t>
            </w:r>
          </w:p>
        </w:tc>
      </w:tr>
      <w:tr>
        <w:tc>
          <w:tcPr/>
          <w:p>
            <w:pPr>
              <w:pStyle w:val="Compact"/>
              <w:jc w:val="left"/>
            </w:pPr>
            <w:r>
              <w:rPr>
                <w:bCs/>
                <w:b/>
              </w:rPr>
              <w:t xml:space="preserve">API Push</w:t>
            </w:r>
          </w:p>
        </w:tc>
        <w:tc>
          <w:tcPr/>
          <w:p>
            <w:pPr>
              <w:pStyle w:val="Compact"/>
              <w:jc w:val="left"/>
            </w:pPr>
            <w:r>
              <w:t xml:space="preserve">HTTPS POST/PUT with JSON/XML body</w:t>
            </w:r>
          </w:p>
        </w:tc>
        <w:tc>
          <w:tcPr/>
          <w:p>
            <w:pPr>
              <w:pStyle w:val="Compact"/>
              <w:jc w:val="left"/>
            </w:pPr>
            <w:r>
              <w:t xml:space="preserve">POS real-time transaction feed, CRM webhooks, e-commerce order webhooks.</w:t>
            </w:r>
          </w:p>
        </w:tc>
        <w:tc>
          <w:tcPr/>
          <w:p>
            <w:pPr>
              <w:pStyle w:val="Compact"/>
              <w:jc w:val="left"/>
            </w:pPr>
            <w:r>
              <w:t xml:space="preserve">Cloud Run endpoint → Pub/Sub topic → processing pipeline.</w:t>
            </w:r>
          </w:p>
        </w:tc>
      </w:tr>
      <w:tr>
        <w:tc>
          <w:tcPr/>
          <w:p>
            <w:pPr>
              <w:pStyle w:val="Compact"/>
              <w:jc w:val="left"/>
            </w:pPr>
            <w:r>
              <w:rPr>
                <w:bCs/>
                <w:b/>
              </w:rPr>
              <w:t xml:space="preserve">Webhook Receiver</w:t>
            </w:r>
          </w:p>
        </w:tc>
        <w:tc>
          <w:tcPr/>
          <w:p>
            <w:pPr>
              <w:pStyle w:val="Compact"/>
              <w:jc w:val="left"/>
            </w:pPr>
            <w:r>
              <w:t xml:space="preserve">System-generated webhook URL per source</w:t>
            </w:r>
          </w:p>
        </w:tc>
        <w:tc>
          <w:tcPr/>
          <w:p>
            <w:pPr>
              <w:pStyle w:val="Compact"/>
              <w:jc w:val="left"/>
            </w:pPr>
            <w:r>
              <w:t xml:space="preserve">Source systems configured to POST events to the webhook URL. Each source gets a unique URL with embedded source_id.</w:t>
            </w:r>
          </w:p>
        </w:tc>
        <w:tc>
          <w:tcPr/>
          <w:p>
            <w:pPr>
              <w:pStyle w:val="Compact"/>
              <w:jc w:val="left"/>
            </w:pPr>
            <w:r>
              <w:t xml:space="preserve">Cloud Run with path-based routing: /webhook/{source_id} → Pub/Sub.</w:t>
            </w:r>
          </w:p>
        </w:tc>
      </w:tr>
      <w:tr>
        <w:tc>
          <w:tcPr/>
          <w:p>
            <w:pPr>
              <w:pStyle w:val="Compact"/>
              <w:jc w:val="left"/>
            </w:pPr>
            <w:r>
              <w:rPr>
                <w:bCs/>
                <w:b/>
              </w:rPr>
              <w:t xml:space="preserve">Scheduled Pull</w:t>
            </w:r>
          </w:p>
        </w:tc>
        <w:tc>
          <w:tcPr/>
          <w:p>
            <w:pPr>
              <w:pStyle w:val="Compact"/>
              <w:jc w:val="left"/>
            </w:pPr>
            <w:r>
              <w:t xml:space="preserve">Platform pulls data from source on a schedule</w:t>
            </w:r>
          </w:p>
        </w:tc>
        <w:tc>
          <w:tcPr/>
          <w:p>
            <w:pPr>
              <w:pStyle w:val="Compact"/>
              <w:jc w:val="left"/>
            </w:pPr>
            <w:r>
              <w:t xml:space="preserve">SFTP file drops, REST API pagination, database CDC (Change Data Capture).</w:t>
            </w:r>
          </w:p>
        </w:tc>
        <w:tc>
          <w:tcPr/>
          <w:p>
            <w:pPr>
              <w:pStyle w:val="Compact"/>
              <w:jc w:val="left"/>
            </w:pPr>
            <w:r>
              <w:t xml:space="preserve">Cloud Scheduler → Cloud Run job → pulls data → writes to GCS → Pub/Sub notification.</w:t>
            </w:r>
          </w:p>
        </w:tc>
      </w:tr>
      <w:tr>
        <w:tc>
          <w:tcPr/>
          <w:p>
            <w:pPr>
              <w:pStyle w:val="Compact"/>
              <w:jc w:val="left"/>
            </w:pPr>
            <w:r>
              <w:rPr>
                <w:bCs/>
                <w:b/>
              </w:rPr>
              <w:t xml:space="preserve">Streaming</w:t>
            </w:r>
          </w:p>
        </w:tc>
        <w:tc>
          <w:tcPr/>
          <w:p>
            <w:pPr>
              <w:pStyle w:val="Compact"/>
              <w:jc w:val="left"/>
            </w:pPr>
            <w:r>
              <w:t xml:space="preserve">Continuous real-time data stream</w:t>
            </w:r>
          </w:p>
        </w:tc>
        <w:tc>
          <w:tcPr/>
          <w:p>
            <w:pPr>
              <w:pStyle w:val="Compact"/>
              <w:jc w:val="left"/>
            </w:pPr>
            <w:r>
              <w:t xml:space="preserve">IoT sensor feeds (MQTT → Pub/Sub), POS real-time streams, change data capture streams.</w:t>
            </w:r>
          </w:p>
        </w:tc>
        <w:tc>
          <w:tcPr/>
          <w:p>
            <w:pPr>
              <w:pStyle w:val="Compact"/>
              <w:jc w:val="left"/>
            </w:pPr>
            <w:r>
              <w:t xml:space="preserve">Pub/Sub topic (source pushes directly or via MQTT bridge) → processing pipeline.</w:t>
            </w:r>
          </w:p>
        </w:tc>
      </w:tr>
    </w:tbl>
    <w:bookmarkEnd w:id="127"/>
    <w:bookmarkStart w:id="128" w:name="connector-abstraction-framework"/>
    <w:p>
      <w:pPr>
        <w:pStyle w:val="Heading3"/>
      </w:pPr>
      <w:r>
        <w:t xml:space="preserve">4.2.2 Connector Abstraction Framework</w:t>
      </w:r>
    </w:p>
    <w:p>
      <w:pPr>
        <w:pStyle w:val="FirstParagraph"/>
      </w:pPr>
      <w:r>
        <w:rPr>
          <w:bCs/>
          <w:b/>
        </w:rPr>
        <w:t xml:space="preserve">G01-FR-010</w:t>
      </w:r>
      <w:r>
        <w:t xml:space="preserve"> </w:t>
      </w:r>
      <w:r>
        <w:t xml:space="preserve">The platform SHALL use a pluggable Connector Framework where each data source type has a Connector that implements a standard interface:</w:t>
      </w:r>
    </w:p>
    <w:p>
      <w:pPr>
        <w:pStyle w:val="BodyText"/>
      </w:pPr>
      <w:r>
        <w:t xml:space="preserve">interface Connector { connect(config: ConnectionConfig): Promise&lt;void&gt;; testConnection(): Promise&lt;TestResult&gt;; discoverSchema(): Promise&lt;SourceSchema&gt;; pull(params: PullParams): AsyncIterable&lt;SourceRecord&gt;; getWebhookHandler?(): WebhookHandler; // optional, for push sources }</w:t>
      </w:r>
    </w:p>
    <w:p>
      <w:pPr>
        <w:pStyle w:val="BodyText"/>
      </w:pPr>
      <w:r>
        <w:rPr>
          <w:bCs/>
          <w:b/>
        </w:rPr>
        <w:t xml:space="preserve">G01-FR-011</w:t>
      </w:r>
      <w:r>
        <w:t xml:space="preserve"> </w:t>
      </w:r>
      <w:r>
        <w:t xml:space="preserve">The following connectors SHALL be built for Phase 0 (retail vertical):</w:t>
      </w:r>
    </w:p>
    <w:tbl>
      <w:tblPr>
        <w:tblStyle w:val="Table"/>
        <w:tblW w:type="pct" w:w="4963"/>
        <w:tblLook w:firstRow="0" w:lastRow="0" w:firstColumn="0" w:lastColumn="0" w:noHBand="0" w:noVBand="0" w:val="0000"/>
        <w:jc w:val="start"/>
      </w:tblPr>
      <w:tblGrid>
        <w:gridCol w:w="873"/>
        <w:gridCol w:w="786"/>
        <w:gridCol w:w="6202"/>
      </w:tblGrid>
      <w:tr>
        <w:tc>
          <w:tcPr/>
          <w:p>
            <w:pPr>
              <w:pStyle w:val="Compact"/>
              <w:jc w:val="left"/>
            </w:pPr>
            <w:r>
              <w:rPr>
                <w:bCs/>
                <w:b/>
              </w:rPr>
              <w:t xml:space="preserve">Connector</w:t>
            </w:r>
          </w:p>
        </w:tc>
        <w:tc>
          <w:tcPr/>
          <w:p>
            <w:pPr>
              <w:pStyle w:val="Compact"/>
              <w:jc w:val="left"/>
            </w:pPr>
            <w:r>
              <w:rPr>
                <w:bCs/>
                <w:b/>
              </w:rPr>
              <w:t xml:space="preserve">Mode</w:t>
            </w:r>
          </w:p>
        </w:tc>
        <w:tc>
          <w:tcPr/>
          <w:p>
            <w:pPr>
              <w:pStyle w:val="Compact"/>
              <w:jc w:val="left"/>
            </w:pPr>
            <w:r>
              <w:rPr>
                <w:bCs/>
                <w:b/>
              </w:rPr>
              <w:t xml:space="preserve">Capabilities</w:t>
            </w:r>
          </w:p>
        </w:tc>
      </w:tr>
      <w:tr>
        <w:tc>
          <w:tcPr/>
          <w:p>
            <w:pPr>
              <w:pStyle w:val="Compact"/>
              <w:jc w:val="left"/>
            </w:pPr>
            <w:r>
              <w:rPr>
                <w:bCs/>
                <w:b/>
              </w:rPr>
              <w:t xml:space="preserve">Generic CSV/Excel</w:t>
            </w:r>
          </w:p>
        </w:tc>
        <w:tc>
          <w:tcPr/>
          <w:p>
            <w:pPr>
              <w:pStyle w:val="Compact"/>
              <w:jc w:val="left"/>
            </w:pPr>
            <w:r>
              <w:t xml:space="preserve">File Upload</w:t>
            </w:r>
          </w:p>
        </w:tc>
        <w:tc>
          <w:tcPr/>
          <w:p>
            <w:pPr>
              <w:pStyle w:val="Compact"/>
              <w:jc w:val="left"/>
            </w:pPr>
            <w:r>
              <w:t xml:space="preserve">Parse CSV (with configurable delimiter, encoding, header detection) and Excel (.xlsx, .xls). Auto-detect column types from sample rows. Handle malformed rows gracefully (quarantine bad rows, process good rows).</w:t>
            </w:r>
          </w:p>
        </w:tc>
      </w:tr>
      <w:tr>
        <w:tc>
          <w:tcPr/>
          <w:p>
            <w:pPr>
              <w:pStyle w:val="Compact"/>
              <w:jc w:val="left"/>
            </w:pPr>
            <w:r>
              <w:rPr>
                <w:bCs/>
                <w:b/>
              </w:rPr>
              <w:t xml:space="preserve">Generic REST API</w:t>
            </w:r>
          </w:p>
        </w:tc>
        <w:tc>
          <w:tcPr/>
          <w:p>
            <w:pPr>
              <w:pStyle w:val="Compact"/>
              <w:jc w:val="left"/>
            </w:pPr>
            <w:r>
              <w:t xml:space="preserve">Scheduled Pull / Webhook</w:t>
            </w:r>
          </w:p>
        </w:tc>
        <w:tc>
          <w:tcPr/>
          <w:p>
            <w:pPr>
              <w:pStyle w:val="Compact"/>
              <w:jc w:val="left"/>
            </w:pPr>
            <w:r>
              <w:t xml:space="preserve">Configurable: base URL, auth (API key, OAuth 2.0, Basic), pagination (cursor, offset, page), rate limiting, response format (JSON, XML). Schema discovery from sample response.</w:t>
            </w:r>
          </w:p>
        </w:tc>
      </w:tr>
      <w:tr>
        <w:tc>
          <w:tcPr/>
          <w:p>
            <w:pPr>
              <w:pStyle w:val="Compact"/>
              <w:jc w:val="left"/>
            </w:pPr>
            <w:r>
              <w:rPr>
                <w:bCs/>
                <w:b/>
              </w:rPr>
              <w:t xml:space="preserve">Generic Webhook</w:t>
            </w:r>
          </w:p>
        </w:tc>
        <w:tc>
          <w:tcPr/>
          <w:p>
            <w:pPr>
              <w:pStyle w:val="Compact"/>
              <w:jc w:val="left"/>
            </w:pPr>
            <w:r>
              <w:t xml:space="preserve">Webhook Receiver</w:t>
            </w:r>
          </w:p>
        </w:tc>
        <w:tc>
          <w:tcPr/>
          <w:p>
            <w:pPr>
              <w:pStyle w:val="Compact"/>
              <w:jc w:val="left"/>
            </w:pPr>
            <w:r>
              <w:t xml:space="preserve">Receive JSON/form-data POSTs. Configurable: signature verification (HMAC), payload transformation, event type filtering.</w:t>
            </w:r>
          </w:p>
        </w:tc>
      </w:tr>
      <w:tr>
        <w:tc>
          <w:tcPr/>
          <w:p>
            <w:pPr>
              <w:pStyle w:val="Compact"/>
              <w:jc w:val="left"/>
            </w:pPr>
            <w:r>
              <w:rPr>
                <w:bCs/>
                <w:b/>
              </w:rPr>
              <w:t xml:space="preserve">SFTP/FTP</w:t>
            </w:r>
          </w:p>
        </w:tc>
        <w:tc>
          <w:tcPr/>
          <w:p>
            <w:pPr>
              <w:pStyle w:val="Compact"/>
              <w:jc w:val="left"/>
            </w:pPr>
            <w:r>
              <w:t xml:space="preserve">Scheduled Pull</w:t>
            </w:r>
          </w:p>
        </w:tc>
        <w:tc>
          <w:tcPr/>
          <w:p>
            <w:pPr>
              <w:pStyle w:val="Compact"/>
              <w:jc w:val="left"/>
            </w:pPr>
            <w:r>
              <w:t xml:space="preserve">Connect to SFTP/FTP server, list files in directory, download new files (based on timestamp or naming convention), process as CSV/Excel.</w:t>
            </w:r>
          </w:p>
        </w:tc>
      </w:tr>
      <w:tr>
        <w:tc>
          <w:tcPr/>
          <w:p>
            <w:pPr>
              <w:pStyle w:val="Compact"/>
              <w:jc w:val="left"/>
            </w:pPr>
            <w:r>
              <w:rPr>
                <w:bCs/>
                <w:b/>
              </w:rPr>
              <w:t xml:space="preserve">Generic Database (JDBC)</w:t>
            </w:r>
          </w:p>
        </w:tc>
        <w:tc>
          <w:tcPr/>
          <w:p>
            <w:pPr>
              <w:pStyle w:val="Compact"/>
              <w:jc w:val="left"/>
            </w:pPr>
            <w:r>
              <w:t xml:space="preserve">Scheduled Pull</w:t>
            </w:r>
          </w:p>
        </w:tc>
        <w:tc>
          <w:tcPr/>
          <w:p>
            <w:pPr>
              <w:pStyle w:val="Compact"/>
              <w:jc w:val="left"/>
            </w:pPr>
            <w:r>
              <w:t xml:space="preserve">Connect to external database (PostgreSQL, MySQL, SQL Server, Oracle). Execute configured query. Support CDC via timestamp column or change tracking.</w:t>
            </w:r>
          </w:p>
        </w:tc>
      </w:tr>
    </w:tbl>
    <w:p>
      <w:pPr>
        <w:pStyle w:val="BodyText"/>
      </w:pPr>
      <w:r>
        <w:rPr>
          <w:bCs/>
          <w:b/>
        </w:rPr>
        <w:t xml:space="preserve">G01-FR-012</w:t>
      </w:r>
      <w:r>
        <w:t xml:space="preserve"> </w:t>
      </w:r>
      <w:r>
        <w:t xml:space="preserve">Industry-specific connectors (Shopify, Magento, Salesforce, SAP, Tally) SHALL be built as extensions of the Generic REST API connector with pre-configured: authentication flow, pagination strategy, schema mapping, and webhook event types. These are Phase 1 deliverables that accelerate onboarding for clients using these platforms.</w:t>
      </w:r>
    </w:p>
    <w:p>
      <w:pPr>
        <w:pStyle w:val="BodyText"/>
      </w:pPr>
      <w:r>
        <w:rPr>
          <w:bCs/>
          <w:b/>
        </w:rPr>
        <w:t xml:space="preserve">G01-FR-013</w:t>
      </w:r>
      <w:r>
        <w:t xml:space="preserve"> </w:t>
      </w:r>
      <w:r>
        <w:t xml:space="preserve">Third-party integration platforms (Fivetran, Airbyte) SHALL be supported as an alternative to built-in connectors. The integration platform pushes data to G01’s Generic Webhook connector. This is a pragmatic shortcut for source systems that already have Fivetran/Airbyte connectors.</w:t>
      </w:r>
    </w:p>
    <w:bookmarkEnd w:id="128"/>
    <w:bookmarkStart w:id="129" w:name="canonical-envelope"/>
    <w:p>
      <w:pPr>
        <w:pStyle w:val="Heading3"/>
      </w:pPr>
      <w:r>
        <w:t xml:space="preserve">4.2.3 Canonical Envelope</w:t>
      </w:r>
    </w:p>
    <w:p>
      <w:pPr>
        <w:pStyle w:val="FirstParagraph"/>
      </w:pPr>
      <w:r>
        <w:rPr>
          <w:bCs/>
          <w:b/>
        </w:rPr>
        <w:t xml:space="preserve">G01-FR-020</w:t>
      </w:r>
      <w:r>
        <w:t xml:space="preserve"> </w:t>
      </w:r>
      <w:r>
        <w:t xml:space="preserve">Every record entering the platform SHALL be wrapped in a Canonical Envelope before being written to the Bronze layer:</w:t>
      </w:r>
    </w:p>
    <w:tbl>
      <w:tblPr>
        <w:tblStyle w:val="Table"/>
        <w:tblW w:type="pct" w:w="4949"/>
        <w:tblLook w:firstRow="0" w:lastRow="0" w:firstColumn="0" w:lastColumn="0" w:noHBand="0" w:noVBand="0" w:val="0000"/>
        <w:jc w:val="start"/>
      </w:tblPr>
      <w:tblGrid>
        <w:gridCol w:w="934"/>
        <w:gridCol w:w="609"/>
        <w:gridCol w:w="1462"/>
        <w:gridCol w:w="4833"/>
      </w:tblGrid>
      <w:t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r>
      <w:tr>
        <w:tc>
          <w:tcPr/>
          <w:p>
            <w:pPr>
              <w:pStyle w:val="Compact"/>
              <w:jc w:val="left"/>
            </w:pPr>
            <w:r>
              <w:rPr>
                <w:bCs/>
                <w:b/>
              </w:rPr>
              <w:t xml:space="preserve">envelope_id</w:t>
            </w:r>
          </w:p>
        </w:tc>
        <w:tc>
          <w:tcPr/>
          <w:p>
            <w:pPr>
              <w:pStyle w:val="Compact"/>
              <w:jc w:val="left"/>
            </w:pPr>
            <w:r>
              <w:t xml:space="preserve">UUID</w:t>
            </w:r>
          </w:p>
        </w:tc>
        <w:tc>
          <w:tcPr/>
          <w:p>
            <w:pPr>
              <w:pStyle w:val="Compact"/>
              <w:jc w:val="left"/>
            </w:pPr>
            <w:r>
              <w:t xml:space="preserve">YES</w:t>
            </w:r>
          </w:p>
        </w:tc>
        <w:tc>
          <w:tcPr/>
          <w:p>
            <w:pPr>
              <w:pStyle w:val="Compact"/>
              <w:jc w:val="left"/>
            </w:pPr>
            <w:r>
              <w:t xml:space="preserve">Globally unique identifier for this envelope. Generated by G01.</w:t>
            </w:r>
          </w:p>
        </w:tc>
      </w:tr>
      <w:tr>
        <w:tc>
          <w:tcPr/>
          <w:p>
            <w:pPr>
              <w:pStyle w:val="Compact"/>
              <w:jc w:val="left"/>
            </w:pPr>
            <w:r>
              <w:rPr>
                <w:bCs/>
                <w:b/>
              </w:rPr>
              <w:t xml:space="preserve">tenant_id</w:t>
            </w:r>
          </w:p>
        </w:tc>
        <w:tc>
          <w:tcPr/>
          <w:p>
            <w:pPr>
              <w:pStyle w:val="Compact"/>
              <w:jc w:val="left"/>
            </w:pPr>
            <w:r>
              <w:t xml:space="preserve">UUID</w:t>
            </w:r>
          </w:p>
        </w:tc>
        <w:tc>
          <w:tcPr/>
          <w:p>
            <w:pPr>
              <w:pStyle w:val="Compact"/>
              <w:jc w:val="left"/>
            </w:pPr>
            <w:r>
              <w:t xml:space="preserve">YES</w:t>
            </w:r>
          </w:p>
        </w:tc>
        <w:tc>
          <w:tcPr/>
          <w:p>
            <w:pPr>
              <w:pStyle w:val="Compact"/>
              <w:jc w:val="left"/>
            </w:pPr>
            <w:r>
              <w:t xml:space="preserve">Tenant context from the ingestion request (F01).</w:t>
            </w:r>
          </w:p>
        </w:tc>
      </w:tr>
      <w:tr>
        <w:tc>
          <w:tcPr/>
          <w:p>
            <w:pPr>
              <w:pStyle w:val="Compact"/>
              <w:jc w:val="left"/>
            </w:pPr>
            <w:r>
              <w:rPr>
                <w:bCs/>
                <w:b/>
              </w:rPr>
              <w:t xml:space="preserve">source_id</w:t>
            </w:r>
          </w:p>
        </w:tc>
        <w:tc>
          <w:tcPr/>
          <w:p>
            <w:pPr>
              <w:pStyle w:val="Compact"/>
              <w:jc w:val="left"/>
            </w:pPr>
            <w:r>
              <w:t xml:space="preserve">UUID</w:t>
            </w:r>
          </w:p>
        </w:tc>
        <w:tc>
          <w:tcPr/>
          <w:p>
            <w:pPr>
              <w:pStyle w:val="Compact"/>
              <w:jc w:val="left"/>
            </w:pPr>
            <w:r>
              <w:t xml:space="preserve">YES</w:t>
            </w:r>
          </w:p>
        </w:tc>
        <w:tc>
          <w:tcPr/>
          <w:p>
            <w:pPr>
              <w:pStyle w:val="Compact"/>
              <w:jc w:val="left"/>
            </w:pPr>
            <w:r>
              <w:t xml:space="preserve">The data source connection identifier (registered during W04 onboarding).</w:t>
            </w:r>
          </w:p>
        </w:tc>
      </w:tr>
      <w:tr>
        <w:tc>
          <w:tcPr/>
          <w:p>
            <w:pPr>
              <w:pStyle w:val="Compact"/>
              <w:jc w:val="left"/>
            </w:pPr>
            <w:r>
              <w:rPr>
                <w:bCs/>
                <w:b/>
              </w:rPr>
              <w:t xml:space="preserve">connector_type</w:t>
            </w:r>
          </w:p>
        </w:tc>
        <w:tc>
          <w:tcPr/>
          <w:p>
            <w:pPr>
              <w:pStyle w:val="Compact"/>
              <w:jc w:val="left"/>
            </w:pPr>
            <w:r>
              <w:t xml:space="preserve">VARCHAR</w:t>
            </w:r>
          </w:p>
        </w:tc>
        <w:tc>
          <w:tcPr/>
          <w:p>
            <w:pPr>
              <w:pStyle w:val="Compact"/>
              <w:jc w:val="left"/>
            </w:pPr>
            <w:r>
              <w:t xml:space="preserve">YES</w:t>
            </w:r>
          </w:p>
        </w:tc>
        <w:tc>
          <w:tcPr/>
          <w:p>
            <w:pPr>
              <w:pStyle w:val="Compact"/>
              <w:jc w:val="left"/>
            </w:pPr>
            <w:r>
              <w:t xml:space="preserve">Which connector processed this: 'generic_csv', 'generic_rest_api', 'shopify', etc.</w:t>
            </w:r>
          </w:p>
        </w:tc>
      </w:tr>
      <w:tr>
        <w:tc>
          <w:tcPr/>
          <w:p>
            <w:pPr>
              <w:pStyle w:val="Compact"/>
              <w:jc w:val="left"/>
            </w:pPr>
            <w:r>
              <w:rPr>
                <w:bCs/>
                <w:b/>
              </w:rPr>
              <w:t xml:space="preserve">ingestion_mode</w:t>
            </w:r>
          </w:p>
        </w:tc>
        <w:tc>
          <w:tcPr/>
          <w:p>
            <w:pPr>
              <w:pStyle w:val="Compact"/>
              <w:jc w:val="left"/>
            </w:pPr>
            <w:r>
              <w:t xml:space="preserve">ENUM</w:t>
            </w:r>
          </w:p>
        </w:tc>
        <w:tc>
          <w:tcPr/>
          <w:p>
            <w:pPr>
              <w:pStyle w:val="Compact"/>
              <w:jc w:val="left"/>
            </w:pPr>
            <w:r>
              <w:t xml:space="preserve">YES</w:t>
            </w:r>
          </w:p>
        </w:tc>
        <w:tc>
          <w:tcPr/>
          <w:p>
            <w:pPr>
              <w:pStyle w:val="Compact"/>
              <w:jc w:val="left"/>
            </w:pPr>
            <w:r>
              <w:t xml:space="preserve">FILE_UPLOAD, API_PUSH, WEBHOOK, SCHEDULED_PULL, STREAMING.</w:t>
            </w:r>
          </w:p>
        </w:tc>
      </w:tr>
      <w:tr>
        <w:tc>
          <w:tcPr/>
          <w:p>
            <w:pPr>
              <w:pStyle w:val="Compact"/>
              <w:jc w:val="left"/>
            </w:pPr>
            <w:r>
              <w:rPr>
                <w:bCs/>
                <w:b/>
              </w:rPr>
              <w:t xml:space="preserve">batch_id</w:t>
            </w:r>
          </w:p>
        </w:tc>
        <w:tc>
          <w:tcPr/>
          <w:p>
            <w:pPr>
              <w:pStyle w:val="Compact"/>
              <w:jc w:val="left"/>
            </w:pPr>
            <w:r>
              <w:t xml:space="preserve">UUID</w:t>
            </w:r>
          </w:p>
        </w:tc>
        <w:tc>
          <w:tcPr/>
          <w:p>
            <w:pPr>
              <w:pStyle w:val="Compact"/>
              <w:jc w:val="left"/>
            </w:pPr>
            <w:r>
              <w:t xml:space="preserve">YES for batch, NULL for streaming</w:t>
            </w:r>
          </w:p>
        </w:tc>
        <w:tc>
          <w:tcPr/>
          <w:p>
            <w:pPr>
              <w:pStyle w:val="Compact"/>
              <w:jc w:val="left"/>
            </w:pPr>
            <w:r>
              <w:t xml:space="preserve">Groups records from the same file or pull operation.</w:t>
            </w:r>
          </w:p>
        </w:tc>
      </w:tr>
      <w:tr>
        <w:tc>
          <w:tcPr/>
          <w:p>
            <w:pPr>
              <w:pStyle w:val="Compact"/>
              <w:jc w:val="left"/>
            </w:pPr>
            <w:r>
              <w:rPr>
                <w:bCs/>
                <w:b/>
              </w:rPr>
              <w:t xml:space="preserve">record_index</w:t>
            </w:r>
          </w:p>
        </w:tc>
        <w:tc>
          <w:tcPr/>
          <w:p>
            <w:pPr>
              <w:pStyle w:val="Compact"/>
              <w:jc w:val="left"/>
            </w:pPr>
            <w:r>
              <w:t xml:space="preserve">INT</w:t>
            </w:r>
          </w:p>
        </w:tc>
        <w:tc>
          <w:tcPr/>
          <w:p>
            <w:pPr>
              <w:pStyle w:val="Compact"/>
              <w:jc w:val="left"/>
            </w:pPr>
            <w:r>
              <w:t xml:space="preserve">YES for batch</w:t>
            </w:r>
          </w:p>
        </w:tc>
        <w:tc>
          <w:tcPr/>
          <w:p>
            <w:pPr>
              <w:pStyle w:val="Compact"/>
              <w:jc w:val="left"/>
            </w:pPr>
            <w:r>
              <w:t xml:space="preserve">Position of this record within the batch (for ordering and deduplication).</w:t>
            </w:r>
          </w:p>
        </w:tc>
      </w:tr>
      <w:tr>
        <w:tc>
          <w:tcPr/>
          <w:p>
            <w:pPr>
              <w:pStyle w:val="Compact"/>
              <w:jc w:val="left"/>
            </w:pPr>
            <w:r>
              <w:rPr>
                <w:bCs/>
                <w:b/>
              </w:rPr>
              <w:t xml:space="preserve">received_at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Timestamp when G01 received the record. Set by system, not source.</w:t>
            </w:r>
          </w:p>
        </w:tc>
      </w:tr>
      <w:tr>
        <w:tc>
          <w:tcPr/>
          <w:p>
            <w:pPr>
              <w:pStyle w:val="Compact"/>
              <w:jc w:val="left"/>
            </w:pPr>
            <w:r>
              <w:rPr>
                <w:bCs/>
                <w:b/>
              </w:rPr>
              <w:t xml:space="preserve">source_timestamp</w:t>
            </w:r>
          </w:p>
        </w:tc>
        <w:tc>
          <w:tcPr/>
          <w:p>
            <w:pPr>
              <w:pStyle w:val="Compact"/>
              <w:jc w:val="left"/>
            </w:pPr>
            <w:r>
              <w:t xml:space="preserve">TIMESTAMPTZ</w:t>
            </w:r>
          </w:p>
        </w:tc>
        <w:tc>
          <w:tcPr/>
          <w:p>
            <w:pPr>
              <w:pStyle w:val="Compact"/>
              <w:jc w:val="left"/>
            </w:pPr>
            <w:r>
              <w:t xml:space="preserve">IF AVAILABLE</w:t>
            </w:r>
          </w:p>
        </w:tc>
        <w:tc>
          <w:tcPr/>
          <w:p>
            <w:pPr>
              <w:pStyle w:val="Compact"/>
              <w:jc w:val="left"/>
            </w:pPr>
            <w:r>
              <w:t xml:space="preserve">Timestamp from the source system (event time). May differ from received_at. Used as valid_from in bi-temporal (F03).</w:t>
            </w:r>
          </w:p>
        </w:tc>
      </w:tr>
      <w:tr>
        <w:tc>
          <w:tcPr/>
          <w:p>
            <w:pPr>
              <w:pStyle w:val="Compact"/>
              <w:jc w:val="left"/>
            </w:pPr>
            <w:r>
              <w:rPr>
                <w:bCs/>
                <w:b/>
              </w:rPr>
              <w:t xml:space="preserve">content_hash</w:t>
            </w:r>
          </w:p>
        </w:tc>
        <w:tc>
          <w:tcPr/>
          <w:p>
            <w:pPr>
              <w:pStyle w:val="Compact"/>
              <w:jc w:val="left"/>
            </w:pPr>
            <w:r>
              <w:t xml:space="preserve">VARCHAR(64)</w:t>
            </w:r>
          </w:p>
        </w:tc>
        <w:tc>
          <w:tcPr/>
          <w:p>
            <w:pPr>
              <w:pStyle w:val="Compact"/>
              <w:jc w:val="left"/>
            </w:pPr>
            <w:r>
              <w:t xml:space="preserve">YES</w:t>
            </w:r>
          </w:p>
        </w:tc>
        <w:tc>
          <w:tcPr/>
          <w:p>
            <w:pPr>
              <w:pStyle w:val="Compact"/>
              <w:jc w:val="left"/>
            </w:pPr>
            <w:r>
              <w:t xml:space="preserve">SHA-256 hash of the raw record content. Used for deduplication.</w:t>
            </w:r>
          </w:p>
        </w:tc>
      </w:tr>
      <w:tr>
        <w:tc>
          <w:tcPr/>
          <w:p>
            <w:pPr>
              <w:pStyle w:val="Compact"/>
              <w:jc w:val="left"/>
            </w:pPr>
            <w:r>
              <w:rPr>
                <w:bCs/>
                <w:b/>
              </w:rPr>
              <w:t xml:space="preserve">raw_payload</w:t>
            </w:r>
          </w:p>
        </w:tc>
        <w:tc>
          <w:tcPr/>
          <w:p>
            <w:pPr>
              <w:pStyle w:val="Compact"/>
              <w:jc w:val="left"/>
            </w:pPr>
            <w:r>
              <w:t xml:space="preserve">JSONB / TEXT</w:t>
            </w:r>
          </w:p>
        </w:tc>
        <w:tc>
          <w:tcPr/>
          <w:p>
            <w:pPr>
              <w:pStyle w:val="Compact"/>
              <w:jc w:val="left"/>
            </w:pPr>
            <w:r>
              <w:t xml:space="preserve">YES</w:t>
            </w:r>
          </w:p>
        </w:tc>
        <w:tc>
          <w:tcPr/>
          <w:p>
            <w:pPr>
              <w:pStyle w:val="Compact"/>
              <w:jc w:val="left"/>
            </w:pPr>
            <w:r>
              <w:t xml:space="preserve">The original, unmodified record as received from the source. Stored in Bronze layer.</w:t>
            </w:r>
          </w:p>
        </w:tc>
      </w:tr>
      <w:tr>
        <w:tc>
          <w:tcPr/>
          <w:p>
            <w:pPr>
              <w:pStyle w:val="Compact"/>
              <w:jc w:val="left"/>
            </w:pPr>
            <w:r>
              <w:rPr>
                <w:bCs/>
                <w:b/>
              </w:rPr>
              <w:t xml:space="preserve">modality</w:t>
            </w:r>
          </w:p>
        </w:tc>
        <w:tc>
          <w:tcPr/>
          <w:p>
            <w:pPr>
              <w:pStyle w:val="Compact"/>
              <w:jc w:val="left"/>
            </w:pPr>
            <w:r>
              <w:t xml:space="preserve">ENUM</w:t>
            </w:r>
          </w:p>
        </w:tc>
        <w:tc>
          <w:tcPr/>
          <w:p>
            <w:pPr>
              <w:pStyle w:val="Compact"/>
              <w:jc w:val="left"/>
            </w:pPr>
            <w:r>
              <w:t xml:space="preserve">YES</w:t>
            </w:r>
          </w:p>
        </w:tc>
        <w:tc>
          <w:tcPr/>
          <w:p>
            <w:pPr>
              <w:pStyle w:val="Compact"/>
              <w:jc w:val="left"/>
            </w:pPr>
            <w:r>
              <w:t xml:space="preserve">STRUCTURED, DOCUMENT, VIDEO, AUDIO, IOT_SENSOR. Determines routing to G02–G06.</w:t>
            </w:r>
          </w:p>
        </w:tc>
      </w:tr>
    </w:tbl>
    <w:bookmarkEnd w:id="129"/>
    <w:bookmarkStart w:id="130" w:name="deduplication"/>
    <w:p>
      <w:pPr>
        <w:pStyle w:val="Heading3"/>
      </w:pPr>
      <w:r>
        <w:t xml:space="preserve">4.2.4 Deduplication</w:t>
      </w:r>
    </w:p>
    <w:p>
      <w:pPr>
        <w:pStyle w:val="FirstParagraph"/>
      </w:pPr>
      <w:r>
        <w:rPr>
          <w:bCs/>
          <w:b/>
        </w:rPr>
        <w:t xml:space="preserve">G01-FR-030</w:t>
      </w:r>
      <w:r>
        <w:t xml:space="preserve"> </w:t>
      </w:r>
      <w:r>
        <w:t xml:space="preserve">G01 SHALL perform content-based deduplication using the content_hash field. Before writing to Bronze, the system checks if a record with the same (tenant_id, source_id, content_hash) already exists. If so, the duplicate is dropped with a logged event (not an error — duplicates are expected in at-least-once delivery systems).</w:t>
      </w:r>
    </w:p>
    <w:p>
      <w:pPr>
        <w:pStyle w:val="BodyText"/>
      </w:pPr>
      <w:r>
        <w:rPr>
          <w:bCs/>
          <w:b/>
        </w:rPr>
        <w:t xml:space="preserve">G01-FR-031</w:t>
      </w:r>
      <w:r>
        <w:t xml:space="preserve"> </w:t>
      </w:r>
      <w:r>
        <w:t xml:space="preserve">For idempotent re-processing (re-ingesting a file after a pipeline fix), G01 SHALL support a force_reingest flag that bypasses deduplication for a specific batch_id. This allows reprocessing without deleting Bronze data.</w:t>
      </w:r>
    </w:p>
    <w:bookmarkEnd w:id="130"/>
    <w:bookmarkStart w:id="131" w:name="routing"/>
    <w:p>
      <w:pPr>
        <w:pStyle w:val="Heading3"/>
      </w:pPr>
      <w:r>
        <w:t xml:space="preserve">4.2.5 Routing</w:t>
      </w:r>
    </w:p>
    <w:p>
      <w:pPr>
        <w:pStyle w:val="FirstParagraph"/>
      </w:pPr>
      <w:r>
        <w:rPr>
          <w:bCs/>
          <w:b/>
        </w:rPr>
        <w:t xml:space="preserve">G01-FR-040</w:t>
      </w:r>
      <w:r>
        <w:t xml:space="preserve"> </w:t>
      </w:r>
      <w:r>
        <w:t xml:space="preserve">After wrapping in the Canonical Envelope and deduplication, G01 SHALL route the record to the appropriate modality pipeline based on the modality field: STRUCTURED → G02, DOCUMENT → G03, VIDEO → G04, AUDIO → G05, IOT_SENSOR → G06. Routing is via Pub/Sub topic: ingestion-{modality}-{env} (e.g., ingestion-structured-prod).</w:t>
      </w:r>
    </w:p>
    <w:p>
      <w:pPr>
        <w:pStyle w:val="BodyText"/>
      </w:pPr>
      <w:r>
        <w:rPr>
          <w:bCs/>
          <w:b/>
        </w:rPr>
        <w:t xml:space="preserve">G01-FR-041</w:t>
      </w:r>
      <w:r>
        <w:t xml:space="preserve"> </w:t>
      </w:r>
      <w:r>
        <w:t xml:space="preserve">If a modality pipeline is not yet deployed (e.g., G04 Video is Phase 3), records of that modality SHALL be stored in the Bronze layer but NOT routed for processing. They sit in Bronze until the pipeline is deployed, at which point they can be reprocessed. This ensures no data is lost even if it arrives before the platform can process it.</w:t>
      </w:r>
    </w:p>
    <w:bookmarkEnd w:id="131"/>
    <w:bookmarkEnd w:id="132"/>
    <w:bookmarkStart w:id="133" w:name="acceptance-criteria-9"/>
    <w:p>
      <w:pPr>
        <w:pStyle w:val="Heading2"/>
      </w:pPr>
      <w:r>
        <w:t xml:space="preserve">4.3 Acceptance Criteria</w:t>
      </w:r>
    </w:p>
    <w:p>
      <w:pPr>
        <w:pStyle w:val="FirstParagraph"/>
      </w:pPr>
      <w:r>
        <w:t xml:space="preserve">A 50,000-row CSV file uploaded via the Admin Console is ingested, enveloped, deduplicated, and written to Bronze within 2 minutes. All rows arrive in the G02 Pub/Sub topic for mapping.</w:t>
      </w:r>
    </w:p>
    <w:p>
      <w:pPr>
        <w:pStyle w:val="BodyText"/>
      </w:pPr>
      <w:r>
        <w:t xml:space="preserve">A POS API pushing 10 transactions per second is handled without backpressure. Each transaction is enveloped and written to Bronze within 500ms of receipt.</w:t>
      </w:r>
    </w:p>
    <w:p>
      <w:pPr>
        <w:pStyle w:val="BodyText"/>
      </w:pPr>
      <w:r>
        <w:t xml:space="preserve">A webhook configured for a new source generates a unique URL. Data posted to that URL is correctly associated with the source and tenant.</w:t>
      </w:r>
    </w:p>
    <w:p>
      <w:pPr>
        <w:pStyle w:val="BodyText"/>
      </w:pPr>
      <w:r>
        <w:t xml:space="preserve">Uploading the same CSV file twice results in zero duplicate records in Bronze (deduplication by content_hash).</w:t>
      </w:r>
    </w:p>
    <w:p>
      <w:pPr>
        <w:pStyle w:val="BodyText"/>
      </w:pPr>
      <w:r>
        <w:t xml:space="preserve">A new connector type (e.g., Shopify) can be built and deployed without modifying G01 core code — it’s a plugin implementing the Connector interface.</w:t>
      </w:r>
    </w:p>
    <w:bookmarkEnd w:id="133"/>
    <w:bookmarkEnd w:id="134"/>
    <w:bookmarkStart w:id="140" w:name="g02-structured-data-pipeline"/>
    <w:p>
      <w:pPr>
        <w:pStyle w:val="Heading1"/>
      </w:pPr>
      <w:r>
        <w:t xml:space="preserve">G02 — Structured Data Pipeline</w:t>
      </w:r>
    </w:p>
    <w:tbl>
      <w:tblPr>
        <w:tblStyle w:val="Table"/>
        <w:tblW w:type="pct" w:w="4907"/>
        <w:tblLook w:firstRow="0" w:lastRow="0" w:firstColumn="0" w:lastColumn="0" w:noHBand="0" w:noVBand="0" w:val="0000"/>
        <w:jc w:val="start"/>
      </w:tblPr>
      <w:tblGrid>
        <w:gridCol w:w="1776"/>
        <w:gridCol w:w="5995"/>
      </w:tblGrid>
      <w:t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rPr>
                <w:bCs/>
                <w:b/>
              </w:rPr>
              <w:t xml:space="preserve">Module ID / Phase</w:t>
            </w:r>
          </w:p>
        </w:tc>
        <w:tc>
          <w:tcPr/>
          <w:p>
            <w:pPr>
              <w:pStyle w:val="Compact"/>
              <w:jc w:val="left"/>
            </w:pPr>
            <w:r>
              <w:t xml:space="preserve">G02 / Phase 0</w:t>
            </w:r>
          </w:p>
        </w:tc>
      </w:tr>
      <w:tr>
        <w:tc>
          <w:tcPr/>
          <w:p>
            <w:pPr>
              <w:pStyle w:val="Compact"/>
              <w:jc w:val="left"/>
            </w:pPr>
            <w:r>
              <w:rPr>
                <w:bCs/>
                <w:b/>
              </w:rPr>
              <w:t xml:space="preserve">Dependencies</w:t>
            </w:r>
          </w:p>
        </w:tc>
        <w:tc>
          <w:tcPr/>
          <w:p>
            <w:pPr>
              <w:pStyle w:val="Compact"/>
              <w:jc w:val="left"/>
            </w:pPr>
            <w:r>
              <w:t xml:space="preserve">G01 (Ingestion Gateway), D02 (Mapping Engine), D03 (Data Contracts), I01 (SIR)</w:t>
            </w:r>
          </w:p>
        </w:tc>
      </w:tr>
    </w:tbl>
    <w:bookmarkStart w:id="135" w:name="purpose-15"/>
    <w:p>
      <w:pPr>
        <w:pStyle w:val="Heading2"/>
      </w:pPr>
      <w:r>
        <w:t xml:space="preserve">5.1 Purpose</w:t>
      </w:r>
    </w:p>
    <w:p>
      <w:pPr>
        <w:pStyle w:val="FirstParagraph"/>
      </w:pPr>
      <w:r>
        <w:t xml:space="preserve">G02 processes structured data records (CSV, JSON, API responses) from the Bronze layer through the canonical mapping pipeline into the Silver layer. It is the first and most critical modality pipeline — all retail data (POS, CRM, loyalty, inventory, e-commerce) flows through G02.</w:t>
      </w:r>
    </w:p>
    <w:bookmarkEnd w:id="135"/>
    <w:bookmarkStart w:id="138" w:name="pipeline-stages"/>
    <w:p>
      <w:pPr>
        <w:pStyle w:val="Heading2"/>
      </w:pPr>
      <w:r>
        <w:t xml:space="preserve">5.2 Pipeline Stages</w:t>
      </w:r>
    </w:p>
    <w:p>
      <w:pPr>
        <w:pStyle w:val="FirstParagraph"/>
      </w:pPr>
      <w:r>
        <w:rPr>
          <w:bCs/>
          <w:b/>
        </w:rPr>
        <w:t xml:space="preserve">G02-FR-001</w:t>
      </w:r>
      <w:r>
        <w:t xml:space="preserve"> </w:t>
      </w:r>
      <w:r>
        <w:t xml:space="preserve">The structured data pipeline SHALL execute five stages in sequence for each record:</w:t>
      </w:r>
    </w:p>
    <w:tbl>
      <w:tblPr>
        <w:tblStyle w:val="Table"/>
        <w:tblW w:type="pct" w:w="4968"/>
        <w:tblLook w:firstRow="0" w:lastRow="0" w:firstColumn="0" w:lastColumn="0" w:noHBand="0" w:noVBand="0" w:val="0000"/>
        <w:jc w:val="start"/>
      </w:tblPr>
      <w:tblGrid>
        <w:gridCol w:w="303"/>
        <w:gridCol w:w="556"/>
        <w:gridCol w:w="4706"/>
        <w:gridCol w:w="2302"/>
      </w:tblGrid>
      <w:tr>
        <w:tc>
          <w:tcPr/>
          <w:p>
            <w:pPr>
              <w:pStyle w:val="Compact"/>
              <w:jc w:val="left"/>
            </w:pPr>
            <w:r>
              <w:rPr>
                <w:bCs/>
                <w:b/>
              </w:rPr>
              <w:t xml:space="preserve">Stage</w:t>
            </w:r>
          </w:p>
        </w:tc>
        <w:tc>
          <w:tcPr/>
          <w:p>
            <w:pPr>
              <w:pStyle w:val="Compact"/>
              <w:jc w:val="left"/>
            </w:pPr>
            <w:r>
              <w:rPr>
                <w:bCs/>
                <w:b/>
              </w:rPr>
              <w:t xml:space="preserve">Name</w:t>
            </w:r>
          </w:p>
        </w:tc>
        <w:tc>
          <w:tcPr/>
          <w:p>
            <w:pPr>
              <w:pStyle w:val="Compact"/>
              <w:jc w:val="left"/>
            </w:pPr>
            <w:r>
              <w:rPr>
                <w:bCs/>
                <w:b/>
              </w:rPr>
              <w:t xml:space="preserve">Actions</w:t>
            </w:r>
          </w:p>
        </w:tc>
        <w:tc>
          <w:tcPr/>
          <w:p>
            <w:pPr>
              <w:pStyle w:val="Compact"/>
              <w:jc w:val="left"/>
            </w:pPr>
            <w:r>
              <w:rPr>
                <w:bCs/>
                <w:b/>
              </w:rPr>
              <w:t xml:space="preserve">Output</w:t>
            </w:r>
          </w:p>
        </w:tc>
      </w:tr>
      <w:tr>
        <w:tc>
          <w:tcPr/>
          <w:p>
            <w:pPr>
              <w:pStyle w:val="Compact"/>
              <w:jc w:val="left"/>
            </w:pPr>
            <w:r>
              <w:rPr>
                <w:bCs/>
                <w:b/>
              </w:rPr>
              <w:t xml:space="preserve">1</w:t>
            </w:r>
          </w:p>
        </w:tc>
        <w:tc>
          <w:tcPr/>
          <w:p>
            <w:pPr>
              <w:pStyle w:val="Compact"/>
              <w:jc w:val="left"/>
            </w:pPr>
            <w:r>
              <w:t xml:space="preserve">Contract Validation</w:t>
            </w:r>
          </w:p>
        </w:tc>
        <w:tc>
          <w:tcPr/>
          <w:p>
            <w:pPr>
              <w:pStyle w:val="Compact"/>
              <w:jc w:val="left"/>
            </w:pPr>
            <w:r>
              <w:t xml:space="preserve">Validate record against source’s data contract (D03). Check: required fields present, types correct, values within ranges, no unexpected fields.</w:t>
            </w:r>
          </w:p>
        </w:tc>
        <w:tc>
          <w:tcPr/>
          <w:p>
            <w:pPr>
              <w:pStyle w:val="Compact"/>
              <w:jc w:val="left"/>
            </w:pPr>
            <w:r>
              <w:t xml:space="preserve">Valid records proceed. Invalid records → dead-letter queue with per-field error details.</w:t>
            </w:r>
          </w:p>
        </w:tc>
      </w:tr>
      <w:tr>
        <w:tc>
          <w:tcPr/>
          <w:p>
            <w:pPr>
              <w:pStyle w:val="Compact"/>
              <w:jc w:val="left"/>
            </w:pPr>
            <w:r>
              <w:rPr>
                <w:bCs/>
                <w:b/>
              </w:rPr>
              <w:t xml:space="preserve">2</w:t>
            </w:r>
          </w:p>
        </w:tc>
        <w:tc>
          <w:tcPr/>
          <w:p>
            <w:pPr>
              <w:pStyle w:val="Compact"/>
              <w:jc w:val="left"/>
            </w:pPr>
            <w:r>
              <w:t xml:space="preserve">Identity Resolution</w:t>
            </w:r>
          </w:p>
        </w:tc>
        <w:tc>
          <w:tcPr/>
          <w:p>
            <w:pPr>
              <w:pStyle w:val="Compact"/>
              <w:jc w:val="left"/>
            </w:pPr>
            <w:r>
              <w:t xml:space="preserve">Extract identity signals from the record (phone, email, loyalty card, etc. based on mapping config). Submit to I01 SIR for resolution. Receive UEID (existing or newly created).</w:t>
            </w:r>
          </w:p>
        </w:tc>
        <w:tc>
          <w:tcPr/>
          <w:p>
            <w:pPr>
              <w:pStyle w:val="Compact"/>
              <w:jc w:val="left"/>
            </w:pPr>
            <w:r>
              <w:t xml:space="preserve">Record enriched with entity_id (UEID) from I01.</w:t>
            </w:r>
          </w:p>
        </w:tc>
      </w:tr>
      <w:tr>
        <w:tc>
          <w:tcPr/>
          <w:p>
            <w:pPr>
              <w:pStyle w:val="Compact"/>
              <w:jc w:val="left"/>
            </w:pPr>
            <w:r>
              <w:rPr>
                <w:bCs/>
                <w:b/>
              </w:rPr>
              <w:t xml:space="preserve">3</w:t>
            </w:r>
          </w:p>
        </w:tc>
        <w:tc>
          <w:tcPr/>
          <w:p>
            <w:pPr>
              <w:pStyle w:val="Compact"/>
              <w:jc w:val="left"/>
            </w:pPr>
            <w:r>
              <w:t xml:space="preserve">Canonical Mapping</w:t>
            </w:r>
          </w:p>
        </w:tc>
        <w:tc>
          <w:tcPr/>
          <w:p>
            <w:pPr>
              <w:pStyle w:val="Compact"/>
              <w:jc w:val="left"/>
            </w:pPr>
            <w:r>
              <w:t xml:space="preserve">Apply D02 mapping rules: transform each source field to its canonical target using the configured transformation (DIRECT_COPY, TYPE_CAST, LOOKUP, etc.). Set bi-temporal columns (F03).</w:t>
            </w:r>
          </w:p>
        </w:tc>
        <w:tc>
          <w:tcPr/>
          <w:p>
            <w:pPr>
              <w:pStyle w:val="Compact"/>
              <w:jc w:val="left"/>
            </w:pPr>
            <w:r>
              <w:t xml:space="preserve">Canonical record in D01 schema (e.g., retail.Transaction + retail.TransactionLineItem).</w:t>
            </w:r>
          </w:p>
        </w:tc>
      </w:tr>
      <w:tr>
        <w:tc>
          <w:tcPr/>
          <w:p>
            <w:pPr>
              <w:pStyle w:val="Compact"/>
              <w:jc w:val="left"/>
            </w:pPr>
            <w:r>
              <w:rPr>
                <w:bCs/>
                <w:b/>
              </w:rPr>
              <w:t xml:space="preserve">4</w:t>
            </w:r>
          </w:p>
        </w:tc>
        <w:tc>
          <w:tcPr/>
          <w:p>
            <w:pPr>
              <w:pStyle w:val="Compact"/>
              <w:jc w:val="left"/>
            </w:pPr>
            <w:r>
              <w:t xml:space="preserve">Quality Scoring</w:t>
            </w:r>
          </w:p>
        </w:tc>
        <w:tc>
          <w:tcPr/>
          <w:p>
            <w:pPr>
              <w:pStyle w:val="Compact"/>
              <w:jc w:val="left"/>
            </w:pPr>
            <w:r>
              <w:t xml:space="preserve">D04 scores the mapped record: field completeness, validation pass rate, cross-source consistency. Quality score attached to the record as metadata.</w:t>
            </w:r>
          </w:p>
        </w:tc>
        <w:tc>
          <w:tcPr/>
          <w:p>
            <w:pPr>
              <w:pStyle w:val="Compact"/>
              <w:jc w:val="left"/>
            </w:pPr>
            <w:r>
              <w:t xml:space="preserve">Record with data_quality_score (0-100) metadata.</w:t>
            </w:r>
          </w:p>
        </w:tc>
      </w:tr>
      <w:tr>
        <w:tc>
          <w:tcPr/>
          <w:p>
            <w:pPr>
              <w:pStyle w:val="Compact"/>
              <w:jc w:val="left"/>
            </w:pPr>
            <w:r>
              <w:rPr>
                <w:bCs/>
                <w:b/>
              </w:rPr>
              <w:t xml:space="preserve">5</w:t>
            </w:r>
          </w:p>
        </w:tc>
        <w:tc>
          <w:tcPr/>
          <w:p>
            <w:pPr>
              <w:pStyle w:val="Compact"/>
              <w:jc w:val="left"/>
            </w:pPr>
            <w:r>
              <w:t xml:space="preserve">Silver Write</w:t>
            </w:r>
          </w:p>
        </w:tc>
        <w:tc>
          <w:tcPr/>
          <w:p>
            <w:pPr>
              <w:pStyle w:val="Compact"/>
              <w:jc w:val="left"/>
            </w:pPr>
            <w:r>
              <w:t xml:space="preserve">Write the canonical record to the Silver layer (Cloud SQL PostgreSQL). Emit lineage event (D05). Emit Pub/Sub event for Gold layer materialization and downstream consumers.</w:t>
            </w:r>
          </w:p>
        </w:tc>
        <w:tc>
          <w:tcPr/>
          <w:p>
            <w:pPr>
              <w:pStyle w:val="Compact"/>
              <w:jc w:val="left"/>
            </w:pPr>
            <w:r>
              <w:t xml:space="preserve">Record persisted in Silver. Events emitted.</w:t>
            </w:r>
          </w:p>
        </w:tc>
      </w:tr>
    </w:tbl>
    <w:p>
      <w:pPr>
        <w:pStyle w:val="BodyText"/>
      </w:pPr>
      <w:r>
        <w:rPr>
          <w:bCs/>
          <w:b/>
        </w:rPr>
        <w:t xml:space="preserve">G02-FR-002</w:t>
      </w:r>
      <w:r>
        <w:t xml:space="preserve"> </w:t>
      </w:r>
      <w:r>
        <w:t xml:space="preserve">The pipeline SHALL support two execution modes:</w:t>
      </w:r>
    </w:p>
    <w:p>
      <w:pPr>
        <w:pStyle w:val="BodyText"/>
      </w:pPr>
      <w:r>
        <w:t xml:space="preserve">Batch mode: triggered by a batch_id arrival from G01. Processes all records in the batch sequentially (ordered by record_index). Suitable for CSV uploads and scheduled pulls. Execution via Cloud Run Job.</w:t>
      </w:r>
    </w:p>
    <w:p>
      <w:pPr>
        <w:pStyle w:val="BodyText"/>
      </w:pPr>
      <w:r>
        <w:t xml:space="preserve">Streaming mode: consumes from the ingestion-structured-prod Pub/Sub subscription continuously. Processes each record independently as it arrives. Suitable for API pushes and webhooks. Execution via a long-running Cloud Run service.</w:t>
      </w:r>
    </w:p>
    <w:p>
      <w:pPr>
        <w:pStyle w:val="BodyText"/>
      </w:pPr>
      <w:r>
        <w:rPr>
          <w:bCs/>
          <w:b/>
        </w:rPr>
        <w:t xml:space="preserve">G02-FR-003</w:t>
      </w:r>
      <w:r>
        <w:t xml:space="preserve"> </w:t>
      </w:r>
      <w:r>
        <w:t xml:space="preserve">Both modes use the same mapping rules (D02), same contract validation (D03), same identity resolution (I01), and same Silver write logic. Code path is identical; only the trigger and concurrency model differ.</w:t>
      </w:r>
    </w:p>
    <w:bookmarkStart w:id="136" w:name="dead-letter-queue-dlq-management"/>
    <w:p>
      <w:pPr>
        <w:pStyle w:val="Heading3"/>
      </w:pPr>
      <w:r>
        <w:t xml:space="preserve">5.2.1 Dead-Letter Queue (DLQ) Management</w:t>
      </w:r>
    </w:p>
    <w:p>
      <w:pPr>
        <w:pStyle w:val="FirstParagraph"/>
      </w:pPr>
      <w:r>
        <w:rPr>
          <w:bCs/>
          <w:b/>
        </w:rPr>
        <w:t xml:space="preserve">G02-FR-010</w:t>
      </w:r>
      <w:r>
        <w:t xml:space="preserve"> </w:t>
      </w:r>
      <w:r>
        <w:t xml:space="preserve">Records failing contract validation or mapping SHALL be routed to the DLQ. Each DLQ entry SHALL contain: original record, failure reason (per-field errors), source_id, batch_id, timestamp, and retry_count.</w:t>
      </w:r>
    </w:p>
    <w:p>
      <w:pPr>
        <w:pStyle w:val="BodyText"/>
      </w:pPr>
      <w:r>
        <w:rPr>
          <w:bCs/>
          <w:b/>
        </w:rPr>
        <w:t xml:space="preserve">G02-FR-011</w:t>
      </w:r>
      <w:r>
        <w:t xml:space="preserve"> </w:t>
      </w:r>
      <w:r>
        <w:t xml:space="preserve">DLQ records SHALL be visible in the Admin Console (Data Source Wizard, S08) under the source’s</w:t>
      </w:r>
      <w:r>
        <w:t xml:space="preserve"> </w:t>
      </w:r>
      <w:r>
        <w:t xml:space="preserve">‘</w:t>
      </w:r>
      <w:r>
        <w:t xml:space="preserve">Ingestion Health</w:t>
      </w:r>
      <w:r>
        <w:t xml:space="preserve">’</w:t>
      </w:r>
      <w:r>
        <w:t xml:space="preserve"> </w:t>
      </w:r>
      <w:r>
        <w:t xml:space="preserve">tab. Tenant Admin can: view individual failures, download failed records as CSV, fix the mapping rule (via D02 Mapping Studio) and retry from DLQ, or dismiss false-positive failures.</w:t>
      </w:r>
    </w:p>
    <w:p>
      <w:pPr>
        <w:pStyle w:val="BodyText"/>
      </w:pPr>
      <w:r>
        <w:rPr>
          <w:bCs/>
          <w:b/>
        </w:rPr>
        <w:t xml:space="preserve">G02-FR-012</w:t>
      </w:r>
      <w:r>
        <w:t xml:space="preserve"> </w:t>
      </w:r>
      <w:r>
        <w:t xml:space="preserve">DLQ retention: 30 days. After 30 days, unresolved DLQ records are archived to cold storage. A summary alert is sent to the Tenant Admin if DLQ depth exceeds 1% of total ingested volume for a source.</w:t>
      </w:r>
    </w:p>
    <w:bookmarkEnd w:id="136"/>
    <w:bookmarkStart w:id="137" w:name="line-item-handling"/>
    <w:p>
      <w:pPr>
        <w:pStyle w:val="Heading3"/>
      </w:pPr>
      <w:r>
        <w:t xml:space="preserve">5.2.2 Line Item Handling</w:t>
      </w:r>
    </w:p>
    <w:p>
      <w:pPr>
        <w:pStyle w:val="FirstParagraph"/>
      </w:pPr>
      <w:r>
        <w:rPr>
          <w:bCs/>
          <w:b/>
        </w:rPr>
        <w:t xml:space="preserve">G02-FR-020</w:t>
      </w:r>
      <w:r>
        <w:t xml:space="preserve"> </w:t>
      </w:r>
      <w:r>
        <w:t xml:space="preserve">For POS transaction data with line items, G02 SHALL handle two common source formats:</w:t>
      </w:r>
    </w:p>
    <w:p>
      <w:pPr>
        <w:pStyle w:val="BodyText"/>
      </w:pPr>
      <w:r>
        <w:t xml:space="preserve">Flat format: each line item is a separate row with transaction header fields repeated. G02 groups by transaction_ref, creates one retail.Transaction record and N retail.TransactionLineItem records.</w:t>
      </w:r>
    </w:p>
    <w:p>
      <w:pPr>
        <w:pStyle w:val="BodyText"/>
      </w:pPr>
      <w:r>
        <w:t xml:space="preserve">Nested format: transaction record contains an array of line items. G02 unpacks the array, creates one retail.Transaction and N retail.TransactionLineItem records.</w:t>
      </w:r>
    </w:p>
    <w:p>
      <w:pPr>
        <w:pStyle w:val="BodyText"/>
      </w:pPr>
      <w:r>
        <w:rPr>
          <w:bCs/>
          <w:b/>
        </w:rPr>
        <w:t xml:space="preserve">G02-FR-021</w:t>
      </w:r>
      <w:r>
        <w:t xml:space="preserve"> </w:t>
      </w:r>
      <w:r>
        <w:t xml:space="preserve">The grouping/unpacking strategy SHALL be configurable per source in the mapping rules. The mapping rule specifies: grouping_key (e.g.,</w:t>
      </w:r>
      <w:r>
        <w:t xml:space="preserve"> </w:t>
      </w:r>
      <w:r>
        <w:t xml:space="preserve">‘</w:t>
      </w:r>
      <w:r>
        <w:t xml:space="preserve">InvoiceNo</w:t>
      </w:r>
      <w:r>
        <w:t xml:space="preserve">’</w:t>
      </w:r>
      <w:r>
        <w:t xml:space="preserve">), line_item_array_field (for nested format), or grouping_mode (</w:t>
      </w:r>
      <w:r>
        <w:t xml:space="preserve">‘</w:t>
      </w:r>
      <w:r>
        <w:t xml:space="preserve">FLAT_GROUP_BY</w:t>
      </w:r>
      <w:r>
        <w:t xml:space="preserve">’</w:t>
      </w:r>
      <w:r>
        <w:t xml:space="preserve"> </w:t>
      </w:r>
      <w:r>
        <w:t xml:space="preserve">or</w:t>
      </w:r>
      <w:r>
        <w:t xml:space="preserve"> </w:t>
      </w:r>
      <w:r>
        <w:t xml:space="preserve">‘</w:t>
      </w:r>
      <w:r>
        <w:t xml:space="preserve">NESTED_UNPACK</w:t>
      </w:r>
      <w:r>
        <w:t xml:space="preserve">’</w:t>
      </w:r>
      <w:r>
        <w:t xml:space="preserve">).</w:t>
      </w:r>
    </w:p>
    <w:bookmarkEnd w:id="137"/>
    <w:bookmarkEnd w:id="138"/>
    <w:bookmarkStart w:id="139" w:name="acceptance-criteria-10"/>
    <w:p>
      <w:pPr>
        <w:pStyle w:val="Heading2"/>
      </w:pPr>
      <w:r>
        <w:t xml:space="preserve">5.3 Acceptance Criteria</w:t>
      </w:r>
    </w:p>
    <w:p>
      <w:pPr>
        <w:pStyle w:val="FirstParagraph"/>
      </w:pPr>
      <w:r>
        <w:t xml:space="preserve">A batch of 10,000 POS transactions (flat format, 3 line items average) is processed through all 5 stages in under 60 seconds. Result: 10,000 retail.Transaction records and ~30,000 retail.TransactionLineItem records in Silver.</w:t>
      </w:r>
    </w:p>
    <w:p>
      <w:pPr>
        <w:pStyle w:val="BodyText"/>
      </w:pPr>
      <w:r>
        <w:t xml:space="preserve">Streaming mode handles 50 records/second sustained throughput with p95 end-to-end latency (receipt to Silver write) under 2 seconds.</w:t>
      </w:r>
    </w:p>
    <w:p>
      <w:pPr>
        <w:pStyle w:val="BodyText"/>
      </w:pPr>
      <w:r>
        <w:t xml:space="preserve">A record with an invalid date format is routed to DLQ with a specific error (</w:t>
      </w:r>
      <w:r>
        <w:t xml:space="preserve">‘</w:t>
      </w:r>
      <w:r>
        <w:t xml:space="preserve">field: purchase_date, error: expected DD/MM/YYYY, got 2026-03-15</w:t>
      </w:r>
      <w:r>
        <w:t xml:space="preserve">’</w:t>
      </w:r>
      <w:r>
        <w:t xml:space="preserve">). Valid records in the same batch are processed normally.</w:t>
      </w:r>
    </w:p>
    <w:p>
      <w:pPr>
        <w:pStyle w:val="BodyText"/>
      </w:pPr>
      <w:r>
        <w:t xml:space="preserve">Identity resolution correctly links a POS transaction (with phone signal) to an existing customer entity created from a previous CRM import (with matching phone signal). The transaction’s entity_id matches the CRM customer’s UEID.</w:t>
      </w:r>
    </w:p>
    <w:p>
      <w:pPr>
        <w:pStyle w:val="BodyText"/>
      </w:pPr>
      <w:r>
        <w:t xml:space="preserve">A Tenant Admin can view DLQ entries, identify the mapping error, fix the mapping rule in D02 Mapping Studio, and retry the DLQ records — all without engineering involvement.</w:t>
      </w:r>
    </w:p>
    <w:p>
      <w:pPr>
        <w:pStyle w:val="BodyText"/>
      </w:pPr>
      <w:r>
        <w:rPr>
          <w:iCs/>
          <w:i/>
        </w:rPr>
        <w:t xml:space="preserve">End of Identity &amp; Knowledge (I01–I03) and Ingestion (G01–G02) specifications. With F01–F05, D01–D06, I01–I03, and G01–G02 specified, all 16 Phase 0 modules have detailed specs. Next batch: Phase 1 modules — Access &amp; Security (AC01–AC04), Edge (ED01), Industry Config (IC01–IC02), Observability (OB01–OB03), and the Privacy modules (PR01, PR03, PR05, PR06).</w:t>
      </w:r>
    </w:p>
    <w:p>
      <w:pPr>
        <w:pStyle w:val="BodyText"/>
      </w:pPr>
      <w:r>
        <w:rPr>
          <w:bCs/>
          <w:b/>
        </w:rPr>
        <w:t xml:space="preserve">PART IV</w:t>
      </w:r>
    </w:p>
    <w:p>
      <w:pPr>
        <w:pStyle w:val="BodyText"/>
      </w:pPr>
      <w:r>
        <w:t xml:space="preserve">Phase 0 + Phase 1 Remaining — 20 Modules</w:t>
      </w:r>
    </w:p>
    <w:p>
      <w:pPr>
        <w:pStyle w:val="BodyText"/>
      </w:pPr>
      <w:r>
        <w:rPr>
          <w:bCs/>
          <w:b/>
        </w:rPr>
        <w:t xml:space="preserve">Detailed Module Specifications</w:t>
      </w:r>
    </w:p>
    <w:p>
      <w:pPr>
        <w:pStyle w:val="BodyText"/>
      </w:pPr>
      <w:r>
        <w:t xml:space="preserve">Phase 0 Remaining + Phase 1 Modules</w:t>
      </w:r>
    </w:p>
    <w:p>
      <w:pPr>
        <w:pStyle w:val="BodyText"/>
      </w:pPr>
      <w:r>
        <w:t xml:space="preserve">Access &amp; Security (AC01–AC04) • Streaming (S01) • Industry Config (IC01–IC02)</w:t>
      </w:r>
    </w:p>
    <w:p>
      <w:pPr>
        <w:pStyle w:val="BodyText"/>
      </w:pPr>
      <w:r>
        <w:t xml:space="preserve">AI/ML Core (A05–A06) • Integration (O01) • Observability (OB01–OB03)</w:t>
      </w:r>
    </w:p>
    <w:p>
      <w:pPr>
        <w:pStyle w:val="BodyText"/>
      </w:pPr>
      <w:r>
        <w:t xml:space="preserve">Edge (ED01) • Resilience (RE01) • Privacy (PR01, PR03, PR05, PR06) • Testing (T01)</w:t>
      </w:r>
    </w:p>
    <w:p>
      <w:pPr>
        <w:pStyle w:val="BodyText"/>
      </w:pPr>
      <w:r>
        <w:t xml:space="preserve">Sevyn8 Intelligence &amp; Analytics Platform — v1.0 — April 2026 — CONFIDENTIAL</w:t>
      </w:r>
    </w:p>
    <w:bookmarkEnd w:id="139"/>
    <w:bookmarkEnd w:id="140"/>
    <w:bookmarkStart w:id="149" w:name="ac01-abac-rbac-engine"/>
    <w:p>
      <w:pPr>
        <w:pStyle w:val="Heading1"/>
      </w:pPr>
      <w:r>
        <w:t xml:space="preserve">AC01 — ABAC + RBAC Engine</w:t>
      </w:r>
    </w:p>
    <w:tbl>
      <w:tblPr>
        <w:tblStyle w:val="Table"/>
        <w:tblW w:type="pct" w:w="4898"/>
        <w:tblLook w:firstRow="0" w:lastRow="0" w:firstColumn="0" w:lastColumn="0" w:noHBand="0" w:noVBand="0" w:val="0000"/>
        <w:jc w:val="start"/>
      </w:tblPr>
      <w:tblGrid>
        <w:gridCol w:w="2020"/>
        <w:gridCol w:w="5737"/>
      </w:tblGrid>
      <w:t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rPr>
                <w:bCs/>
                <w:b/>
              </w:rPr>
              <w:t xml:space="preserve">Phase / Complexity</w:t>
            </w:r>
          </w:p>
        </w:tc>
        <w:tc>
          <w:tcPr/>
          <w:p>
            <w:pPr>
              <w:pStyle w:val="Compact"/>
              <w:jc w:val="left"/>
            </w:pPr>
            <w:r>
              <w:t xml:space="preserve">0 / High</w:t>
            </w:r>
          </w:p>
        </w:tc>
      </w:tr>
      <w:tr>
        <w:tc>
          <w:tcPr/>
          <w:p>
            <w:pPr>
              <w:pStyle w:val="Compact"/>
              <w:jc w:val="left"/>
            </w:pPr>
            <w:r>
              <w:rPr>
                <w:bCs/>
                <w:b/>
              </w:rPr>
              <w:t xml:space="preserve">Dependencies</w:t>
            </w:r>
          </w:p>
        </w:tc>
        <w:tc>
          <w:tcPr/>
          <w:p>
            <w:pPr>
              <w:pStyle w:val="Compact"/>
              <w:jc w:val="left"/>
            </w:pPr>
            <w:r>
              <w:t xml:space="preserve">F01 (Multi-Tenancy)</w:t>
            </w:r>
          </w:p>
        </w:tc>
      </w:tr>
      <w:tr>
        <w:tc>
          <w:tcPr/>
          <w:p>
            <w:pPr>
              <w:pStyle w:val="Compact"/>
              <w:jc w:val="left"/>
            </w:pPr>
            <w:r>
              <w:rPr>
                <w:bCs/>
                <w:b/>
              </w:rPr>
              <w:t xml:space="preserve">Depended On By</w:t>
            </w:r>
          </w:p>
        </w:tc>
        <w:tc>
          <w:tcPr/>
          <w:p>
            <w:pPr>
              <w:pStyle w:val="Compact"/>
              <w:jc w:val="left"/>
            </w:pPr>
            <w:r>
              <w:t xml:space="preserve">AC02, AC03, AC04, O01, PR03 — every module that checks permissions</w:t>
            </w:r>
          </w:p>
        </w:tc>
      </w:tr>
    </w:tbl>
    <w:bookmarkStart w:id="141" w:name="purpose-16"/>
    <w:p>
      <w:pPr>
        <w:pStyle w:val="Heading2"/>
      </w:pPr>
      <w:r>
        <w:t xml:space="preserve">1.1 Purpose</w:t>
      </w:r>
    </w:p>
    <w:p>
      <w:pPr>
        <w:pStyle w:val="FirstParagraph"/>
      </w:pPr>
      <w:r>
        <w:t xml:space="preserve">AC01 governs who can do what with which data. It combines Role-Based Access Control (RBAC — coarse-grained role assignments) with Attribute-Based Access Control (ABAC — fine-grained policies based on user attributes, resource attributes, and context). Every API request, UI screen render, database query, and algorithm execution is authorized through AC01.</w:t>
      </w:r>
    </w:p>
    <w:bookmarkEnd w:id="141"/>
    <w:bookmarkStart w:id="146" w:name="functional-requirements-8"/>
    <w:p>
      <w:pPr>
        <w:pStyle w:val="Heading2"/>
      </w:pPr>
      <w:r>
        <w:t xml:space="preserve">1.2 Functional Requirements</w:t>
      </w:r>
    </w:p>
    <w:bookmarkStart w:id="142" w:name="role-model"/>
    <w:p>
      <w:pPr>
        <w:pStyle w:val="Heading3"/>
      </w:pPr>
      <w:r>
        <w:t xml:space="preserve">1.2.1 Role Model</w:t>
      </w:r>
    </w:p>
    <w:p>
      <w:pPr>
        <w:pStyle w:val="FirstParagraph"/>
      </w:pPr>
      <w:r>
        <w:rPr>
          <w:bCs/>
          <w:b/>
        </w:rPr>
        <w:t xml:space="preserve">AC01-FR-001</w:t>
      </w:r>
      <w:r>
        <w:t xml:space="preserve"> </w:t>
      </w:r>
      <w:r>
        <w:t xml:space="preserve">The platform SHALL support two role categories: (a) Platform-defined roles (immutable, created at platform deployment): SUPER_ADMIN, TENANT_ADMIN, SUB_TENANT_ADMIN, DATA_STEWARD, ALGORITHM_MANAGER, END_USER. (b) Tenant-custom roles (created by Tenant Admin via S06/W10): custom names, custom permission sets, derived from platform roles.</w:t>
      </w:r>
    </w:p>
    <w:p>
      <w:pPr>
        <w:pStyle w:val="BodyText"/>
      </w:pPr>
      <w:r>
        <w:rPr>
          <w:bCs/>
          <w:b/>
        </w:rPr>
        <w:t xml:space="preserve">AC01-FR-002</w:t>
      </w:r>
      <w:r>
        <w:t xml:space="preserve"> </w:t>
      </w:r>
      <w:r>
        <w:t xml:space="preserve">Each role SHALL have a Permission Set — a collection of permissions organized by resource type: data (which entity types, which hierarchy scopes), features (which UI screens, which API endpoints), admin (which configuration actions), algorithms (which algorithms can be executed or configured).</w:t>
      </w:r>
    </w:p>
    <w:p>
      <w:pPr>
        <w:pStyle w:val="BodyText"/>
      </w:pPr>
      <w:r>
        <w:rPr>
          <w:bCs/>
          <w:b/>
        </w:rPr>
        <w:t xml:space="preserve">AC01-FR-003</w:t>
      </w:r>
      <w:r>
        <w:t xml:space="preserve"> </w:t>
      </w:r>
      <w:r>
        <w:t xml:space="preserve">A user MAY be assigned multiple roles simultaneously. The effective permission set is the UNION of all assigned roles’ permissions (most permissive wins within a tenant scope). Cross-tenant permission union is NEVER allowed.</w:t>
      </w:r>
    </w:p>
    <w:bookmarkEnd w:id="142"/>
    <w:bookmarkStart w:id="143" w:name="attribute-based-policies"/>
    <w:p>
      <w:pPr>
        <w:pStyle w:val="Heading3"/>
      </w:pPr>
      <w:r>
        <w:t xml:space="preserve">1.2.2 Attribute-Based Policies</w:t>
      </w:r>
    </w:p>
    <w:p>
      <w:pPr>
        <w:pStyle w:val="FirstParagraph"/>
      </w:pPr>
      <w:r>
        <w:rPr>
          <w:bCs/>
          <w:b/>
        </w:rPr>
        <w:t xml:space="preserve">AC01-FR-010</w:t>
      </w:r>
      <w:r>
        <w:t xml:space="preserve"> </w:t>
      </w:r>
      <w:r>
        <w:t xml:space="preserve">Beyond role-based permissions, AC01 SHALL enforce attribute-based policies that evaluate at request time based on: (a) User attributes: role, hierarchy_node, department, employment_type, (b) Resource attributes: entity_type, sensitivity_level, data_classification, (c) Context attributes: time_of_day, ip_address, device_type, tenant_tier, (d) Action: read, write, delete, export, execute_algorithm.</w:t>
      </w:r>
    </w:p>
    <w:p>
      <w:pPr>
        <w:pStyle w:val="BodyText"/>
      </w:pPr>
      <w:r>
        <w:rPr>
          <w:bCs/>
          <w:b/>
        </w:rPr>
        <w:t xml:space="preserve">AC01-FR-011</w:t>
      </w:r>
      <w:r>
        <w:t xml:space="preserve"> </w:t>
      </w:r>
      <w:r>
        <w:t xml:space="preserve">ABAC policies SHALL be expressed as rules in a policy engine. The policy engine evaluates ALL applicable policies for a request and returns ALLOW or DENY. If any policy DENYs, the request is denied (deny-overrides model). The recommended implementation is Open Policy Agent (OPA) with Rego policy language, running as a sidecar in GKE.</w:t>
      </w:r>
    </w:p>
    <w:p>
      <w:pPr>
        <w:pStyle w:val="BodyText"/>
      </w:pPr>
      <w:r>
        <w:rPr>
          <w:bCs/>
          <w:b/>
        </w:rPr>
        <w:t xml:space="preserve">AC01-FR-012</w:t>
      </w:r>
      <w:r>
        <w:t xml:space="preserve"> </w:t>
      </w:r>
      <w:r>
        <w:t xml:space="preserve">The following ABAC policy types SHALL be supported from Phase 0:</w:t>
      </w:r>
    </w:p>
    <w:tbl>
      <w:tblPr>
        <w:tblStyle w:val="Table"/>
        <w:tblW w:type="pct" w:w="4958"/>
        <w:tblLook w:firstRow="0" w:lastRow="0" w:firstColumn="0" w:lastColumn="0" w:noHBand="0" w:noVBand="0" w:val="0000"/>
        <w:jc w:val="start"/>
      </w:tblPr>
      <w:tblGrid>
        <w:gridCol w:w="762"/>
        <w:gridCol w:w="3114"/>
        <w:gridCol w:w="3976"/>
      </w:tblGrid>
      <w:tr>
        <w:tc>
          <w:tcPr/>
          <w:p>
            <w:pPr>
              <w:pStyle w:val="Compact"/>
              <w:jc w:val="left"/>
            </w:pPr>
            <w:r>
              <w:rPr>
                <w:bCs/>
                <w:b/>
              </w:rPr>
              <w:t xml:space="preserve">Policy Type</w:t>
            </w:r>
          </w:p>
        </w:tc>
        <w:tc>
          <w:tcPr/>
          <w:p>
            <w:pPr>
              <w:pStyle w:val="Compact"/>
              <w:jc w:val="left"/>
            </w:pPr>
            <w:r>
              <w:rPr>
                <w:bCs/>
                <w:b/>
              </w:rPr>
              <w:t xml:space="preserve">Description</w:t>
            </w:r>
          </w:p>
        </w:tc>
        <w:tc>
          <w:tcPr/>
          <w:p>
            <w:pPr>
              <w:pStyle w:val="Compact"/>
              <w:jc w:val="left"/>
            </w:pPr>
            <w:r>
              <w:rPr>
                <w:bCs/>
                <w:b/>
              </w:rPr>
              <w:t xml:space="preserve">Example</w:t>
            </w:r>
          </w:p>
        </w:tc>
      </w:tr>
      <w:tr>
        <w:tc>
          <w:tcPr/>
          <w:p>
            <w:pPr>
              <w:pStyle w:val="Compact"/>
              <w:jc w:val="left"/>
            </w:pPr>
            <w:r>
              <w:rPr>
                <w:bCs/>
                <w:b/>
              </w:rPr>
              <w:t xml:space="preserve">Hierarchy Scope</w:t>
            </w:r>
          </w:p>
        </w:tc>
        <w:tc>
          <w:tcPr/>
          <w:p>
            <w:pPr>
              <w:pStyle w:val="Compact"/>
              <w:jc w:val="left"/>
            </w:pPr>
            <w:r>
              <w:t xml:space="preserve">User sees data only for their hierarchy node and below.</w:t>
            </w:r>
          </w:p>
        </w:tc>
        <w:tc>
          <w:tcPr/>
          <w:p>
            <w:pPr>
              <w:pStyle w:val="Compact"/>
              <w:jc w:val="left"/>
            </w:pPr>
            <w:r>
              <w:t xml:space="preserve">Store manager at Store-MUM-001 sees only that store’s transactions. Regional manager sees all stores in their region.</w:t>
            </w:r>
          </w:p>
        </w:tc>
      </w:tr>
      <w:tr>
        <w:tc>
          <w:tcPr/>
          <w:p>
            <w:pPr>
              <w:pStyle w:val="Compact"/>
              <w:jc w:val="left"/>
            </w:pPr>
            <w:r>
              <w:rPr>
                <w:bCs/>
                <w:b/>
              </w:rPr>
              <w:t xml:space="preserve">Column Masking</w:t>
            </w:r>
          </w:p>
        </w:tc>
        <w:tc>
          <w:tcPr/>
          <w:p>
            <w:pPr>
              <w:pStyle w:val="Compact"/>
              <w:jc w:val="left"/>
            </w:pPr>
            <w:r>
              <w:t xml:space="preserve">Certain columns are masked or hidden based on user role/sensitivity level.</w:t>
            </w:r>
          </w:p>
        </w:tc>
        <w:tc>
          <w:tcPr/>
          <w:p>
            <w:pPr>
              <w:pStyle w:val="Compact"/>
              <w:jc w:val="left"/>
            </w:pPr>
            <w:r>
              <w:t xml:space="preserve">END_USER role sees customer_segment but not customer_phone. DATA_STEWARD sees all columns.</w:t>
            </w:r>
          </w:p>
        </w:tc>
      </w:tr>
      <w:tr>
        <w:tc>
          <w:tcPr/>
          <w:p>
            <w:pPr>
              <w:pStyle w:val="Compact"/>
              <w:jc w:val="left"/>
            </w:pPr>
            <w:r>
              <w:rPr>
                <w:bCs/>
                <w:b/>
              </w:rPr>
              <w:t xml:space="preserve">Aggregation-Only</w:t>
            </w:r>
          </w:p>
        </w:tc>
        <w:tc>
          <w:tcPr/>
          <w:p>
            <w:pPr>
              <w:pStyle w:val="Compact"/>
              <w:jc w:val="left"/>
            </w:pPr>
            <w:r>
              <w:t xml:space="preserve">User can see aggregated metrics at a level but not individual records.</w:t>
            </w:r>
          </w:p>
        </w:tc>
        <w:tc>
          <w:tcPr/>
          <w:p>
            <w:pPr>
              <w:pStyle w:val="Compact"/>
              <w:jc w:val="left"/>
            </w:pPr>
            <w:r>
              <w:t xml:space="preserve">Regional analyst can see city-level revenue totals but not individual store transactions.</w:t>
            </w:r>
          </w:p>
        </w:tc>
      </w:tr>
      <w:tr>
        <w:tc>
          <w:tcPr/>
          <w:p>
            <w:pPr>
              <w:pStyle w:val="Compact"/>
              <w:jc w:val="left"/>
            </w:pPr>
            <w:r>
              <w:rPr>
                <w:bCs/>
                <w:b/>
              </w:rPr>
              <w:t xml:space="preserve">Time Window</w:t>
            </w:r>
          </w:p>
        </w:tc>
        <w:tc>
          <w:tcPr/>
          <w:p>
            <w:pPr>
              <w:pStyle w:val="Compact"/>
              <w:jc w:val="left"/>
            </w:pPr>
            <w:r>
              <w:t xml:space="preserve">User can only access data within a specific time range.</w:t>
            </w:r>
          </w:p>
        </w:tc>
        <w:tc>
          <w:tcPr/>
          <w:p>
            <w:pPr>
              <w:pStyle w:val="Compact"/>
              <w:jc w:val="left"/>
            </w:pPr>
            <w:r>
              <w:t xml:space="preserve">Contract worker sees only last 90 days of data.</w:t>
            </w:r>
          </w:p>
        </w:tc>
      </w:tr>
      <w:tr>
        <w:tc>
          <w:tcPr/>
          <w:p>
            <w:pPr>
              <w:pStyle w:val="Compact"/>
              <w:jc w:val="left"/>
            </w:pPr>
            <w:r>
              <w:rPr>
                <w:bCs/>
                <w:b/>
              </w:rPr>
              <w:t xml:space="preserve">Consent-Gated</w:t>
            </w:r>
          </w:p>
        </w:tc>
        <w:tc>
          <w:tcPr/>
          <w:p>
            <w:pPr>
              <w:pStyle w:val="Compact"/>
              <w:jc w:val="left"/>
            </w:pPr>
            <w:r>
              <w:t xml:space="preserve">Access to personal data requires the Data Principal’s consent for the requesting purpose.</w:t>
            </w:r>
          </w:p>
        </w:tc>
        <w:tc>
          <w:tcPr/>
          <w:p>
            <w:pPr>
              <w:pStyle w:val="Compact"/>
              <w:jc w:val="left"/>
            </w:pPr>
            <w:r>
              <w:t xml:space="preserve">Marketing algorithm cannot access customer data unless consent_status.marketing = true.</w:t>
            </w:r>
          </w:p>
        </w:tc>
      </w:tr>
      <w:tr>
        <w:tc>
          <w:tcPr/>
          <w:p>
            <w:pPr>
              <w:pStyle w:val="Compact"/>
              <w:jc w:val="left"/>
            </w:pPr>
            <w:r>
              <w:rPr>
                <w:bCs/>
                <w:b/>
              </w:rPr>
              <w:t xml:space="preserve">MFA-Required</w:t>
            </w:r>
          </w:p>
        </w:tc>
        <w:tc>
          <w:tcPr/>
          <w:p>
            <w:pPr>
              <w:pStyle w:val="Compact"/>
              <w:jc w:val="left"/>
            </w:pPr>
            <w:r>
              <w:t xml:space="preserve">Certain actions require step-up authentication (MFA) even if the user is already logged in.</w:t>
            </w:r>
          </w:p>
        </w:tc>
        <w:tc>
          <w:tcPr/>
          <w:p>
            <w:pPr>
              <w:pStyle w:val="Compact"/>
              <w:jc w:val="left"/>
            </w:pPr>
            <w:r>
              <w:t xml:space="preserve">Exporting &gt;1000 records, accessing PII fields, modifying RBAC policies.</w:t>
            </w:r>
          </w:p>
        </w:tc>
      </w:tr>
    </w:tbl>
    <w:bookmarkEnd w:id="143"/>
    <w:bookmarkStart w:id="144" w:name="authentication"/>
    <w:p>
      <w:pPr>
        <w:pStyle w:val="Heading3"/>
      </w:pPr>
      <w:r>
        <w:t xml:space="preserve">1.2.3 Authentication</w:t>
      </w:r>
    </w:p>
    <w:p>
      <w:pPr>
        <w:pStyle w:val="FirstParagraph"/>
      </w:pPr>
      <w:r>
        <w:rPr>
          <w:bCs/>
          <w:b/>
        </w:rPr>
        <w:t xml:space="preserve">AC01-FR-020</w:t>
      </w:r>
      <w:r>
        <w:t xml:space="preserve"> </w:t>
      </w:r>
      <w:r>
        <w:t xml:space="preserve">The platform SHALL support three authentication methods: (a) Email + password (with bcrypt hashing, minimum 12 characters, breach database check), (b) SSO/SAML federation (tenant’s IdP federated via Google Identity Platform), (c) API key authentication (for machine-to-machine integrations). Each tenant configures their preferred method(s) during onboarding (W01).</w:t>
      </w:r>
    </w:p>
    <w:p>
      <w:pPr>
        <w:pStyle w:val="BodyText"/>
      </w:pPr>
      <w:r>
        <w:rPr>
          <w:bCs/>
          <w:b/>
        </w:rPr>
        <w:t xml:space="preserve">AC01-FR-021</w:t>
      </w:r>
      <w:r>
        <w:t xml:space="preserve"> </w:t>
      </w:r>
      <w:r>
        <w:t xml:space="preserve">MFA SHALL be mandatory for SUPER_ADMIN, TENANT_ADMIN, and DATA_STEWARD roles. MFA SHALL be optional (tenant-configurable) for other roles. Supported MFA methods: TOTP (authenticator app), SMS OTP (fallback), and passkey/FIDO2 (recommended).</w:t>
      </w:r>
    </w:p>
    <w:p>
      <w:pPr>
        <w:pStyle w:val="BodyText"/>
      </w:pPr>
      <w:r>
        <w:rPr>
          <w:bCs/>
          <w:b/>
        </w:rPr>
        <w:t xml:space="preserve">AC01-FR-022</w:t>
      </w:r>
      <w:r>
        <w:t xml:space="preserve"> </w:t>
      </w:r>
      <w:r>
        <w:t xml:space="preserve">Sessions SHALL use short-lived JWTs (15-minute access token, 7-day refresh token). The JWT SHALL contain: user_id, tenant_id, roles[], hierarchy_nodes[], token_type, issued_at, expires_at. The JWT is tenant-bound — a token for Tenant A cannot be used to access Tenant B.</w:t>
      </w:r>
    </w:p>
    <w:p>
      <w:pPr>
        <w:pStyle w:val="BodyText"/>
      </w:pPr>
      <w:r>
        <w:rPr>
          <w:bCs/>
          <w:b/>
        </w:rPr>
        <w:t xml:space="preserve">AC01-FR-023</w:t>
      </w:r>
      <w:r>
        <w:t xml:space="preserve"> </w:t>
      </w:r>
      <w:r>
        <w:t xml:space="preserve">Adaptive authentication: login from a new device, new IP range, or impossible travel (login from Mumbai then Delhi within 10 minutes) SHALL trigger step-up verification (MFA challenge) even if the user normally bypasses MFA.</w:t>
      </w:r>
    </w:p>
    <w:bookmarkEnd w:id="144"/>
    <w:bookmarkStart w:id="145" w:name="authorization-enforcement-points"/>
    <w:p>
      <w:pPr>
        <w:pStyle w:val="Heading3"/>
      </w:pPr>
      <w:r>
        <w:t xml:space="preserve">1.2.4 Authorization Enforcement Points</w:t>
      </w:r>
    </w:p>
    <w:p>
      <w:pPr>
        <w:pStyle w:val="FirstParagraph"/>
      </w:pPr>
      <w:r>
        <w:rPr>
          <w:bCs/>
          <w:b/>
        </w:rPr>
        <w:t xml:space="preserve">AC01-FR-030</w:t>
      </w:r>
      <w:r>
        <w:t xml:space="preserve"> </w:t>
      </w:r>
      <w:r>
        <w:t xml:space="preserve">Authorization SHALL be enforced at four layers (defense in depth — not just application layer):</w:t>
      </w:r>
    </w:p>
    <w:p>
      <w:pPr>
        <w:pStyle w:val="BodyText"/>
      </w:pPr>
      <w:r>
        <w:t xml:space="preserve">API Gateway (O01): validates JWT, checks if the user’s role has access to the requested API endpoint. Rejects unauthorized requests before they reach application code.</w:t>
      </w:r>
    </w:p>
    <w:p>
      <w:pPr>
        <w:pStyle w:val="BodyText"/>
      </w:pPr>
      <w:r>
        <w:t xml:space="preserve">Application Layer: checks ABAC policies for fine-grained authorization (hierarchy scope, column masking, time window). Uses OPA sidecar for policy evaluation.</w:t>
      </w:r>
    </w:p>
    <w:p>
      <w:pPr>
        <w:pStyle w:val="BodyText"/>
      </w:pPr>
      <w:r>
        <w:t xml:space="preserve">Database Layer: RLS policies (F01) enforce tenant isolation. Views enforce column masking (user-specific views that exclude masked columns). BigQuery authorized views enforce hierarchy scope.</w:t>
      </w:r>
    </w:p>
    <w:p>
      <w:pPr>
        <w:pStyle w:val="BodyText"/>
      </w:pPr>
      <w:r>
        <w:t xml:space="preserve">Audit Layer: every authorization decision (ALLOW or DENY) is logged with: user_id, tenant_id, resource, action, decision, policy_ids_evaluated, timestamp. Stored in append-only audit log.</w:t>
      </w:r>
    </w:p>
    <w:bookmarkEnd w:id="145"/>
    <w:bookmarkEnd w:id="146"/>
    <w:bookmarkStart w:id="147" w:name="data-model-2"/>
    <w:p>
      <w:pPr>
        <w:pStyle w:val="Heading2"/>
      </w:pPr>
      <w:r>
        <w:t xml:space="preserve">1.3 Data Model</w:t>
      </w:r>
    </w:p>
    <w:tbl>
      <w:tblPr>
        <w:tblStyle w:val="Table"/>
        <w:tblW w:type="pct" w:w="4945"/>
        <w:tblLook w:firstRow="0" w:lastRow="0" w:firstColumn="0" w:lastColumn="0" w:noHBand="0" w:noVBand="0" w:val="0000"/>
        <w:jc w:val="start"/>
      </w:tblPr>
      <w:tblGrid>
        <w:gridCol w:w="1174"/>
        <w:gridCol w:w="913"/>
        <w:gridCol w:w="957"/>
        <w:gridCol w:w="4786"/>
      </w:tblGrid>
      <w:tr>
        <w:tc>
          <w:tcPr/>
          <w:p>
            <w:pPr>
              <w:pStyle w:val="Compact"/>
              <w:jc w:val="left"/>
            </w:pPr>
            <w:r>
              <w:rPr>
                <w:bCs/>
                <w:b/>
              </w:rPr>
              <w:t xml:space="preserve">Table</w:t>
            </w:r>
          </w:p>
        </w:tc>
        <w:tc>
          <w:tcPr/>
          <w:p>
            <w:pPr>
              <w:pStyle w:val="Compact"/>
              <w:jc w:val="left"/>
            </w:pPr>
            <w:r>
              <w:rPr>
                <w:bCs/>
                <w:b/>
              </w:rPr>
              <w:t xml:space="preserve">Column</w:t>
            </w:r>
          </w:p>
        </w:tc>
        <w:tc>
          <w:tcPr/>
          <w:p>
            <w:pPr>
              <w:pStyle w:val="Compact"/>
              <w:jc w:val="left"/>
            </w:pPr>
            <w:r>
              <w:rPr>
                <w:bCs/>
                <w:b/>
              </w:rPr>
              <w:t xml:space="preserve">Type</w:t>
            </w:r>
          </w:p>
        </w:tc>
        <w:tc>
          <w:tcPr/>
          <w:p>
            <w:pPr>
              <w:pStyle w:val="Compact"/>
              <w:jc w:val="left"/>
            </w:pPr>
            <w:r>
              <w:rPr>
                <w:bCs/>
                <w:b/>
              </w:rPr>
              <w:t xml:space="preserve">Description</w:t>
            </w:r>
          </w:p>
        </w:tc>
      </w:tr>
      <w:tr>
        <w:tc>
          <w:tcPr/>
          <w:p>
            <w:pPr>
              <w:pStyle w:val="Compact"/>
              <w:jc w:val="left"/>
            </w:pPr>
            <w:r>
              <w:rPr>
                <w:bCs/>
                <w:b/>
              </w:rPr>
              <w:t xml:space="preserve">users</w:t>
            </w:r>
          </w:p>
        </w:tc>
        <w:tc>
          <w:tcPr/>
          <w:p>
            <w:pPr>
              <w:pStyle w:val="Compact"/>
              <w:jc w:val="left"/>
            </w:pPr>
            <w:r>
              <w:t xml:space="preserve">user_id</w:t>
            </w:r>
          </w:p>
        </w:tc>
        <w:tc>
          <w:tcPr/>
          <w:p>
            <w:pPr>
              <w:pStyle w:val="Compact"/>
              <w:jc w:val="left"/>
            </w:pPr>
            <w:r>
              <w:t xml:space="preserve">UUID (PK)</w:t>
            </w:r>
          </w:p>
        </w:tc>
        <w:tc>
          <w:tcPr/>
          <w:p>
            <w:pPr>
              <w:pStyle w:val="Compact"/>
              <w:jc w:val="left"/>
            </w:pPr>
            <w:r>
              <w:t xml:space="preserve">Unique user identifier.</w:t>
            </w:r>
          </w:p>
        </w:tc>
      </w:tr>
      <w:tr>
        <w:tc>
          <w:tcPr/>
          <w:p>
            <w:pPr>
              <w:pStyle w:val="Compact"/>
            </w:pPr>
          </w:p>
        </w:tc>
        <w:tc>
          <w:tcPr/>
          <w:p>
            <w:pPr>
              <w:pStyle w:val="Compact"/>
              <w:jc w:val="left"/>
            </w:pPr>
            <w:r>
              <w:t xml:space="preserve">tenant_id</w:t>
            </w:r>
          </w:p>
        </w:tc>
        <w:tc>
          <w:tcPr/>
          <w:p>
            <w:pPr>
              <w:pStyle w:val="Compact"/>
              <w:jc w:val="left"/>
            </w:pPr>
            <w:r>
              <w:t xml:space="preserve">UUID (FK)</w:t>
            </w:r>
          </w:p>
        </w:tc>
        <w:tc>
          <w:tcPr/>
          <w:p>
            <w:pPr>
              <w:pStyle w:val="Compact"/>
              <w:jc w:val="left"/>
            </w:pPr>
            <w:r>
              <w:t xml:space="preserve">Tenant scope. RLS-enforced.</w:t>
            </w:r>
          </w:p>
        </w:tc>
      </w:tr>
      <w:tr>
        <w:tc>
          <w:tcPr/>
          <w:p>
            <w:pPr>
              <w:pStyle w:val="Compact"/>
            </w:pPr>
          </w:p>
        </w:tc>
        <w:tc>
          <w:tcPr/>
          <w:p>
            <w:pPr>
              <w:pStyle w:val="Compact"/>
              <w:jc w:val="left"/>
            </w:pPr>
            <w:r>
              <w:t xml:space="preserve">email</w:t>
            </w:r>
          </w:p>
        </w:tc>
        <w:tc>
          <w:tcPr/>
          <w:p>
            <w:pPr>
              <w:pStyle w:val="Compact"/>
              <w:jc w:val="left"/>
            </w:pPr>
            <w:r>
              <w:t xml:space="preserve">VARCHAR (encrypted)</w:t>
            </w:r>
          </w:p>
        </w:tc>
        <w:tc>
          <w:tcPr/>
          <w:p>
            <w:pPr>
              <w:pStyle w:val="Compact"/>
              <w:jc w:val="left"/>
            </w:pPr>
            <w:r>
              <w:t xml:space="preserve">Login email. Unique within tenant.</w:t>
            </w:r>
          </w:p>
        </w:tc>
      </w:tr>
      <w:tr>
        <w:tc>
          <w:tcPr/>
          <w:p>
            <w:pPr>
              <w:pStyle w:val="Compact"/>
            </w:pPr>
          </w:p>
        </w:tc>
        <w:tc>
          <w:tcPr/>
          <w:p>
            <w:pPr>
              <w:pStyle w:val="Compact"/>
              <w:jc w:val="left"/>
            </w:pPr>
            <w:r>
              <w:t xml:space="preserve">password_hash</w:t>
            </w:r>
          </w:p>
        </w:tc>
        <w:tc>
          <w:tcPr/>
          <w:p>
            <w:pPr>
              <w:pStyle w:val="Compact"/>
              <w:jc w:val="left"/>
            </w:pPr>
            <w:r>
              <w:t xml:space="preserve">VARCHAR</w:t>
            </w:r>
          </w:p>
        </w:tc>
        <w:tc>
          <w:tcPr/>
          <w:p>
            <w:pPr>
              <w:pStyle w:val="Compact"/>
              <w:jc w:val="left"/>
            </w:pPr>
            <w:r>
              <w:t xml:space="preserve">bcrypt hash. NULL for SSO-only users.</w:t>
            </w:r>
          </w:p>
        </w:tc>
      </w:tr>
      <w:tr>
        <w:tc>
          <w:tcPr/>
          <w:p>
            <w:pPr>
              <w:pStyle w:val="Compact"/>
            </w:pPr>
          </w:p>
        </w:tc>
        <w:tc>
          <w:tcPr/>
          <w:p>
            <w:pPr>
              <w:pStyle w:val="Compact"/>
              <w:jc w:val="left"/>
            </w:pPr>
            <w:r>
              <w:t xml:space="preserve">display_name</w:t>
            </w:r>
          </w:p>
        </w:tc>
        <w:tc>
          <w:tcPr/>
          <w:p>
            <w:pPr>
              <w:pStyle w:val="Compact"/>
              <w:jc w:val="left"/>
            </w:pPr>
            <w:r>
              <w:t xml:space="preserve">VARCHAR</w:t>
            </w:r>
          </w:p>
        </w:tc>
        <w:tc>
          <w:tcPr/>
          <w:p>
            <w:pPr>
              <w:pStyle w:val="Compact"/>
              <w:jc w:val="left"/>
            </w:pPr>
            <w:r>
              <w:t xml:space="preserve">Human-readable name.</w:t>
            </w:r>
          </w:p>
        </w:tc>
      </w:tr>
      <w:tr>
        <w:tc>
          <w:tcPr/>
          <w:p>
            <w:pPr>
              <w:pStyle w:val="Compact"/>
            </w:pPr>
          </w:p>
        </w:tc>
        <w:tc>
          <w:tcPr/>
          <w:p>
            <w:pPr>
              <w:pStyle w:val="Compact"/>
              <w:jc w:val="left"/>
            </w:pPr>
            <w:r>
              <w:t xml:space="preserve">status</w:t>
            </w:r>
          </w:p>
        </w:tc>
        <w:tc>
          <w:tcPr/>
          <w:p>
            <w:pPr>
              <w:pStyle w:val="Compact"/>
              <w:jc w:val="left"/>
            </w:pPr>
            <w:r>
              <w:t xml:space="preserve">ENUM</w:t>
            </w:r>
          </w:p>
        </w:tc>
        <w:tc>
          <w:tcPr/>
          <w:p>
            <w:pPr>
              <w:pStyle w:val="Compact"/>
              <w:jc w:val="left"/>
            </w:pPr>
            <w:r>
              <w:t xml:space="preserve">INVITED, ACTIVE, SUSPENDED, DEACTIVATED.</w:t>
            </w:r>
          </w:p>
        </w:tc>
      </w:tr>
      <w:tr>
        <w:tc>
          <w:tcPr/>
          <w:p>
            <w:pPr>
              <w:pStyle w:val="Compact"/>
            </w:pPr>
          </w:p>
        </w:tc>
        <w:tc>
          <w:tcPr/>
          <w:p>
            <w:pPr>
              <w:pStyle w:val="Compact"/>
              <w:jc w:val="left"/>
            </w:pPr>
            <w:r>
              <w:t xml:space="preserve">mfa_enabled</w:t>
            </w:r>
          </w:p>
        </w:tc>
        <w:tc>
          <w:tcPr/>
          <w:p>
            <w:pPr>
              <w:pStyle w:val="Compact"/>
              <w:jc w:val="left"/>
            </w:pPr>
            <w:r>
              <w:t xml:space="preserve">BOOLEAN</w:t>
            </w:r>
          </w:p>
        </w:tc>
        <w:tc>
          <w:tcPr/>
          <w:p>
            <w:pPr>
              <w:pStyle w:val="Compact"/>
              <w:jc w:val="left"/>
            </w:pPr>
            <w:r>
              <w:t xml:space="preserve">Whether MFA is active for this user.</w:t>
            </w:r>
          </w:p>
        </w:tc>
      </w:tr>
      <w:tr>
        <w:tc>
          <w:tcPr/>
          <w:p>
            <w:pPr>
              <w:pStyle w:val="Compact"/>
            </w:pPr>
          </w:p>
        </w:tc>
        <w:tc>
          <w:tcPr/>
          <w:p>
            <w:pPr>
              <w:pStyle w:val="Compact"/>
              <w:jc w:val="left"/>
            </w:pPr>
            <w:r>
              <w:t xml:space="preserve">mfa_method</w:t>
            </w:r>
          </w:p>
        </w:tc>
        <w:tc>
          <w:tcPr/>
          <w:p>
            <w:pPr>
              <w:pStyle w:val="Compact"/>
              <w:jc w:val="left"/>
            </w:pPr>
            <w:r>
              <w:t xml:space="preserve">ENUM</w:t>
            </w:r>
          </w:p>
        </w:tc>
        <w:tc>
          <w:tcPr/>
          <w:p>
            <w:pPr>
              <w:pStyle w:val="Compact"/>
              <w:jc w:val="left"/>
            </w:pPr>
            <w:r>
              <w:t xml:space="preserve">TOTP, SMS, FIDO2. NULL if MFA not enabled.</w:t>
            </w:r>
          </w:p>
        </w:tc>
      </w:tr>
      <w:tr>
        <w:tc>
          <w:tcPr/>
          <w:p>
            <w:pPr>
              <w:pStyle w:val="Compact"/>
            </w:pPr>
          </w:p>
        </w:tc>
        <w:tc>
          <w:tcPr/>
          <w:p>
            <w:pPr>
              <w:pStyle w:val="Compact"/>
              <w:jc w:val="left"/>
            </w:pPr>
            <w:r>
              <w:t xml:space="preserve">last_login_at</w:t>
            </w:r>
          </w:p>
        </w:tc>
        <w:tc>
          <w:tcPr/>
          <w:p>
            <w:pPr>
              <w:pStyle w:val="Compact"/>
              <w:jc w:val="left"/>
            </w:pPr>
            <w:r>
              <w:t xml:space="preserve">TIMESTAMPTZ</w:t>
            </w:r>
          </w:p>
        </w:tc>
        <w:tc>
          <w:tcPr/>
          <w:p>
            <w:pPr>
              <w:pStyle w:val="Compact"/>
              <w:jc w:val="left"/>
            </w:pPr>
            <w:r>
              <w:t xml:space="preserve">Last successful login timestamp.</w:t>
            </w:r>
          </w:p>
        </w:tc>
      </w:tr>
      <w:tr>
        <w:tc>
          <w:tcPr/>
          <w:p>
            <w:pPr>
              <w:pStyle w:val="Compact"/>
            </w:pPr>
          </w:p>
        </w:tc>
        <w:tc>
          <w:tcPr/>
          <w:p>
            <w:pPr>
              <w:pStyle w:val="Compact"/>
              <w:jc w:val="left"/>
            </w:pPr>
            <w:r>
              <w:t xml:space="preserve">failed_login_count</w:t>
            </w:r>
          </w:p>
        </w:tc>
        <w:tc>
          <w:tcPr/>
          <w:p>
            <w:pPr>
              <w:pStyle w:val="Compact"/>
              <w:jc w:val="left"/>
            </w:pPr>
            <w:r>
              <w:t xml:space="preserve">INT</w:t>
            </w:r>
          </w:p>
        </w:tc>
        <w:tc>
          <w:tcPr/>
          <w:p>
            <w:pPr>
              <w:pStyle w:val="Compact"/>
              <w:jc w:val="left"/>
            </w:pPr>
            <w:r>
              <w:t xml:space="preserve">Consecutive failed login attempts. Locks at 5.</w:t>
            </w:r>
          </w:p>
        </w:tc>
      </w:tr>
      <w:tr>
        <w:tc>
          <w:tcPr/>
          <w:p>
            <w:pPr>
              <w:pStyle w:val="Compact"/>
            </w:pPr>
          </w:p>
        </w:tc>
        <w:tc>
          <w:tcPr/>
          <w:p>
            <w:pPr>
              <w:pStyle w:val="Compact"/>
              <w:jc w:val="left"/>
            </w:pPr>
            <w:r>
              <w:t xml:space="preserve">created_at</w:t>
            </w:r>
          </w:p>
        </w:tc>
        <w:tc>
          <w:tcPr/>
          <w:p>
            <w:pPr>
              <w:pStyle w:val="Compact"/>
              <w:jc w:val="left"/>
            </w:pPr>
            <w:r>
              <w:t xml:space="preserve">TIMESTAMPTZ</w:t>
            </w:r>
          </w:p>
        </w:tc>
        <w:tc>
          <w:tcPr/>
          <w:p>
            <w:pPr>
              <w:pStyle w:val="Compact"/>
              <w:jc w:val="left"/>
            </w:pPr>
            <w:r>
              <w:t xml:space="preserve">Account creation timestamp.</w:t>
            </w:r>
          </w:p>
        </w:tc>
      </w:tr>
      <w:tr>
        <w:tc>
          <w:tcPr/>
          <w:p>
            <w:pPr>
              <w:pStyle w:val="Compact"/>
              <w:jc w:val="left"/>
            </w:pPr>
            <w:r>
              <w:rPr>
                <w:bCs/>
                <w:b/>
              </w:rPr>
              <w:t xml:space="preserve">user_roles</w:t>
            </w:r>
          </w:p>
        </w:tc>
        <w:tc>
          <w:tcPr/>
          <w:p>
            <w:pPr>
              <w:pStyle w:val="Compact"/>
              <w:jc w:val="left"/>
            </w:pPr>
            <w:r>
              <w:t xml:space="preserve">user_id</w:t>
            </w:r>
          </w:p>
        </w:tc>
        <w:tc>
          <w:tcPr/>
          <w:p>
            <w:pPr>
              <w:pStyle w:val="Compact"/>
              <w:jc w:val="left"/>
            </w:pPr>
            <w:r>
              <w:t xml:space="preserve">UUID (FK)</w:t>
            </w:r>
          </w:p>
        </w:tc>
        <w:tc>
          <w:tcPr/>
          <w:p>
            <w:pPr>
              <w:pStyle w:val="Compact"/>
              <w:jc w:val="left"/>
            </w:pPr>
            <w:r>
              <w:t xml:space="preserve">User.</w:t>
            </w:r>
          </w:p>
        </w:tc>
      </w:tr>
      <w:tr>
        <w:tc>
          <w:tcPr/>
          <w:p>
            <w:pPr>
              <w:pStyle w:val="Compact"/>
            </w:pPr>
          </w:p>
        </w:tc>
        <w:tc>
          <w:tcPr/>
          <w:p>
            <w:pPr>
              <w:pStyle w:val="Compact"/>
              <w:jc w:val="left"/>
            </w:pPr>
            <w:r>
              <w:t xml:space="preserve">role_id</w:t>
            </w:r>
          </w:p>
        </w:tc>
        <w:tc>
          <w:tcPr/>
          <w:p>
            <w:pPr>
              <w:pStyle w:val="Compact"/>
              <w:jc w:val="left"/>
            </w:pPr>
            <w:r>
              <w:t xml:space="preserve">UUID (FK)</w:t>
            </w:r>
          </w:p>
        </w:tc>
        <w:tc>
          <w:tcPr/>
          <w:p>
            <w:pPr>
              <w:pStyle w:val="Compact"/>
              <w:jc w:val="left"/>
            </w:pPr>
            <w:r>
              <w:t xml:space="preserve">Role assigned.</w:t>
            </w:r>
          </w:p>
        </w:tc>
      </w:tr>
      <w:tr>
        <w:tc>
          <w:tcPr/>
          <w:p>
            <w:pPr>
              <w:pStyle w:val="Compact"/>
            </w:pPr>
          </w:p>
        </w:tc>
        <w:tc>
          <w:tcPr/>
          <w:p>
            <w:pPr>
              <w:pStyle w:val="Compact"/>
              <w:jc w:val="left"/>
            </w:pPr>
            <w:r>
              <w:t xml:space="preserve">granted_by</w:t>
            </w:r>
          </w:p>
        </w:tc>
        <w:tc>
          <w:tcPr/>
          <w:p>
            <w:pPr>
              <w:pStyle w:val="Compact"/>
              <w:jc w:val="left"/>
            </w:pPr>
            <w:r>
              <w:t xml:space="preserve">UUID</w:t>
            </w:r>
          </w:p>
        </w:tc>
        <w:tc>
          <w:tcPr/>
          <w:p>
            <w:pPr>
              <w:pStyle w:val="Compact"/>
              <w:jc w:val="left"/>
            </w:pPr>
            <w:r>
              <w:t xml:space="preserve">Admin who granted this role.</w:t>
            </w:r>
          </w:p>
        </w:tc>
      </w:tr>
      <w:tr>
        <w:tc>
          <w:tcPr/>
          <w:p>
            <w:pPr>
              <w:pStyle w:val="Compact"/>
            </w:pPr>
          </w:p>
        </w:tc>
        <w:tc>
          <w:tcPr/>
          <w:p>
            <w:pPr>
              <w:pStyle w:val="Compact"/>
              <w:jc w:val="left"/>
            </w:pPr>
            <w:r>
              <w:t xml:space="preserve">granted_at</w:t>
            </w:r>
          </w:p>
        </w:tc>
        <w:tc>
          <w:tcPr/>
          <w:p>
            <w:pPr>
              <w:pStyle w:val="Compact"/>
              <w:jc w:val="left"/>
            </w:pPr>
            <w:r>
              <w:t xml:space="preserve">TIMESTAMPTZ</w:t>
            </w:r>
          </w:p>
        </w:tc>
        <w:tc>
          <w:tcPr/>
          <w:p>
            <w:pPr>
              <w:pStyle w:val="Compact"/>
              <w:jc w:val="left"/>
            </w:pPr>
            <w:r>
              <w:t xml:space="preserve">Assignment timestamp.</w:t>
            </w:r>
          </w:p>
        </w:tc>
      </w:tr>
      <w:tr>
        <w:tc>
          <w:tcPr/>
          <w:p>
            <w:pPr>
              <w:pStyle w:val="Compact"/>
            </w:pPr>
          </w:p>
        </w:tc>
        <w:tc>
          <w:tcPr/>
          <w:p>
            <w:pPr>
              <w:pStyle w:val="Compact"/>
              <w:jc w:val="left"/>
            </w:pPr>
            <w:r>
              <w:t xml:space="preserve">expires_at</w:t>
            </w:r>
          </w:p>
        </w:tc>
        <w:tc>
          <w:tcPr/>
          <w:p>
            <w:pPr>
              <w:pStyle w:val="Compact"/>
              <w:jc w:val="left"/>
            </w:pPr>
            <w:r>
              <w:t xml:space="preserve">TIMESTAMPTZ</w:t>
            </w:r>
          </w:p>
        </w:tc>
        <w:tc>
          <w:tcPr/>
          <w:p>
            <w:pPr>
              <w:pStyle w:val="Compact"/>
              <w:jc w:val="left"/>
            </w:pPr>
            <w:r>
              <w:t xml:space="preserve">Optional: time-limited role (e.g., temporary admin access). NULL = permanent.</w:t>
            </w:r>
          </w:p>
        </w:tc>
      </w:tr>
      <w:tr>
        <w:tc>
          <w:tcPr/>
          <w:p>
            <w:pPr>
              <w:pStyle w:val="Compact"/>
              <w:jc w:val="left"/>
            </w:pPr>
            <w:r>
              <w:rPr>
                <w:bCs/>
                <w:b/>
              </w:rPr>
              <w:t xml:space="preserve">user_hierarchy_nodes</w:t>
            </w:r>
          </w:p>
        </w:tc>
        <w:tc>
          <w:tcPr/>
          <w:p>
            <w:pPr>
              <w:pStyle w:val="Compact"/>
              <w:jc w:val="left"/>
            </w:pPr>
            <w:r>
              <w:t xml:space="preserve">user_id</w:t>
            </w:r>
          </w:p>
        </w:tc>
        <w:tc>
          <w:tcPr/>
          <w:p>
            <w:pPr>
              <w:pStyle w:val="Compact"/>
              <w:jc w:val="left"/>
            </w:pPr>
            <w:r>
              <w:t xml:space="preserve">UUID (FK)</w:t>
            </w:r>
          </w:p>
        </w:tc>
        <w:tc>
          <w:tcPr/>
          <w:p>
            <w:pPr>
              <w:pStyle w:val="Compact"/>
              <w:jc w:val="left"/>
            </w:pPr>
            <w:r>
              <w:t xml:space="preserve">User.</w:t>
            </w:r>
          </w:p>
        </w:tc>
      </w:tr>
      <w:tr>
        <w:tc>
          <w:tcPr/>
          <w:p>
            <w:pPr>
              <w:pStyle w:val="Compact"/>
            </w:pPr>
          </w:p>
        </w:tc>
        <w:tc>
          <w:tcPr/>
          <w:p>
            <w:pPr>
              <w:pStyle w:val="Compact"/>
              <w:jc w:val="left"/>
            </w:pPr>
            <w:r>
              <w:t xml:space="preserve">hierarchy_id</w:t>
            </w:r>
          </w:p>
        </w:tc>
        <w:tc>
          <w:tcPr/>
          <w:p>
            <w:pPr>
              <w:pStyle w:val="Compact"/>
              <w:jc w:val="left"/>
            </w:pPr>
            <w:r>
              <w:t xml:space="preserve">UUID (FK)</w:t>
            </w:r>
          </w:p>
        </w:tc>
        <w:tc>
          <w:tcPr/>
          <w:p>
            <w:pPr>
              <w:pStyle w:val="Compact"/>
              <w:jc w:val="left"/>
            </w:pPr>
            <w:r>
              <w:t xml:space="preserve">Which hierarchy this assignment is in (org, geo, product).</w:t>
            </w:r>
          </w:p>
        </w:tc>
      </w:tr>
      <w:tr>
        <w:tc>
          <w:tcPr/>
          <w:p>
            <w:pPr>
              <w:pStyle w:val="Compact"/>
            </w:pPr>
          </w:p>
        </w:tc>
        <w:tc>
          <w:tcPr/>
          <w:p>
            <w:pPr>
              <w:pStyle w:val="Compact"/>
              <w:jc w:val="left"/>
            </w:pPr>
            <w:r>
              <w:t xml:space="preserve">node_id</w:t>
            </w:r>
          </w:p>
        </w:tc>
        <w:tc>
          <w:tcPr/>
          <w:p>
            <w:pPr>
              <w:pStyle w:val="Compact"/>
              <w:jc w:val="left"/>
            </w:pPr>
            <w:r>
              <w:t xml:space="preserve">UUID (FK)</w:t>
            </w:r>
          </w:p>
        </w:tc>
        <w:tc>
          <w:tcPr/>
          <w:p>
            <w:pPr>
              <w:pStyle w:val="Compact"/>
              <w:jc w:val="left"/>
            </w:pPr>
            <w:r>
              <w:t xml:space="preserve">The hierarchy node the user is placed at.</w:t>
            </w:r>
          </w:p>
        </w:tc>
      </w:tr>
      <w:tr>
        <w:tc>
          <w:tcPr/>
          <w:p>
            <w:pPr>
              <w:pStyle w:val="Compact"/>
              <w:jc w:val="left"/>
            </w:pPr>
            <w:r>
              <w:rPr>
                <w:bCs/>
                <w:b/>
              </w:rPr>
              <w:t xml:space="preserve">roles</w:t>
            </w:r>
          </w:p>
        </w:tc>
        <w:tc>
          <w:tcPr/>
          <w:p>
            <w:pPr>
              <w:pStyle w:val="Compact"/>
              <w:jc w:val="left"/>
            </w:pPr>
            <w:r>
              <w:t xml:space="preserve">role_id</w:t>
            </w:r>
          </w:p>
        </w:tc>
        <w:tc>
          <w:tcPr/>
          <w:p>
            <w:pPr>
              <w:pStyle w:val="Compact"/>
              <w:jc w:val="left"/>
            </w:pPr>
            <w:r>
              <w:t xml:space="preserve">UUID (PK)</w:t>
            </w:r>
          </w:p>
        </w:tc>
        <w:tc>
          <w:tcPr/>
          <w:p>
            <w:pPr>
              <w:pStyle w:val="Compact"/>
              <w:jc w:val="left"/>
            </w:pPr>
            <w:r>
              <w:t xml:space="preserve">Unique role identifier.</w:t>
            </w:r>
          </w:p>
        </w:tc>
      </w:tr>
      <w:tr>
        <w:tc>
          <w:tcPr/>
          <w:p>
            <w:pPr>
              <w:pStyle w:val="Compact"/>
            </w:pPr>
          </w:p>
        </w:tc>
        <w:tc>
          <w:tcPr/>
          <w:p>
            <w:pPr>
              <w:pStyle w:val="Compact"/>
              <w:jc w:val="left"/>
            </w:pPr>
            <w:r>
              <w:t xml:space="preserve">tenant_id</w:t>
            </w:r>
          </w:p>
        </w:tc>
        <w:tc>
          <w:tcPr/>
          <w:p>
            <w:pPr>
              <w:pStyle w:val="Compact"/>
              <w:jc w:val="left"/>
            </w:pPr>
            <w:r>
              <w:t xml:space="preserve">UUID (FK, nullable)</w:t>
            </w:r>
          </w:p>
        </w:tc>
        <w:tc>
          <w:tcPr/>
          <w:p>
            <w:pPr>
              <w:pStyle w:val="Compact"/>
              <w:jc w:val="left"/>
            </w:pPr>
            <w:r>
              <w:t xml:space="preserve">NULL = platform-defined role. Non-null = tenant-custom role.</w:t>
            </w:r>
          </w:p>
        </w:tc>
      </w:tr>
      <w:tr>
        <w:tc>
          <w:tcPr/>
          <w:p>
            <w:pPr>
              <w:pStyle w:val="Compact"/>
            </w:pPr>
          </w:p>
        </w:tc>
        <w:tc>
          <w:tcPr/>
          <w:p>
            <w:pPr>
              <w:pStyle w:val="Compact"/>
              <w:jc w:val="left"/>
            </w:pPr>
            <w:r>
              <w:t xml:space="preserve">role_name</w:t>
            </w:r>
          </w:p>
        </w:tc>
        <w:tc>
          <w:tcPr/>
          <w:p>
            <w:pPr>
              <w:pStyle w:val="Compact"/>
              <w:jc w:val="left"/>
            </w:pPr>
            <w:r>
              <w:t xml:space="preserve">VARCHAR</w:t>
            </w:r>
          </w:p>
        </w:tc>
        <w:tc>
          <w:tcPr/>
          <w:p>
            <w:pPr>
              <w:pStyle w:val="Compact"/>
              <w:jc w:val="left"/>
            </w:pPr>
            <w:r>
              <w:t xml:space="preserve">Display name (e.g.,</w:t>
            </w:r>
            <w:r>
              <w:t xml:space="preserve"> </w:t>
            </w:r>
            <w:r>
              <w:t xml:space="preserve">‘</w:t>
            </w:r>
            <w:r>
              <w:t xml:space="preserve">Regional Analyst</w:t>
            </w:r>
            <w:r>
              <w:t xml:space="preserve">’</w:t>
            </w:r>
            <w:r>
              <w:t xml:space="preserve">).</w:t>
            </w:r>
          </w:p>
        </w:tc>
      </w:tr>
      <w:tr>
        <w:tc>
          <w:tcPr/>
          <w:p>
            <w:pPr>
              <w:pStyle w:val="Compact"/>
            </w:pPr>
          </w:p>
        </w:tc>
        <w:tc>
          <w:tcPr/>
          <w:p>
            <w:pPr>
              <w:pStyle w:val="Compact"/>
              <w:jc w:val="left"/>
            </w:pPr>
            <w:r>
              <w:t xml:space="preserve">base_role</w:t>
            </w:r>
          </w:p>
        </w:tc>
        <w:tc>
          <w:tcPr/>
          <w:p>
            <w:pPr>
              <w:pStyle w:val="Compact"/>
              <w:jc w:val="left"/>
            </w:pPr>
            <w:r>
              <w:t xml:space="preserve">ENUM</w:t>
            </w:r>
          </w:p>
        </w:tc>
        <w:tc>
          <w:tcPr/>
          <w:p>
            <w:pPr>
              <w:pStyle w:val="Compact"/>
              <w:jc w:val="left"/>
            </w:pPr>
            <w:r>
              <w:t xml:space="preserve">Platform role this derives from: TENANT_ADMIN, SUB_TENANT_ADMIN, DATA_STEWARD, ALGORITHM_MANAGER, END_USER.</w:t>
            </w:r>
          </w:p>
        </w:tc>
      </w:tr>
      <w:tr>
        <w:tc>
          <w:tcPr/>
          <w:p>
            <w:pPr>
              <w:pStyle w:val="Compact"/>
            </w:pPr>
          </w:p>
        </w:tc>
        <w:tc>
          <w:tcPr/>
          <w:p>
            <w:pPr>
              <w:pStyle w:val="Compact"/>
              <w:jc w:val="left"/>
            </w:pPr>
            <w:r>
              <w:t xml:space="preserve">permissions</w:t>
            </w:r>
          </w:p>
        </w:tc>
        <w:tc>
          <w:tcPr/>
          <w:p>
            <w:pPr>
              <w:pStyle w:val="Compact"/>
              <w:jc w:val="left"/>
            </w:pPr>
            <w:r>
              <w:t xml:space="preserve">JSONB</w:t>
            </w:r>
          </w:p>
        </w:tc>
        <w:tc>
          <w:tcPr/>
          <w:p>
            <w:pPr>
              <w:pStyle w:val="Compact"/>
              <w:jc w:val="left"/>
            </w:pPr>
            <w:r>
              <w:t xml:space="preserve">Permission set: { data: [...], features: [...], admin: [...], algorithms: [...] }.</w:t>
            </w:r>
          </w:p>
        </w:tc>
      </w:tr>
      <w:tr>
        <w:tc>
          <w:tcPr/>
          <w:p>
            <w:pPr>
              <w:pStyle w:val="Compact"/>
            </w:pPr>
          </w:p>
        </w:tc>
        <w:tc>
          <w:tcPr/>
          <w:p>
            <w:pPr>
              <w:pStyle w:val="Compact"/>
              <w:jc w:val="left"/>
            </w:pPr>
            <w:r>
              <w:t xml:space="preserve">is_system</w:t>
            </w:r>
          </w:p>
        </w:tc>
        <w:tc>
          <w:tcPr/>
          <w:p>
            <w:pPr>
              <w:pStyle w:val="Compact"/>
              <w:jc w:val="left"/>
            </w:pPr>
            <w:r>
              <w:t xml:space="preserve">BOOLEAN</w:t>
            </w:r>
          </w:p>
        </w:tc>
        <w:tc>
          <w:tcPr/>
          <w:p>
            <w:pPr>
              <w:pStyle w:val="Compact"/>
              <w:jc w:val="left"/>
            </w:pPr>
            <w:r>
              <w:t xml:space="preserve">TRUE for platform-defined roles (cannot be modified or deleted).</w:t>
            </w:r>
          </w:p>
        </w:tc>
      </w:tr>
      <w:tr>
        <w:tc>
          <w:tcPr/>
          <w:p>
            <w:pPr>
              <w:pStyle w:val="Compact"/>
              <w:jc w:val="left"/>
            </w:pPr>
            <w:r>
              <w:rPr>
                <w:bCs/>
                <w:b/>
              </w:rPr>
              <w:t xml:space="preserve">abac_policies</w:t>
            </w:r>
          </w:p>
        </w:tc>
        <w:tc>
          <w:tcPr/>
          <w:p>
            <w:pPr>
              <w:pStyle w:val="Compact"/>
              <w:jc w:val="left"/>
            </w:pPr>
            <w:r>
              <w:t xml:space="preserve">policy_id</w:t>
            </w:r>
          </w:p>
        </w:tc>
        <w:tc>
          <w:tcPr/>
          <w:p>
            <w:pPr>
              <w:pStyle w:val="Compact"/>
              <w:jc w:val="left"/>
            </w:pPr>
            <w:r>
              <w:t xml:space="preserve">UUID (PK)</w:t>
            </w:r>
          </w:p>
        </w:tc>
        <w:tc>
          <w:tcPr/>
          <w:p>
            <w:pPr>
              <w:pStyle w:val="Compact"/>
              <w:jc w:val="left"/>
            </w:pPr>
            <w:r>
              <w:t xml:space="preserve">Unique policy identifier.</w:t>
            </w:r>
          </w:p>
        </w:tc>
      </w:tr>
      <w:tr>
        <w:tc>
          <w:tcPr/>
          <w:p>
            <w:pPr>
              <w:pStyle w:val="Compact"/>
            </w:pPr>
          </w:p>
        </w:tc>
        <w:tc>
          <w:tcPr/>
          <w:p>
            <w:pPr>
              <w:pStyle w:val="Compact"/>
              <w:jc w:val="left"/>
            </w:pPr>
            <w:r>
              <w:t xml:space="preserve">tenant_id</w:t>
            </w:r>
          </w:p>
        </w:tc>
        <w:tc>
          <w:tcPr/>
          <w:p>
            <w:pPr>
              <w:pStyle w:val="Compact"/>
              <w:jc w:val="left"/>
            </w:pPr>
            <w:r>
              <w:t xml:space="preserve">UUID (FK, nullable)</w:t>
            </w:r>
          </w:p>
        </w:tc>
        <w:tc>
          <w:tcPr/>
          <w:p>
            <w:pPr>
              <w:pStyle w:val="Compact"/>
              <w:jc w:val="left"/>
            </w:pPr>
            <w:r>
              <w:t xml:space="preserve">NULL = platform-wide policy. Non-null = tenant-specific.</w:t>
            </w:r>
          </w:p>
        </w:tc>
      </w:tr>
      <w:tr>
        <w:tc>
          <w:tcPr/>
          <w:p>
            <w:pPr>
              <w:pStyle w:val="Compact"/>
            </w:pPr>
          </w:p>
        </w:tc>
        <w:tc>
          <w:tcPr/>
          <w:p>
            <w:pPr>
              <w:pStyle w:val="Compact"/>
              <w:jc w:val="left"/>
            </w:pPr>
            <w:r>
              <w:t xml:space="preserve">policy_type</w:t>
            </w:r>
          </w:p>
        </w:tc>
        <w:tc>
          <w:tcPr/>
          <w:p>
            <w:pPr>
              <w:pStyle w:val="Compact"/>
              <w:jc w:val="left"/>
            </w:pPr>
            <w:r>
              <w:t xml:space="preserve">ENUM</w:t>
            </w:r>
          </w:p>
        </w:tc>
        <w:tc>
          <w:tcPr/>
          <w:p>
            <w:pPr>
              <w:pStyle w:val="Compact"/>
              <w:jc w:val="left"/>
            </w:pPr>
            <w:r>
              <w:t xml:space="preserve">HIERARCHY_SCOPE, COLUMN_MASK, AGGREGATION_ONLY, TIME_WINDOW, CONSENT_GATED, MFA_REQUIRED.</w:t>
            </w:r>
          </w:p>
        </w:tc>
      </w:tr>
      <w:tr>
        <w:tc>
          <w:tcPr/>
          <w:p>
            <w:pPr>
              <w:pStyle w:val="Compact"/>
            </w:pPr>
          </w:p>
        </w:tc>
        <w:tc>
          <w:tcPr/>
          <w:p>
            <w:pPr>
              <w:pStyle w:val="Compact"/>
              <w:jc w:val="left"/>
            </w:pPr>
            <w:r>
              <w:t xml:space="preserve">policy_rule</w:t>
            </w:r>
          </w:p>
        </w:tc>
        <w:tc>
          <w:tcPr/>
          <w:p>
            <w:pPr>
              <w:pStyle w:val="Compact"/>
              <w:jc w:val="left"/>
            </w:pPr>
            <w:r>
              <w:t xml:space="preserve">JSONB</w:t>
            </w:r>
          </w:p>
        </w:tc>
        <w:tc>
          <w:tcPr/>
          <w:p>
            <w:pPr>
              <w:pStyle w:val="Compact"/>
              <w:jc w:val="left"/>
            </w:pPr>
            <w:r>
              <w:t xml:space="preserve">OPA Rego policy compiled to JSON. Evaluated at request time.</w:t>
            </w:r>
          </w:p>
        </w:tc>
      </w:tr>
      <w:tr>
        <w:tc>
          <w:tcPr/>
          <w:p>
            <w:pPr>
              <w:pStyle w:val="Compact"/>
            </w:pPr>
          </w:p>
        </w:tc>
        <w:tc>
          <w:tcPr/>
          <w:p>
            <w:pPr>
              <w:pStyle w:val="Compact"/>
              <w:jc w:val="left"/>
            </w:pPr>
            <w:r>
              <w:t xml:space="preserve">priority</w:t>
            </w:r>
          </w:p>
        </w:tc>
        <w:tc>
          <w:tcPr/>
          <w:p>
            <w:pPr>
              <w:pStyle w:val="Compact"/>
              <w:jc w:val="left"/>
            </w:pPr>
            <w:r>
              <w:t xml:space="preserve">INT</w:t>
            </w:r>
          </w:p>
        </w:tc>
        <w:tc>
          <w:tcPr/>
          <w:p>
            <w:pPr>
              <w:pStyle w:val="Compact"/>
              <w:jc w:val="left"/>
            </w:pPr>
            <w:r>
              <w:t xml:space="preserve">Lower number = higher priority. For conflict resolution.</w:t>
            </w:r>
          </w:p>
        </w:tc>
      </w:tr>
      <w:tr>
        <w:tc>
          <w:tcPr/>
          <w:p>
            <w:pPr>
              <w:pStyle w:val="Compact"/>
            </w:pPr>
          </w:p>
        </w:tc>
        <w:tc>
          <w:tcPr/>
          <w:p>
            <w:pPr>
              <w:pStyle w:val="Compact"/>
              <w:jc w:val="left"/>
            </w:pPr>
            <w:r>
              <w:t xml:space="preserve">is_active</w:t>
            </w:r>
          </w:p>
        </w:tc>
        <w:tc>
          <w:tcPr/>
          <w:p>
            <w:pPr>
              <w:pStyle w:val="Compact"/>
              <w:jc w:val="left"/>
            </w:pPr>
            <w:r>
              <w:t xml:space="preserve">BOOLEAN</w:t>
            </w:r>
          </w:p>
        </w:tc>
        <w:tc>
          <w:tcPr/>
          <w:p>
            <w:pPr>
              <w:pStyle w:val="Compact"/>
              <w:jc w:val="left"/>
            </w:pPr>
            <w:r>
              <w:t xml:space="preserve">Whether this policy is currently enforced.</w:t>
            </w:r>
          </w:p>
        </w:tc>
      </w:tr>
    </w:tbl>
    <w:bookmarkEnd w:id="147"/>
    <w:bookmarkStart w:id="148" w:name="acceptance-criteria-11"/>
    <w:p>
      <w:pPr>
        <w:pStyle w:val="Heading2"/>
      </w:pPr>
      <w:r>
        <w:t xml:space="preserve">1.4 Acceptance Criteria</w:t>
      </w:r>
    </w:p>
    <w:p>
      <w:pPr>
        <w:pStyle w:val="FirstParagraph"/>
      </w:pPr>
      <w:r>
        <w:t xml:space="preserve">A Tenant Admin can create a custom role</w:t>
      </w:r>
      <w:r>
        <w:t xml:space="preserve"> </w:t>
      </w:r>
      <w:r>
        <w:t xml:space="preserve">‘</w:t>
      </w:r>
      <w:r>
        <w:t xml:space="preserve">Regional Analyst</w:t>
      </w:r>
      <w:r>
        <w:t xml:space="preserve">’</w:t>
      </w:r>
      <w:r>
        <w:t xml:space="preserve"> </w:t>
      </w:r>
      <w:r>
        <w:t xml:space="preserve">with hierarchy-scoped read access, column masking on PII fields, and aggregation-only below city level — all via the Admin Console without engineering.</w:t>
      </w:r>
    </w:p>
    <w:p>
      <w:pPr>
        <w:pStyle w:val="BodyText"/>
      </w:pPr>
      <w:r>
        <w:t xml:space="preserve">A user with the</w:t>
      </w:r>
      <w:r>
        <w:t xml:space="preserve"> </w:t>
      </w:r>
      <w:r>
        <w:t xml:space="preserve">‘</w:t>
      </w:r>
      <w:r>
        <w:t xml:space="preserve">Regional Analyst</w:t>
      </w:r>
      <w:r>
        <w:t xml:space="preserve">’</w:t>
      </w:r>
      <w:r>
        <w:t xml:space="preserve"> </w:t>
      </w:r>
      <w:r>
        <w:t xml:space="preserve">role at hierarchy node</w:t>
      </w:r>
      <w:r>
        <w:t xml:space="preserve"> </w:t>
      </w:r>
      <w:r>
        <w:t xml:space="preserve">‘</w:t>
      </w:r>
      <w:r>
        <w:t xml:space="preserve">West Region</w:t>
      </w:r>
      <w:r>
        <w:t xml:space="preserve">’</w:t>
      </w:r>
      <w:r>
        <w:t xml:space="preserve"> </w:t>
      </w:r>
      <w:r>
        <w:t xml:space="preserve">sees only West Region stores’ data, with customer phone numbers masked, and cannot drill below city-level aggregates.</w:t>
      </w:r>
    </w:p>
    <w:p>
      <w:pPr>
        <w:pStyle w:val="BodyText"/>
      </w:pPr>
      <w:r>
        <w:t xml:space="preserve">MFA is enforced for all Tenant Admin logins. Login without MFA is rejected.</w:t>
      </w:r>
    </w:p>
    <w:p>
      <w:pPr>
        <w:pStyle w:val="BodyText"/>
      </w:pPr>
      <w:r>
        <w:t xml:space="preserve">Adaptive authentication triggers MFA challenge when a user logs in from a new device.</w:t>
      </w:r>
    </w:p>
    <w:p>
      <w:pPr>
        <w:pStyle w:val="BodyText"/>
      </w:pPr>
      <w:r>
        <w:t xml:space="preserve">Authorization is enforced at all four layers: a request that bypasses the API Gateway and directly hits the database still returns only authorized data (RLS enforcement).</w:t>
      </w:r>
    </w:p>
    <w:p>
      <w:pPr>
        <w:pStyle w:val="BodyText"/>
      </w:pPr>
      <w:r>
        <w:t xml:space="preserve">Every authorization decision is logged in the audit trail with the specific policies that were evaluated.</w:t>
      </w:r>
    </w:p>
    <w:bookmarkEnd w:id="148"/>
    <w:bookmarkEnd w:id="149"/>
    <w:bookmarkStart w:id="153" w:name="ac02-hierarchy-engine"/>
    <w:p>
      <w:pPr>
        <w:pStyle w:val="Heading1"/>
      </w:pPr>
      <w:r>
        <w:t xml:space="preserve">AC02 — Hierarchy Engine</w:t>
      </w:r>
    </w:p>
    <w:tbl>
      <w:tblPr>
        <w:tblStyle w:val="Table"/>
        <w:tblW w:type="pct" w:w="4870"/>
        <w:tblLook w:firstRow="0" w:lastRow="0" w:firstColumn="0" w:lastColumn="0" w:noHBand="0" w:noVBand="0" w:val="0000"/>
        <w:jc w:val="start"/>
      </w:tblPr>
      <w:tblGrid>
        <w:gridCol w:w="2571"/>
        <w:gridCol w:w="5142"/>
      </w:tblGrid>
      <w:t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rPr>
                <w:bCs/>
                <w:b/>
              </w:rPr>
              <w:t xml:space="preserve">Phase / Complexity</w:t>
            </w:r>
          </w:p>
        </w:tc>
        <w:tc>
          <w:tcPr/>
          <w:p>
            <w:pPr>
              <w:pStyle w:val="Compact"/>
              <w:jc w:val="left"/>
            </w:pPr>
            <w:r>
              <w:t xml:space="preserve">0 / High</w:t>
            </w:r>
          </w:p>
        </w:tc>
      </w:tr>
      <w:tr>
        <w:tc>
          <w:tcPr/>
          <w:p>
            <w:pPr>
              <w:pStyle w:val="Compact"/>
              <w:jc w:val="left"/>
            </w:pPr>
            <w:r>
              <w:rPr>
                <w:bCs/>
                <w:b/>
              </w:rPr>
              <w:t xml:space="preserve">Dependencies</w:t>
            </w:r>
          </w:p>
        </w:tc>
        <w:tc>
          <w:tcPr/>
          <w:p>
            <w:pPr>
              <w:pStyle w:val="Compact"/>
              <w:jc w:val="left"/>
            </w:pPr>
            <w:r>
              <w:t xml:space="preserve">F01, F03 (Temporal), F04 (Configuration)</w:t>
            </w:r>
          </w:p>
        </w:tc>
      </w:tr>
    </w:tbl>
    <w:bookmarkStart w:id="150" w:name="purpose-17"/>
    <w:p>
      <w:pPr>
        <w:pStyle w:val="Heading2"/>
      </w:pPr>
      <w:r>
        <w:t xml:space="preserve">2.1 Purpose</w:t>
      </w:r>
    </w:p>
    <w:p>
      <w:pPr>
        <w:pStyle w:val="FirstParagraph"/>
      </w:pPr>
      <w:r>
        <w:t xml:space="preserve">AC02 manages configurable, temporal, multi-hierarchy structures that drive three platform capabilities simultaneously: data access scoping (users see data for their node and below), analytics rollup (KPIs aggregate up the tree), and workflow routing (approvals and alerts escalate up the tree). For the retail vertical, the primary hierarchy is: Chain → Region → City → Store → Zone/Department (5 levels).</w:t>
      </w:r>
    </w:p>
    <w:bookmarkEnd w:id="150"/>
    <w:bookmarkStart w:id="151" w:name="key-functional-requirements-6"/>
    <w:p>
      <w:pPr>
        <w:pStyle w:val="Heading2"/>
      </w:pPr>
      <w:r>
        <w:t xml:space="preserve">2.2 Key Functional Requirements</w:t>
      </w:r>
    </w:p>
    <w:p>
      <w:pPr>
        <w:pStyle w:val="FirstParagraph"/>
      </w:pPr>
      <w:r>
        <w:rPr>
          <w:bCs/>
          <w:b/>
        </w:rPr>
        <w:t xml:space="preserve">AC02-FR-001</w:t>
      </w:r>
      <w:r>
        <w:t xml:space="preserve"> </w:t>
      </w:r>
      <w:r>
        <w:t xml:space="preserve">The platform SHALL support multiple concurrent hierarchies per tenant. Each hierarchy has a type (ORGANIZATIONAL, GEOGRAPHIC, PRODUCT, CUSTOM) and an independent tree structure. A tenant may have: a geographic hierarchy (Chain→Region→City→Store→Zone), a product hierarchy (Division→Category→Subcategory→Brand→SKU), and an organizational hierarchy (CEO→VP→Director→Manager→Associate).</w:t>
      </w:r>
    </w:p>
    <w:p>
      <w:pPr>
        <w:pStyle w:val="BodyText"/>
      </w:pPr>
      <w:r>
        <w:rPr>
          <w:bCs/>
          <w:b/>
        </w:rPr>
        <w:t xml:space="preserve">AC02-FR-002</w:t>
      </w:r>
      <w:r>
        <w:t xml:space="preserve"> </w:t>
      </w:r>
      <w:r>
        <w:t xml:space="preserve">Each hierarchy node SHALL have: node_id (UUID), hierarchy_id (FK), parent_node_id (self-referential FK, NULL for root), level (INT), name, code (tenant-defined short code), attributes (JSONB — level-specific attributes like area_sqft for Store level), status (ACTIVE, INACTIVE), valid_from, valid_to (temporal versioning from F03).</w:t>
      </w:r>
    </w:p>
    <w:p>
      <w:pPr>
        <w:pStyle w:val="BodyText"/>
      </w:pPr>
      <w:r>
        <w:rPr>
          <w:bCs/>
          <w:b/>
        </w:rPr>
        <w:t xml:space="preserve">AC02-FR-003</w:t>
      </w:r>
      <w:r>
        <w:t xml:space="preserve"> </w:t>
      </w:r>
      <w:r>
        <w:t xml:space="preserve">Hierarchy changes SHALL be temporally versioned (F03). When a store moves from Region A to Region B, the old assignment is closed (valid_to = change date) and a new assignment is created (valid_from = change date). Historical analytics for dates before the change correctly use the old hierarchy.</w:t>
      </w:r>
    </w:p>
    <w:p>
      <w:pPr>
        <w:pStyle w:val="BodyText"/>
      </w:pPr>
      <w:r>
        <w:rPr>
          <w:bCs/>
          <w:b/>
        </w:rPr>
        <w:t xml:space="preserve">AC02-FR-004</w:t>
      </w:r>
      <w:r>
        <w:t xml:space="preserve"> </w:t>
      </w:r>
      <w:r>
        <w:t xml:space="preserve">Cross-hierarchy linking SHALL be supported: a node in one hierarchy can be linked to a node in another hierarchy. Example: product category</w:t>
      </w:r>
      <w:r>
        <w:t xml:space="preserve"> </w:t>
      </w:r>
      <w:r>
        <w:t xml:space="preserve">‘</w:t>
      </w:r>
      <w:r>
        <w:t xml:space="preserve">Electronics</w:t>
      </w:r>
      <w:r>
        <w:t xml:space="preserve">’</w:t>
      </w:r>
      <w:r>
        <w:t xml:space="preserve"> </w:t>
      </w:r>
      <w:r>
        <w:t xml:space="preserve">(product hierarchy) linked to</w:t>
      </w:r>
      <w:r>
        <w:t xml:space="preserve"> </w:t>
      </w:r>
      <w:r>
        <w:t xml:space="preserve">‘</w:t>
      </w:r>
      <w:r>
        <w:t xml:space="preserve">Electronics Division Head</w:t>
      </w:r>
      <w:r>
        <w:t xml:space="preserve">’</w:t>
      </w:r>
      <w:r>
        <w:t xml:space="preserve"> </w:t>
      </w:r>
      <w:r>
        <w:t xml:space="preserve">(org hierarchy) for responsibility assignment. Links are temporal and weighted.</w:t>
      </w:r>
    </w:p>
    <w:p>
      <w:pPr>
        <w:pStyle w:val="BodyText"/>
      </w:pPr>
      <w:r>
        <w:rPr>
          <w:bCs/>
          <w:b/>
        </w:rPr>
        <w:t xml:space="preserve">AC02-FR-005</w:t>
      </w:r>
      <w:r>
        <w:t xml:space="preserve"> </w:t>
      </w:r>
      <w:r>
        <w:t xml:space="preserve">KPI rollup logic SHALL be configurable per KPI per hierarchy: SUM (revenue aggregates up), WEIGHTED_AVG (conversion rate weighted by footfall), AVG (customer satisfaction scores), COUNT (store count per region), MIN/MAX (worst/best performing store). Rollup is computed by the Gold layer materialization engine, driven by hierarchy structure from AC02.</w:t>
      </w:r>
    </w:p>
    <w:p>
      <w:pPr>
        <w:pStyle w:val="BodyText"/>
      </w:pPr>
      <w:r>
        <w:rPr>
          <w:bCs/>
          <w:b/>
        </w:rPr>
        <w:t xml:space="preserve">AC02-FR-006</w:t>
      </w:r>
      <w:r>
        <w:t xml:space="preserve"> </w:t>
      </w:r>
      <w:r>
        <w:t xml:space="preserve">Maximum hierarchy depth: 8 levels (configurable by Super Admin). Maximum nodes per hierarchy: 100,000 (sufficient for large retail chains). Bulk import via CSV (W07 workflow) with cycle detection and orphan validation.</w:t>
      </w:r>
    </w:p>
    <w:bookmarkEnd w:id="151"/>
    <w:bookmarkStart w:id="152" w:name="acceptance-criteria-12"/>
    <w:p>
      <w:pPr>
        <w:pStyle w:val="Heading2"/>
      </w:pPr>
      <w:r>
        <w:t xml:space="preserve">2.3 Acceptance Criteria</w:t>
      </w:r>
    </w:p>
    <w:p>
      <w:pPr>
        <w:pStyle w:val="FirstParagraph"/>
      </w:pPr>
      <w:r>
        <w:t xml:space="preserve">A 5-level retail hierarchy (Chain→Region→City→Store→Zone) with 500 stores and 2000 zones is created via bulk CSV import in under 2 minutes.</w:t>
      </w:r>
    </w:p>
    <w:p>
      <w:pPr>
        <w:pStyle w:val="BodyText"/>
      </w:pPr>
      <w:r>
        <w:t xml:space="preserve">Revenue KPI correctly rolls up from Zone to Store (SUM), Store to City (SUM), City to Region (SUM), Region to Chain (SUM).</w:t>
      </w:r>
    </w:p>
    <w:p>
      <w:pPr>
        <w:pStyle w:val="BodyText"/>
      </w:pPr>
      <w:r>
        <w:t xml:space="preserve">Conversion Rate KPI rolls up from Store to City using WEIGHTED_AVG by footfall, not simple AVG.</w:t>
      </w:r>
    </w:p>
    <w:p>
      <w:pPr>
        <w:pStyle w:val="BodyText"/>
      </w:pPr>
      <w:r>
        <w:t xml:space="preserve">A store moved from Region A to Region B on March 1: analytics for February show the store under Region A, analytics for March show it under Region B.</w:t>
      </w:r>
    </w:p>
    <w:p>
      <w:pPr>
        <w:pStyle w:val="BodyText"/>
      </w:pPr>
      <w:r>
        <w:t xml:space="preserve">A user placed at the</w:t>
      </w:r>
      <w:r>
        <w:t xml:space="preserve"> </w:t>
      </w:r>
      <w:r>
        <w:t xml:space="preserve">‘</w:t>
      </w:r>
      <w:r>
        <w:t xml:space="preserve">West Region</w:t>
      </w:r>
      <w:r>
        <w:t xml:space="preserve">’</w:t>
      </w:r>
      <w:r>
        <w:t xml:space="preserve"> </w:t>
      </w:r>
      <w:r>
        <w:t xml:space="preserve">hierarchy node sees data for all cities and stores under West Region, but not for other regions.</w:t>
      </w:r>
    </w:p>
    <w:bookmarkEnd w:id="152"/>
    <w:bookmarkEnd w:id="153"/>
    <w:bookmarkStart w:id="157" w:name="ac03-consent-privacy-manager"/>
    <w:p>
      <w:pPr>
        <w:pStyle w:val="Heading1"/>
      </w:pPr>
      <w:r>
        <w:t xml:space="preserve">AC03 — Consent &amp; Privacy Manager</w:t>
      </w:r>
    </w:p>
    <w:tbl>
      <w:tblPr>
        <w:tblStyle w:val="Table"/>
        <w:tblW w:type="pct" w:w="4870"/>
        <w:tblLook w:firstRow="0" w:lastRow="0" w:firstColumn="0" w:lastColumn="0" w:noHBand="0" w:noVBand="0" w:val="0000"/>
        <w:jc w:val="start"/>
      </w:tblPr>
      <w:tblGrid>
        <w:gridCol w:w="2571"/>
        <w:gridCol w:w="5142"/>
      </w:tblGrid>
      <w:t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rPr>
                <w:bCs/>
                <w:b/>
              </w:rPr>
              <w:t xml:space="preserve">Phase / Complexity</w:t>
            </w:r>
          </w:p>
        </w:tc>
        <w:tc>
          <w:tcPr/>
          <w:p>
            <w:pPr>
              <w:pStyle w:val="Compact"/>
              <w:jc w:val="left"/>
            </w:pPr>
            <w:r>
              <w:t xml:space="preserve">0 / High</w:t>
            </w:r>
          </w:p>
        </w:tc>
      </w:tr>
      <w:tr>
        <w:tc>
          <w:tcPr/>
          <w:p>
            <w:pPr>
              <w:pStyle w:val="Compact"/>
              <w:jc w:val="left"/>
            </w:pPr>
            <w:r>
              <w:rPr>
                <w:bCs/>
                <w:b/>
              </w:rPr>
              <w:t xml:space="preserve">Dependencies</w:t>
            </w:r>
          </w:p>
        </w:tc>
        <w:tc>
          <w:tcPr/>
          <w:p>
            <w:pPr>
              <w:pStyle w:val="Compact"/>
              <w:jc w:val="left"/>
            </w:pPr>
            <w:r>
              <w:t xml:space="preserve">F01, I01 (SIR — consent is per entity)</w:t>
            </w:r>
          </w:p>
        </w:tc>
      </w:tr>
    </w:tbl>
    <w:bookmarkStart w:id="154" w:name="purpose-18"/>
    <w:p>
      <w:pPr>
        <w:pStyle w:val="Heading2"/>
      </w:pPr>
      <w:r>
        <w:t xml:space="preserve">3.1 Purpose</w:t>
      </w:r>
    </w:p>
    <w:p>
      <w:pPr>
        <w:pStyle w:val="FirstParagraph"/>
      </w:pPr>
      <w:r>
        <w:t xml:space="preserve">AC03 manages the full consent lifecycle for Data Principals: collection, storage, purpose-binding, withdrawal, and cascade. It ensures that every processing activity on personal data has a valid consent basis (or other lawful basis via PR01), and that consent withdrawal propagates across all platform modules within the defined SLA.</w:t>
      </w:r>
    </w:p>
    <w:bookmarkEnd w:id="154"/>
    <w:bookmarkStart w:id="155" w:name="key-functional-requirements-7"/>
    <w:p>
      <w:pPr>
        <w:pStyle w:val="Heading2"/>
      </w:pPr>
      <w:r>
        <w:t xml:space="preserve">3.2 Key Functional Requirements</w:t>
      </w:r>
    </w:p>
    <w:p>
      <w:pPr>
        <w:pStyle w:val="FirstParagraph"/>
      </w:pPr>
      <w:r>
        <w:rPr>
          <w:bCs/>
          <w:b/>
        </w:rPr>
        <w:t xml:space="preserve">AC03-FR-001</w:t>
      </w:r>
      <w:r>
        <w:t xml:space="preserve"> </w:t>
      </w:r>
      <w:r>
        <w:t xml:space="preserve">Consent SHALL be recorded per entity (UEID from I01) per purpose. A consent record contains: entity_id, purpose_id (FK to PR01 Purpose Registry), consent_status (GRANTED/WITHDRAWN/EXPIRED/PENDING), granted_at, withdrawn_at, notice_version (which version of the privacy notice was shown), collection_channel (IN_STORE, WEBSITE, APP, MANUAL), expiry_date (if consent has a time limit).</w:t>
      </w:r>
    </w:p>
    <w:p>
      <w:pPr>
        <w:pStyle w:val="BodyText"/>
      </w:pPr>
      <w:r>
        <w:rPr>
          <w:bCs/>
          <w:b/>
        </w:rPr>
        <w:t xml:space="preserve">AC03-FR-002</w:t>
      </w:r>
      <w:r>
        <w:t xml:space="preserve"> </w:t>
      </w:r>
      <w:r>
        <w:t xml:space="preserve">Consent purposes SHALL be defined by the tenant via the Consent Manager screen (S16). Each purpose has: purpose_id, name (e.g.,</w:t>
      </w:r>
      <w:r>
        <w:t xml:space="preserve"> </w:t>
      </w:r>
      <w:r>
        <w:t xml:space="preserve">‘</w:t>
      </w:r>
      <w:r>
        <w:t xml:space="preserve">Marketing Communications</w:t>
      </w:r>
      <w:r>
        <w:t xml:space="preserve">’</w:t>
      </w:r>
      <w:r>
        <w:t xml:space="preserve">,</w:t>
      </w:r>
      <w:r>
        <w:t xml:space="preserve"> </w:t>
      </w:r>
      <w:r>
        <w:t xml:space="preserve">‘</w:t>
      </w:r>
      <w:r>
        <w:t xml:space="preserve">Analytics &amp; Insights</w:t>
      </w:r>
      <w:r>
        <w:t xml:space="preserve">’</w:t>
      </w:r>
      <w:r>
        <w:t xml:space="preserve">,</w:t>
      </w:r>
      <w:r>
        <w:t xml:space="preserve"> </w:t>
      </w:r>
      <w:r>
        <w:t xml:space="preserve">‘</w:t>
      </w:r>
      <w:r>
        <w:t xml:space="preserve">In-Store Recognition</w:t>
      </w:r>
      <w:r>
        <w:t xml:space="preserve">’</w:t>
      </w:r>
      <w:r>
        <w:t xml:space="preserve">), description, lawful_basis (CONSENT, LEGITIMATE_INTEREST, CONTRACT — links to PR01), is_mandatory (some purposes may be required for service delivery), requires_explicit_opt_in (DPDP/GDPR: sensitive data purposes require explicit opt-in).</w:t>
      </w:r>
    </w:p>
    <w:p>
      <w:pPr>
        <w:pStyle w:val="BodyText"/>
      </w:pPr>
      <w:r>
        <w:rPr>
          <w:bCs/>
          <w:b/>
        </w:rPr>
        <w:t xml:space="preserve">AC03-FR-003</w:t>
      </w:r>
      <w:r>
        <w:t xml:space="preserve"> </w:t>
      </w:r>
      <w:r>
        <w:t xml:space="preserve">Consent collection SHALL support two touchpoints: (a) General consent (at account creation / first interaction): covers analytics and basic service delivery. (b) Specific consent (at point of sensitive data processing): covers biometric, marketing, recognition. This is the two-touchpoint architecture from the Know Your Skin project.</w:t>
      </w:r>
    </w:p>
    <w:p>
      <w:pPr>
        <w:pStyle w:val="BodyText"/>
      </w:pPr>
      <w:r>
        <w:rPr>
          <w:bCs/>
          <w:b/>
        </w:rPr>
        <w:t xml:space="preserve">AC03-FR-004</w:t>
      </w:r>
      <w:r>
        <w:t xml:space="preserve"> </w:t>
      </w:r>
      <w:r>
        <w:t xml:space="preserve">Consent withdrawal SHALL trigger a Withdrawal Cascade within a defined SLA:</w:t>
      </w:r>
    </w:p>
    <w:tbl>
      <w:tblPr>
        <w:tblStyle w:val="Table"/>
        <w:tblW w:type="pct" w:w="4963"/>
        <w:tblLook w:firstRow="0" w:lastRow="0" w:firstColumn="0" w:lastColumn="0" w:noHBand="0" w:noVBand="0" w:val="0000"/>
        <w:jc w:val="start"/>
      </w:tblPr>
      <w:tblGrid>
        <w:gridCol w:w="792"/>
        <w:gridCol w:w="6130"/>
        <w:gridCol w:w="938"/>
      </w:tblGrid>
      <w:tr>
        <w:tc>
          <w:tcPr/>
          <w:p>
            <w:pPr>
              <w:pStyle w:val="Compact"/>
              <w:jc w:val="left"/>
            </w:pPr>
            <w:r>
              <w:rPr>
                <w:bCs/>
                <w:b/>
              </w:rPr>
              <w:t xml:space="preserve">Timeframe</w:t>
            </w:r>
          </w:p>
        </w:tc>
        <w:tc>
          <w:tcPr/>
          <w:p>
            <w:pPr>
              <w:pStyle w:val="Compact"/>
              <w:jc w:val="left"/>
            </w:pPr>
            <w:r>
              <w:rPr>
                <w:bCs/>
                <w:b/>
              </w:rPr>
              <w:t xml:space="preserve">Action</w:t>
            </w:r>
          </w:p>
        </w:tc>
        <w:tc>
          <w:tcPr/>
          <w:p>
            <w:pPr>
              <w:pStyle w:val="Compact"/>
              <w:jc w:val="left"/>
            </w:pPr>
            <w:r>
              <w:rPr>
                <w:bCs/>
                <w:b/>
              </w:rPr>
              <w:t xml:space="preserve">Modules Notified</w:t>
            </w:r>
          </w:p>
        </w:tc>
      </w:tr>
      <w:tr>
        <w:tc>
          <w:tcPr/>
          <w:p>
            <w:pPr>
              <w:pStyle w:val="Compact"/>
              <w:jc w:val="left"/>
            </w:pPr>
            <w:r>
              <w:rPr>
                <w:bCs/>
                <w:b/>
              </w:rPr>
              <w:t xml:space="preserve">Immediate (&lt; 1 min)</w:t>
            </w:r>
          </w:p>
        </w:tc>
        <w:tc>
          <w:tcPr/>
          <w:p>
            <w:pPr>
              <w:pStyle w:val="Compact"/>
              <w:jc w:val="left"/>
            </w:pPr>
            <w:r>
              <w:t xml:space="preserve">Consent status updated to WITHDRAWN in consent registry. All active sessions for this entity are invalidated.</w:t>
            </w:r>
          </w:p>
        </w:tc>
        <w:tc>
          <w:tcPr/>
          <w:p>
            <w:pPr>
              <w:pStyle w:val="Compact"/>
              <w:jc w:val="left"/>
            </w:pPr>
            <w:r>
              <w:t xml:space="preserve">AC03 (internal).</w:t>
            </w:r>
          </w:p>
        </w:tc>
      </w:tr>
      <w:tr>
        <w:tc>
          <w:tcPr/>
          <w:p>
            <w:pPr>
              <w:pStyle w:val="Compact"/>
              <w:jc w:val="left"/>
            </w:pPr>
            <w:r>
              <w:rPr>
                <w:bCs/>
                <w:b/>
              </w:rPr>
              <w:t xml:space="preserve">Within 1 hour</w:t>
            </w:r>
          </w:p>
        </w:tc>
        <w:tc>
          <w:tcPr/>
          <w:p>
            <w:pPr>
              <w:pStyle w:val="Compact"/>
              <w:jc w:val="left"/>
            </w:pPr>
            <w:r>
              <w:t xml:space="preserve">All real-time processing for this entity under the withdrawn purpose is stopped. Streaming pipelines (S01) filter out this entity for the withdrawn purpose. Edge devices (ED01) receive a withdrawal command.</w:t>
            </w:r>
          </w:p>
        </w:tc>
        <w:tc>
          <w:tcPr/>
          <w:p>
            <w:pPr>
              <w:pStyle w:val="Compact"/>
              <w:jc w:val="left"/>
            </w:pPr>
            <w:r>
              <w:t xml:space="preserve">S01, ED01, G01, A02.</w:t>
            </w:r>
          </w:p>
        </w:tc>
      </w:tr>
      <w:tr>
        <w:tc>
          <w:tcPr/>
          <w:p>
            <w:pPr>
              <w:pStyle w:val="Compact"/>
              <w:jc w:val="left"/>
            </w:pPr>
            <w:r>
              <w:rPr>
                <w:bCs/>
                <w:b/>
              </w:rPr>
              <w:t xml:space="preserve">Within 24 hours</w:t>
            </w:r>
          </w:p>
        </w:tc>
        <w:tc>
          <w:tcPr/>
          <w:p>
            <w:pPr>
              <w:pStyle w:val="Compact"/>
              <w:jc w:val="left"/>
            </w:pPr>
            <w:r>
              <w:t xml:space="preserve">All batch processing excludes this entity for the withdrawn purpose. Feature Store (A01) marks features for this entity/purpose as CONSENT_WITHDRAWN. Algorithm executions skip this entity.</w:t>
            </w:r>
          </w:p>
        </w:tc>
        <w:tc>
          <w:tcPr/>
          <w:p>
            <w:pPr>
              <w:pStyle w:val="Compact"/>
              <w:jc w:val="left"/>
            </w:pPr>
            <w:r>
              <w:t xml:space="preserve">A01, A02, G02, D02.</w:t>
            </w:r>
          </w:p>
        </w:tc>
      </w:tr>
      <w:tr>
        <w:tc>
          <w:tcPr/>
          <w:p>
            <w:pPr>
              <w:pStyle w:val="Compact"/>
              <w:jc w:val="left"/>
            </w:pPr>
            <w:r>
              <w:rPr>
                <w:bCs/>
                <w:b/>
              </w:rPr>
              <w:t xml:space="preserve">Within 30 days</w:t>
            </w:r>
          </w:p>
        </w:tc>
        <w:tc>
          <w:tcPr/>
          <w:p>
            <w:pPr>
              <w:pStyle w:val="Compact"/>
              <w:jc w:val="left"/>
            </w:pPr>
            <w:r>
              <w:t xml:space="preserve">Personal data processed under the withdrawn purpose is deleted or anonymised per PR06 Retention Clock. Erasure cascade initiated if consent withdrawal covers all purposes.</w:t>
            </w:r>
          </w:p>
        </w:tc>
        <w:tc>
          <w:tcPr/>
          <w:p>
            <w:pPr>
              <w:pStyle w:val="Compact"/>
              <w:jc w:val="left"/>
            </w:pPr>
            <w:r>
              <w:t xml:space="preserve">PR06, PR02, D01, D06.</w:t>
            </w:r>
          </w:p>
        </w:tc>
      </w:tr>
    </w:tbl>
    <w:p>
      <w:pPr>
        <w:pStyle w:val="BodyText"/>
      </w:pPr>
      <w:r>
        <w:rPr>
          <w:bCs/>
          <w:b/>
        </w:rPr>
        <w:t xml:space="preserve">AC03-FR-005</w:t>
      </w:r>
      <w:r>
        <w:t xml:space="preserve"> </w:t>
      </w:r>
      <w:r>
        <w:t xml:space="preserve">The Withdrawal Cascade SHALL be implemented via Pub/Sub: AC03 publishes a consent-withdrawal event with entity_id, purpose_id, tenant_id. All subscribing modules receive and act within their SLA. Each module confirms completion. AC03 tracks cascade status per module.</w:t>
      </w:r>
    </w:p>
    <w:p>
      <w:pPr>
        <w:pStyle w:val="BodyText"/>
      </w:pPr>
      <w:r>
        <w:rPr>
          <w:bCs/>
          <w:b/>
        </w:rPr>
        <w:t xml:space="preserve">AC03-FR-006</w:t>
      </w:r>
      <w:r>
        <w:t xml:space="preserve"> </w:t>
      </w:r>
      <w:r>
        <w:t xml:space="preserve">Consent status SHALL be queryable by any module at request time: before processing personal data, a module calls AC03.checkConsent(entity_id, purpose_id) → GRANTED / WITHDRAWN / EXPIRED / NOT_FOUND. Processing without valid consent SHALL be blocked by AC04 compliance policy.</w:t>
      </w:r>
    </w:p>
    <w:bookmarkEnd w:id="155"/>
    <w:bookmarkStart w:id="156" w:name="acceptance-criteria-13"/>
    <w:p>
      <w:pPr>
        <w:pStyle w:val="Heading2"/>
      </w:pPr>
      <w:r>
        <w:t xml:space="preserve">3.3 Acceptance Criteria</w:t>
      </w:r>
    </w:p>
    <w:p>
      <w:pPr>
        <w:pStyle w:val="FirstParagraph"/>
      </w:pPr>
      <w:r>
        <w:t xml:space="preserve">A customer grants consent for</w:t>
      </w:r>
      <w:r>
        <w:t xml:space="preserve"> </w:t>
      </w:r>
      <w:r>
        <w:t xml:space="preserve">‘</w:t>
      </w:r>
      <w:r>
        <w:t xml:space="preserve">Analytics</w:t>
      </w:r>
      <w:r>
        <w:t xml:space="preserve">’</w:t>
      </w:r>
      <w:r>
        <w:t xml:space="preserve"> </w:t>
      </w:r>
      <w:r>
        <w:t xml:space="preserve">and</w:t>
      </w:r>
      <w:r>
        <w:t xml:space="preserve"> </w:t>
      </w:r>
      <w:r>
        <w:t xml:space="preserve">‘</w:t>
      </w:r>
      <w:r>
        <w:t xml:space="preserve">Marketing</w:t>
      </w:r>
      <w:r>
        <w:t xml:space="preserve">’</w:t>
      </w:r>
      <w:r>
        <w:t xml:space="preserve"> </w:t>
      </w:r>
      <w:r>
        <w:t xml:space="preserve">but not</w:t>
      </w:r>
      <w:r>
        <w:t xml:space="preserve"> </w:t>
      </w:r>
      <w:r>
        <w:t xml:space="preserve">‘</w:t>
      </w:r>
      <w:r>
        <w:t xml:space="preserve">In-Store Recognition</w:t>
      </w:r>
      <w:r>
        <w:t xml:space="preserve">’</w:t>
      </w:r>
      <w:r>
        <w:t xml:space="preserve">. The video pipeline (G04, Phase 3) is blocked from processing their face embedding, but POS analytics works normally.</w:t>
      </w:r>
    </w:p>
    <w:p>
      <w:pPr>
        <w:pStyle w:val="BodyText"/>
      </w:pPr>
      <w:r>
        <w:t xml:space="preserve">A customer withdraws</w:t>
      </w:r>
      <w:r>
        <w:t xml:space="preserve"> </w:t>
      </w:r>
      <w:r>
        <w:t xml:space="preserve">‘</w:t>
      </w:r>
      <w:r>
        <w:t xml:space="preserve">Marketing</w:t>
      </w:r>
      <w:r>
        <w:t xml:space="preserve">’</w:t>
      </w:r>
      <w:r>
        <w:t xml:space="preserve"> </w:t>
      </w:r>
      <w:r>
        <w:t xml:space="preserve">consent. Within 1 hour, marketing algorithm execution skips this customer. Within 24 hours, marketing features are flagged. Within 30 days, marketing-purpose data is anonymised.</w:t>
      </w:r>
    </w:p>
    <w:p>
      <w:pPr>
        <w:pStyle w:val="BodyText"/>
      </w:pPr>
      <w:r>
        <w:t xml:space="preserve">Consent withdrawal cascade status is visible in the Admin Console: Tenant Admin sees which modules have confirmed withdrawal and which are pending.</w:t>
      </w:r>
    </w:p>
    <w:bookmarkEnd w:id="156"/>
    <w:bookmarkEnd w:id="157"/>
    <w:bookmarkStart w:id="161" w:name="ac04-compliance-as-code-policy-engine"/>
    <w:p>
      <w:pPr>
        <w:pStyle w:val="Heading1"/>
      </w:pPr>
      <w:r>
        <w:t xml:space="preserve">AC04 — Compliance-as-Code Policy Engine</w:t>
      </w:r>
    </w:p>
    <w:tbl>
      <w:tblPr>
        <w:tblStyle w:val="Table"/>
        <w:tblW w:type="pct" w:w="4870"/>
        <w:tblLook w:firstRow="0" w:lastRow="0" w:firstColumn="0" w:lastColumn="0" w:noHBand="0" w:noVBand="0" w:val="0000"/>
        <w:jc w:val="start"/>
      </w:tblPr>
      <w:tblGrid>
        <w:gridCol w:w="2571"/>
        <w:gridCol w:w="5142"/>
      </w:tblGrid>
      <w:t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rPr>
                <w:bCs/>
                <w:b/>
              </w:rPr>
              <w:t xml:space="preserve">Phase / Complexity</w:t>
            </w:r>
          </w:p>
        </w:tc>
        <w:tc>
          <w:tcPr/>
          <w:p>
            <w:pPr>
              <w:pStyle w:val="Compact"/>
              <w:jc w:val="left"/>
            </w:pPr>
            <w:r>
              <w:t xml:space="preserve">1 / High</w:t>
            </w:r>
          </w:p>
        </w:tc>
      </w:tr>
      <w:tr>
        <w:tc>
          <w:tcPr/>
          <w:p>
            <w:pPr>
              <w:pStyle w:val="Compact"/>
              <w:jc w:val="left"/>
            </w:pPr>
            <w:r>
              <w:rPr>
                <w:bCs/>
                <w:b/>
              </w:rPr>
              <w:t xml:space="preserve">Dependencies</w:t>
            </w:r>
          </w:p>
        </w:tc>
        <w:tc>
          <w:tcPr/>
          <w:p>
            <w:pPr>
              <w:pStyle w:val="Compact"/>
              <w:jc w:val="left"/>
            </w:pPr>
            <w:r>
              <w:t xml:space="preserve">AC01, AC03, F04</w:t>
            </w:r>
          </w:p>
        </w:tc>
      </w:tr>
    </w:tbl>
    <w:bookmarkStart w:id="158" w:name="purpose-19"/>
    <w:p>
      <w:pPr>
        <w:pStyle w:val="Heading2"/>
      </w:pPr>
      <w:r>
        <w:t xml:space="preserve">4.1 Purpose</w:t>
      </w:r>
    </w:p>
    <w:p>
      <w:pPr>
        <w:pStyle w:val="FirstParagraph"/>
      </w:pPr>
      <w:r>
        <w:t xml:space="preserve">AC04 encodes regulatory and business compliance rules as executable policies that are enforced automatically at data ingestion, feature computation, algorithm execution, data access, and data export. Rules are not documentation — they are code that prevents violations at runtime.</w:t>
      </w:r>
    </w:p>
    <w:bookmarkEnd w:id="158"/>
    <w:bookmarkStart w:id="159" w:name="key-functional-requirements-8"/>
    <w:p>
      <w:pPr>
        <w:pStyle w:val="Heading2"/>
      </w:pPr>
      <w:r>
        <w:t xml:space="preserve">4.2 Key Functional Requirements</w:t>
      </w:r>
    </w:p>
    <w:p>
      <w:pPr>
        <w:pStyle w:val="FirstParagraph"/>
      </w:pPr>
      <w:r>
        <w:rPr>
          <w:bCs/>
          <w:b/>
        </w:rPr>
        <w:t xml:space="preserve">AC04-FR-001</w:t>
      </w:r>
      <w:r>
        <w:t xml:space="preserve"> </w:t>
      </w:r>
      <w:r>
        <w:t xml:space="preserve">Policies SHALL be expressed in OPA Rego language and evaluated by the same OPA engine used for ABAC policies (AC01). Compliance policies are distinguished from access policies by a policy_category =</w:t>
      </w:r>
      <w:r>
        <w:t xml:space="preserve"> </w:t>
      </w:r>
      <w:r>
        <w:t xml:space="preserve">‘</w:t>
      </w:r>
      <w:r>
        <w:t xml:space="preserve">COMPLIANCE</w:t>
      </w:r>
      <w:r>
        <w:t xml:space="preserve">’</w:t>
      </w:r>
      <w:r>
        <w:t xml:space="preserve"> </w:t>
      </w:r>
      <w:r>
        <w:t xml:space="preserve">tag.</w:t>
      </w:r>
    </w:p>
    <w:p>
      <w:pPr>
        <w:pStyle w:val="BodyText"/>
      </w:pPr>
      <w:r>
        <w:rPr>
          <w:bCs/>
          <w:b/>
        </w:rPr>
        <w:t xml:space="preserve">AC04-FR-002</w:t>
      </w:r>
      <w:r>
        <w:t xml:space="preserve"> </w:t>
      </w:r>
      <w:r>
        <w:t xml:space="preserve">Policy inheritance SHALL follow: Platform → Industry → Geography → Tenant. Conflicts resolve to the strictest applicable policy. A tenant cannot weaken a platform or industry policy.</w:t>
      </w:r>
    </w:p>
    <w:p>
      <w:pPr>
        <w:pStyle w:val="BodyText"/>
      </w:pPr>
      <w:r>
        <w:rPr>
          <w:bCs/>
          <w:b/>
        </w:rPr>
        <w:t xml:space="preserve">AC04-FR-003</w:t>
      </w:r>
      <w:r>
        <w:t xml:space="preserve"> </w:t>
      </w:r>
      <w:r>
        <w:t xml:space="preserve">The following compliance policy types SHALL be supported:</w:t>
      </w:r>
    </w:p>
    <w:p>
      <w:pPr>
        <w:pStyle w:val="BodyText"/>
      </w:pPr>
      <w:r>
        <w:t xml:space="preserve">Data Retention: maximum retention period per entity type per purpose per geography. Enforced by PR06 Retention Clock.</w:t>
      </w:r>
    </w:p>
    <w:p>
      <w:pPr>
        <w:pStyle w:val="BodyText"/>
      </w:pPr>
      <w:r>
        <w:t xml:space="preserve">Feature Exclusion: certain data fields cannot be used as algorithm features for certain purposes. E.g.,</w:t>
      </w:r>
      <w:r>
        <w:t xml:space="preserve"> </w:t>
      </w:r>
      <w:r>
        <w:t xml:space="preserve">‘</w:t>
      </w:r>
      <w:r>
        <w:t xml:space="preserve">gender cannot be used for pricing algorithms in EU markets.</w:t>
      </w:r>
      <w:r>
        <w:t xml:space="preserve">’</w:t>
      </w:r>
      <w:r>
        <w:t xml:space="preserve"> </w:t>
      </w:r>
      <w:r>
        <w:t xml:space="preserve">Enforced at Feature Store (A01).</w:t>
      </w:r>
    </w:p>
    <w:p>
      <w:pPr>
        <w:pStyle w:val="BodyText"/>
      </w:pPr>
      <w:r>
        <w:t xml:space="preserve">Cross-Border Transfer: personal data from region X cannot be processed in region Y unless transfer authorization exists. Enforced by the Cross-Border Transfer Gate (D06/deployment architecture).</w:t>
      </w:r>
    </w:p>
    <w:p>
      <w:pPr>
        <w:pStyle w:val="BodyText"/>
      </w:pPr>
      <w:r>
        <w:t xml:space="preserve">Consent Requirement: processing activity Z requires consent for purpose P. Enforced by AC03 consent check.</w:t>
      </w:r>
    </w:p>
    <w:p>
      <w:pPr>
        <w:pStyle w:val="BodyText"/>
      </w:pPr>
      <w:r>
        <w:t xml:space="preserve">Algorithmic Transparency: algorithms tagged significant_impact must provide human-readable explanations and offer human review. Enforced by A02 Algorithm Registry.</w:t>
      </w:r>
    </w:p>
    <w:p>
      <w:pPr>
        <w:pStyle w:val="BodyText"/>
      </w:pPr>
      <w:r>
        <w:t xml:space="preserve">Biometric Data: video/audio containing biometric data requires specific consent (AC03) and DPIA (PR04) before processing. Enforced at G04/G05 pipeline activation.</w:t>
      </w:r>
    </w:p>
    <w:p>
      <w:pPr>
        <w:pStyle w:val="BodyText"/>
      </w:pPr>
      <w:r>
        <w:rPr>
          <w:bCs/>
          <w:b/>
        </w:rPr>
        <w:t xml:space="preserve">AC04-FR-004</w:t>
      </w:r>
      <w:r>
        <w:t xml:space="preserve"> </w:t>
      </w:r>
      <w:r>
        <w:t xml:space="preserve">Policy violations SHALL be handled in two modes: BLOCK (prevent the violating action, return error) and AUDIT (allow the action but log the violation for review). Mode is configurable per policy. Default: BLOCK for data-at-risk policies, AUDIT for operational policies.</w:t>
      </w:r>
    </w:p>
    <w:p>
      <w:pPr>
        <w:pStyle w:val="BodyText"/>
      </w:pPr>
      <w:r>
        <w:rPr>
          <w:bCs/>
          <w:b/>
        </w:rPr>
        <w:t xml:space="preserve">AC04-FR-005</w:t>
      </w:r>
      <w:r>
        <w:t xml:space="preserve"> </w:t>
      </w:r>
      <w:r>
        <w:t xml:space="preserve">The Compliance Dashboard (S22) SHALL show: total active policies by category, violation count (blocked + audited), policy coverage (% of processing activities covered by at least one policy), and compliance score per tenant.</w:t>
      </w:r>
    </w:p>
    <w:bookmarkEnd w:id="159"/>
    <w:bookmarkStart w:id="160" w:name="acceptance-criteria-14"/>
    <w:p>
      <w:pPr>
        <w:pStyle w:val="Heading2"/>
      </w:pPr>
      <w:r>
        <w:t xml:space="preserve">4.3 Acceptance Criteria</w:t>
      </w:r>
    </w:p>
    <w:p>
      <w:pPr>
        <w:pStyle w:val="FirstParagraph"/>
      </w:pPr>
      <w:r>
        <w:t xml:space="preserve">A</w:t>
      </w:r>
      <w:r>
        <w:t xml:space="preserve"> </w:t>
      </w:r>
      <w:r>
        <w:t xml:space="preserve">‘</w:t>
      </w:r>
      <w:r>
        <w:t xml:space="preserve">Feature Exclusion</w:t>
      </w:r>
      <w:r>
        <w:t xml:space="preserve">’</w:t>
      </w:r>
      <w:r>
        <w:t xml:space="preserve"> </w:t>
      </w:r>
      <w:r>
        <w:t xml:space="preserve">policy blocking</w:t>
      </w:r>
      <w:r>
        <w:t xml:space="preserve"> </w:t>
      </w:r>
      <w:r>
        <w:t xml:space="preserve">‘</w:t>
      </w:r>
      <w:r>
        <w:t xml:space="preserve">gender</w:t>
      </w:r>
      <w:r>
        <w:t xml:space="preserve">’</w:t>
      </w:r>
      <w:r>
        <w:t xml:space="preserve"> </w:t>
      </w:r>
      <w:r>
        <w:t xml:space="preserve">from pricing algorithms prevents an algorithm from accessing the gender feature — the Feature Store returns an error, not the data.</w:t>
      </w:r>
    </w:p>
    <w:p>
      <w:pPr>
        <w:pStyle w:val="BodyText"/>
      </w:pPr>
      <w:r>
        <w:t xml:space="preserve">A cross-border transfer policy blocks a query that would pull Indian customer data to a UAE processing node, with a clear error message.</w:t>
      </w:r>
    </w:p>
    <w:p>
      <w:pPr>
        <w:pStyle w:val="BodyText"/>
      </w:pPr>
      <w:r>
        <w:t xml:space="preserve">Policy inheritance works: a tenant in the insurance vertical automatically inherits IRDAI data retention policies without explicit configuration.</w:t>
      </w:r>
    </w:p>
    <w:bookmarkEnd w:id="160"/>
    <w:bookmarkEnd w:id="161"/>
    <w:bookmarkStart w:id="164" w:name="s01-stream-processing-engine"/>
    <w:p>
      <w:pPr>
        <w:pStyle w:val="Heading1"/>
      </w:pPr>
      <w:r>
        <w:t xml:space="preserve">S01 — Stream Processing Engine</w:t>
      </w:r>
    </w:p>
    <w:tbl>
      <w:tblPr>
        <w:tblStyle w:val="Table"/>
        <w:tblW w:type="pct" w:w="4870"/>
        <w:tblLook w:firstRow="0" w:lastRow="0" w:firstColumn="0" w:lastColumn="0" w:noHBand="0" w:noVBand="0" w:val="0000"/>
        <w:jc w:val="start"/>
      </w:tblPr>
      <w:tblGrid>
        <w:gridCol w:w="2571"/>
        <w:gridCol w:w="5142"/>
      </w:tblGrid>
      <w:t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rPr>
                <w:bCs/>
                <w:b/>
              </w:rPr>
              <w:t xml:space="preserve">Phase / Complexity</w:t>
            </w:r>
          </w:p>
        </w:tc>
        <w:tc>
          <w:tcPr/>
          <w:p>
            <w:pPr>
              <w:pStyle w:val="Compact"/>
              <w:jc w:val="left"/>
            </w:pPr>
            <w:r>
              <w:t xml:space="preserve">1 / Very High</w:t>
            </w:r>
          </w:p>
        </w:tc>
      </w:tr>
      <w:tr>
        <w:tc>
          <w:tcPr/>
          <w:p>
            <w:pPr>
              <w:pStyle w:val="Compact"/>
              <w:jc w:val="left"/>
            </w:pPr>
            <w:r>
              <w:rPr>
                <w:bCs/>
                <w:b/>
              </w:rPr>
              <w:t xml:space="preserve">Dependencies</w:t>
            </w:r>
          </w:p>
        </w:tc>
        <w:tc>
          <w:tcPr/>
          <w:p>
            <w:pPr>
              <w:pStyle w:val="Compact"/>
              <w:jc w:val="left"/>
            </w:pPr>
            <w:r>
              <w:t xml:space="preserve">D06 (Storage), G01 (Ingestion Gateway)</w:t>
            </w:r>
          </w:p>
        </w:tc>
      </w:tr>
    </w:tbl>
    <w:bookmarkStart w:id="162" w:name="purpose-20"/>
    <w:p>
      <w:pPr>
        <w:pStyle w:val="Heading2"/>
      </w:pPr>
      <w:r>
        <w:t xml:space="preserve">Purpose</w:t>
      </w:r>
    </w:p>
    <w:p>
      <w:pPr>
        <w:pStyle w:val="FirstParagraph"/>
      </w:pPr>
      <w:r>
        <w:t xml:space="preserve">Unified stream processing layer using Cloud Dataflow (managed Apache Beam) for both real-time and batch workloads. Kappa-influenced: a single processing framework handles continuous event streams and bounded batch datasets. Responsible for: incremental Gold layer materialization, real-time KPI computation, anomaly detection on streaming data, and windowed aggregations.</w:t>
      </w:r>
    </w:p>
    <w:bookmarkEnd w:id="162"/>
    <w:bookmarkStart w:id="163" w:name="key-requirements"/>
    <w:p>
      <w:pPr>
        <w:pStyle w:val="Heading2"/>
      </w:pPr>
      <w:r>
        <w:t xml:space="preserve">Key Requirements</w:t>
      </w:r>
    </w:p>
    <w:p>
      <w:pPr>
        <w:pStyle w:val="FirstParagraph"/>
      </w:pPr>
      <w:r>
        <w:rPr>
          <w:bCs/>
          <w:b/>
        </w:rPr>
        <w:t xml:space="preserve">S01-FR-001</w:t>
      </w:r>
      <w:r>
        <w:t xml:space="preserve"> </w:t>
      </w:r>
      <w:r>
        <w:t xml:space="preserve">All Pub/Sub topics from G01-G06 ingestion pipelines SHALL be consumable by Dataflow streaming jobs. Each job applies: windowing (tumbling, sliding, session — configurable per pipeline), aggregation, and writes results to BigQuery (Gold layer) and/or Cloud SQL.</w:t>
      </w:r>
    </w:p>
    <w:p>
      <w:pPr>
        <w:pStyle w:val="BodyText"/>
      </w:pPr>
      <w:r>
        <w:rPr>
          <w:bCs/>
          <w:b/>
        </w:rPr>
        <w:t xml:space="preserve">S01-FR-002</w:t>
      </w:r>
      <w:r>
        <w:t xml:space="preserve"> </w:t>
      </w:r>
      <w:r>
        <w:t xml:space="preserve">Exactly-once semantics SHALL be guaranteed for financial data (transactions, payments) using Dataflow’s built-in exactly-once processing with BigQuery write idempotency.</w:t>
      </w:r>
    </w:p>
    <w:p>
      <w:pPr>
        <w:pStyle w:val="BodyText"/>
      </w:pPr>
      <w:r>
        <w:rPr>
          <w:bCs/>
          <w:b/>
        </w:rPr>
        <w:t xml:space="preserve">S01-FR-003</w:t>
      </w:r>
      <w:r>
        <w:t xml:space="preserve"> </w:t>
      </w:r>
      <w:r>
        <w:t xml:space="preserve">Late-arriving data (beyond F03 grace period) SHALL trigger incremental recomputation of affected Gold layer windows. The recomputation is scoped to only the affected time window and tenant.</w:t>
      </w:r>
    </w:p>
    <w:p>
      <w:pPr>
        <w:pStyle w:val="BodyText"/>
      </w:pPr>
      <w:r>
        <w:rPr>
          <w:bCs/>
          <w:b/>
        </w:rPr>
        <w:t xml:space="preserve">S01-FR-004</w:t>
      </w:r>
      <w:r>
        <w:t xml:space="preserve"> </w:t>
      </w:r>
      <w:r>
        <w:t xml:space="preserve">Backpressure handling: if a tenant’s data volume exceeds processing capacity, Dataflow auto-scales workers. If scaling is insufficient (quota limit), the job SHALL: (a) buffer messages in Pub/Sub (up to retention period), (b) alert OB01 observability, (c) NOT drop messages.</w:t>
      </w:r>
    </w:p>
    <w:p>
      <w:pPr>
        <w:pStyle w:val="BodyText"/>
      </w:pPr>
      <w:r>
        <w:rPr>
          <w:bCs/>
          <w:b/>
        </w:rPr>
        <w:t xml:space="preserve">S01-FR-005</w:t>
      </w:r>
      <w:r>
        <w:t xml:space="preserve"> </w:t>
      </w:r>
      <w:r>
        <w:t xml:space="preserve">Tenant isolation in streaming jobs: shared Dataflow jobs SHALL partition processing by tenant_id. No tenant’s data is co-mingled in intermediate state. Enterprise tenants MAY have dedicated Dataflow jobs.</w:t>
      </w:r>
    </w:p>
    <w:bookmarkEnd w:id="163"/>
    <w:bookmarkEnd w:id="164"/>
    <w:bookmarkStart w:id="167" w:name="ic01-industry-ontology-framework"/>
    <w:p>
      <w:pPr>
        <w:pStyle w:val="Heading1"/>
      </w:pPr>
      <w:r>
        <w:t xml:space="preserve">IC01 — Industry Ontology Framework</w:t>
      </w:r>
    </w:p>
    <w:tbl>
      <w:tblPr>
        <w:tblStyle w:val="Table"/>
        <w:tblW w:type="pct" w:w="4890"/>
        <w:tblLook w:firstRow="0" w:lastRow="0" w:firstColumn="0" w:lastColumn="0" w:noHBand="0" w:noVBand="0" w:val="0000"/>
        <w:jc w:val="start"/>
      </w:tblPr>
      <w:tblGrid>
        <w:gridCol w:w="2175"/>
        <w:gridCol w:w="5570"/>
      </w:tblGrid>
      <w:t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rPr>
                <w:bCs/>
                <w:b/>
              </w:rPr>
              <w:t xml:space="preserve">Phase / Complexity</w:t>
            </w:r>
          </w:p>
        </w:tc>
        <w:tc>
          <w:tcPr/>
          <w:p>
            <w:pPr>
              <w:pStyle w:val="Compact"/>
              <w:jc w:val="left"/>
            </w:pPr>
            <w:r>
              <w:t xml:space="preserve">1 / High</w:t>
            </w:r>
          </w:p>
        </w:tc>
      </w:tr>
      <w:tr>
        <w:tc>
          <w:tcPr/>
          <w:p>
            <w:pPr>
              <w:pStyle w:val="Compact"/>
              <w:jc w:val="left"/>
            </w:pPr>
            <w:r>
              <w:rPr>
                <w:bCs/>
                <w:b/>
              </w:rPr>
              <w:t xml:space="preserve">Dependencies</w:t>
            </w:r>
          </w:p>
        </w:tc>
        <w:tc>
          <w:tcPr/>
          <w:p>
            <w:pPr>
              <w:pStyle w:val="Compact"/>
              <w:jc w:val="left"/>
            </w:pPr>
            <w:r>
              <w:t xml:space="preserve">D01 (Canonical Model), F04 (Configuration), AC04 (Compliance)</w:t>
            </w:r>
          </w:p>
        </w:tc>
      </w:tr>
    </w:tbl>
    <w:bookmarkStart w:id="165" w:name="purpose-21"/>
    <w:p>
      <w:pPr>
        <w:pStyle w:val="Heading2"/>
      </w:pPr>
      <w:r>
        <w:t xml:space="preserve">Purpose</w:t>
      </w:r>
    </w:p>
    <w:p>
      <w:pPr>
        <w:pStyle w:val="FirstParagraph"/>
      </w:pPr>
      <w:r>
        <w:t xml:space="preserve">IC01 manages industry vertical definitions as configurable packages: domain ontology (entity extensions), KPI library, compliance rule sets, decision templates, and connector catalogs. New verticals are added via the Industry Vertical Builder (S03) by Super Admin. The retail vertical defined in D01 is the first instance of IC01.</w:t>
      </w:r>
    </w:p>
    <w:bookmarkEnd w:id="165"/>
    <w:bookmarkStart w:id="166" w:name="key-requirements-1"/>
    <w:p>
      <w:pPr>
        <w:pStyle w:val="Heading2"/>
      </w:pPr>
      <w:r>
        <w:t xml:space="preserve">Key Requirements</w:t>
      </w:r>
    </w:p>
    <w:p>
      <w:pPr>
        <w:pStyle w:val="FirstParagraph"/>
      </w:pPr>
      <w:r>
        <w:rPr>
          <w:bCs/>
          <w:b/>
        </w:rPr>
        <w:t xml:space="preserve">IC01-FR-001</w:t>
      </w:r>
      <w:r>
        <w:t xml:space="preserve"> </w:t>
      </w:r>
      <w:r>
        <w:t xml:space="preserve">An industry vertical SHALL be a versioned configuration package stored in F04 containing: (a) ontology_extension: entity types, attributes, relationships specific to the vertical (stored as JSON Schema), (b) kpi_library: KPI definitions with formulas, rollup logic, refresh schedules, (c) compliance_rules: AC04 policies specific to the vertical, (d) decision_templates: pre-built algorithm pipeline DAGs for common vertical use cases, (e) connector_catalog: recommended data source connectors tagged for this vertical.</w:t>
      </w:r>
    </w:p>
    <w:p>
      <w:pPr>
        <w:pStyle w:val="BodyText"/>
      </w:pPr>
      <w:r>
        <w:rPr>
          <w:bCs/>
          <w:b/>
        </w:rPr>
        <w:t xml:space="preserve">IC01-FR-002</w:t>
      </w:r>
      <w:r>
        <w:t xml:space="preserve"> </w:t>
      </w:r>
      <w:r>
        <w:t xml:space="preserve">When a tenant selects a vertical during onboarding (W01), the system SHALL: instantiate the vertical’s ontology extension in the tenant’s Silver schema, load the KPI library into the tenant’s Gold layer config, activate compliance rules, and surface recommended connectors in the Data Source Wizard (S08).</w:t>
      </w:r>
    </w:p>
    <w:p>
      <w:pPr>
        <w:pStyle w:val="BodyText"/>
      </w:pPr>
      <w:r>
        <w:rPr>
          <w:bCs/>
          <w:b/>
        </w:rPr>
        <w:t xml:space="preserve">IC01-FR-003</w:t>
      </w:r>
      <w:r>
        <w:t xml:space="preserve"> </w:t>
      </w:r>
      <w:r>
        <w:t xml:space="preserve">A tenant MAY belong to multiple verticals (e.g., a company that does both retail and logistics). Entity types from both verticals are available, with namespace isolation preventing conflicts.</w:t>
      </w:r>
    </w:p>
    <w:p>
      <w:pPr>
        <w:pStyle w:val="BodyText"/>
      </w:pPr>
      <w:r>
        <w:rPr>
          <w:bCs/>
          <w:b/>
        </w:rPr>
        <w:t xml:space="preserve">IC01-FR-004</w:t>
      </w:r>
      <w:r>
        <w:t xml:space="preserve"> </w:t>
      </w:r>
      <w:r>
        <w:t xml:space="preserve">New vertical creation time target: a new industry vertical with 10 entity types, 20 KPIs, and 5 compliance rules can be defined by Super Admin in under 3 days via the Industry Vertical Builder (S03), without engineering involvement.</w:t>
      </w:r>
    </w:p>
    <w:bookmarkEnd w:id="166"/>
    <w:bookmarkEnd w:id="167"/>
    <w:bookmarkStart w:id="169" w:name="ic02-localization-i18n-engine"/>
    <w:p>
      <w:pPr>
        <w:pStyle w:val="Heading1"/>
      </w:pPr>
      <w:r>
        <w:t xml:space="preserve">IC02 — Localization &amp; i18n Engine</w:t>
      </w:r>
    </w:p>
    <w:tbl>
      <w:tblPr>
        <w:tblStyle w:val="Table"/>
        <w:tblW w:type="pct" w:w="4870"/>
        <w:tblLook w:firstRow="0" w:lastRow="0" w:firstColumn="0" w:lastColumn="0" w:noHBand="0" w:noVBand="0" w:val="0000"/>
        <w:jc w:val="start"/>
      </w:tblPr>
      <w:tblGrid>
        <w:gridCol w:w="2571"/>
        <w:gridCol w:w="5142"/>
      </w:tblGrid>
      <w:t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rPr>
                <w:bCs/>
                <w:b/>
              </w:rPr>
              <w:t xml:space="preserve">Phase / Complexity</w:t>
            </w:r>
          </w:p>
        </w:tc>
        <w:tc>
          <w:tcPr/>
          <w:p>
            <w:pPr>
              <w:pStyle w:val="Compact"/>
              <w:jc w:val="left"/>
            </w:pPr>
            <w:r>
              <w:t xml:space="preserve">1 / Medium</w:t>
            </w:r>
          </w:p>
        </w:tc>
      </w:tr>
    </w:tbl>
    <w:bookmarkStart w:id="168" w:name="purpose-key-requirements"/>
    <w:p>
      <w:pPr>
        <w:pStyle w:val="Heading2"/>
      </w:pPr>
      <w:r>
        <w:t xml:space="preserve">Purpose &amp; Key Requirements</w:t>
      </w:r>
    </w:p>
    <w:p>
      <w:pPr>
        <w:pStyle w:val="FirstParagraph"/>
      </w:pPr>
      <w:r>
        <w:t xml:space="preserve">Manages locale-specific rendering: currency (INR with lakh/crore formatting vs. USD with million/billion), date/time formatting (DD/MM/YYYY in India, MM/DD/YYYY in US), timezone handling (all timestamps stored as UTC, displayed in tenant’s timezone), number formatting (comma placement: 1,00,000 in India vs. 100,000 in US), and business day calendars (Indian national holidays, regional holidays). Locale is set per tenant at onboarding and configurable per sub-tenant for multi-geography clients.</w:t>
      </w:r>
    </w:p>
    <w:p>
      <w:pPr>
        <w:pStyle w:val="BodyText"/>
      </w:pPr>
      <w:r>
        <w:rPr>
          <w:bCs/>
          <w:b/>
        </w:rPr>
        <w:t xml:space="preserve">IC02-FR-001</w:t>
      </w:r>
      <w:r>
        <w:t xml:space="preserve"> </w:t>
      </w:r>
      <w:r>
        <w:t xml:space="preserve">All user-facing numeric values SHALL be formatted using the tenant’s configured locale. Revenue of 10000000 renders as</w:t>
      </w:r>
      <w:r>
        <w:t xml:space="preserve"> </w:t>
      </w:r>
      <w:r>
        <w:t xml:space="preserve">‘</w:t>
      </w:r>
      <w:r>
        <w:t xml:space="preserve">₹1,00,00,000</w:t>
      </w:r>
      <w:r>
        <w:t xml:space="preserve">’</w:t>
      </w:r>
      <w:r>
        <w:t xml:space="preserve"> </w:t>
      </w:r>
      <w:r>
        <w:t xml:space="preserve">for Indian tenants and</w:t>
      </w:r>
      <w:r>
        <w:t xml:space="preserve"> </w:t>
      </w:r>
      <w:r>
        <w:t xml:space="preserve">‘</w:t>
      </w:r>
      <w:r>
        <w:t xml:space="preserve">$10,000,000</w:t>
      </w:r>
      <w:r>
        <w:t xml:space="preserve">’</w:t>
      </w:r>
      <w:r>
        <w:t xml:space="preserve"> </w:t>
      </w:r>
      <w:r>
        <w:t xml:space="preserve">for US tenants.</w:t>
      </w:r>
    </w:p>
    <w:p>
      <w:pPr>
        <w:pStyle w:val="BodyText"/>
      </w:pPr>
      <w:r>
        <w:rPr>
          <w:bCs/>
          <w:b/>
        </w:rPr>
        <w:t xml:space="preserve">IC02-FR-002</w:t>
      </w:r>
      <w:r>
        <w:t xml:space="preserve"> </w:t>
      </w:r>
      <w:r>
        <w:t xml:space="preserve">KPI computation SHALL be locale-aware where specified. Example:</w:t>
      </w:r>
      <w:r>
        <w:t xml:space="preserve"> </w:t>
      </w:r>
      <w:r>
        <w:t xml:space="preserve">‘</w:t>
      </w:r>
      <w:r>
        <w:t xml:space="preserve">Revenue</w:t>
      </w:r>
      <w:r>
        <w:t xml:space="preserve">’</w:t>
      </w:r>
      <w:r>
        <w:t xml:space="preserve"> </w:t>
      </w:r>
      <w:r>
        <w:t xml:space="preserve">in India is GST-inclusive; in the US it may be pre-tax. The KPI library (IC01) SHALL support locale-variant formulas.</w:t>
      </w:r>
    </w:p>
    <w:p>
      <w:pPr>
        <w:pStyle w:val="BodyText"/>
      </w:pPr>
      <w:r>
        <w:rPr>
          <w:bCs/>
          <w:b/>
        </w:rPr>
        <w:t xml:space="preserve">IC02-FR-003</w:t>
      </w:r>
      <w:r>
        <w:t xml:space="preserve"> </w:t>
      </w:r>
      <w:r>
        <w:t xml:space="preserve">Business day calendar per tenant/geography: scheduling engines (report delivery, algorithm execution) SHALL skip non-business-days based on the tenant’s configured holiday calendar.</w:t>
      </w:r>
    </w:p>
    <w:bookmarkEnd w:id="168"/>
    <w:bookmarkEnd w:id="169"/>
    <w:bookmarkStart w:id="171" w:name="a05-llm-gateway"/>
    <w:p>
      <w:pPr>
        <w:pStyle w:val="Heading1"/>
      </w:pPr>
      <w:r>
        <w:t xml:space="preserve">A05 — LLM Gateway</w:t>
      </w:r>
    </w:p>
    <w:tbl>
      <w:tblPr>
        <w:tblStyle w:val="Table"/>
        <w:tblW w:type="pct" w:w="4870"/>
        <w:tblLook w:firstRow="0" w:lastRow="0" w:firstColumn="0" w:lastColumn="0" w:noHBand="0" w:noVBand="0" w:val="0000"/>
        <w:jc w:val="start"/>
      </w:tblPr>
      <w:tblGrid>
        <w:gridCol w:w="2571"/>
        <w:gridCol w:w="5142"/>
      </w:tblGrid>
      <w:t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rPr>
                <w:bCs/>
                <w:b/>
              </w:rPr>
              <w:t xml:space="preserve">Phase / Complexity</w:t>
            </w:r>
          </w:p>
        </w:tc>
        <w:tc>
          <w:tcPr/>
          <w:p>
            <w:pPr>
              <w:pStyle w:val="Compact"/>
              <w:jc w:val="left"/>
            </w:pPr>
            <w:r>
              <w:t xml:space="preserve">1 / Medium</w:t>
            </w:r>
          </w:p>
        </w:tc>
      </w:tr>
    </w:tbl>
    <w:bookmarkStart w:id="170" w:name="purpose-key-requirements-1"/>
    <w:p>
      <w:pPr>
        <w:pStyle w:val="Heading2"/>
      </w:pPr>
      <w:r>
        <w:t xml:space="preserve">Purpose &amp; Key Requirements</w:t>
      </w:r>
    </w:p>
    <w:p>
      <w:pPr>
        <w:pStyle w:val="FirstParagraph"/>
      </w:pPr>
      <w:r>
        <w:t xml:space="preserve">Provider-agnostic abstraction layer for large language model integration. Routes requests to Claude (Anthropic), Gemini (Google), or open-source models based on: cost, latency, capability, and tenant preference. Used by: natural language query generation (E02), decision explanations (A07), PII detection in unstructured data (G03), DPIA risk assessment (PR04), and document understanding (G03).</w:t>
      </w:r>
    </w:p>
    <w:p>
      <w:pPr>
        <w:pStyle w:val="BodyText"/>
      </w:pPr>
      <w:r>
        <w:rPr>
          <w:bCs/>
          <w:b/>
        </w:rPr>
        <w:t xml:space="preserve">A05-FR-001</w:t>
      </w:r>
      <w:r>
        <w:t xml:space="preserve"> </w:t>
      </w:r>
      <w:r>
        <w:t xml:space="preserve">The gateway SHALL support multiple providers with a unified API: sendPrompt(model_preference, messages[], system_prompt, max_tokens, temperature) → response. Provider-specific API differences are abstracted.</w:t>
      </w:r>
    </w:p>
    <w:p>
      <w:pPr>
        <w:pStyle w:val="BodyText"/>
      </w:pPr>
      <w:r>
        <w:rPr>
          <w:bCs/>
          <w:b/>
        </w:rPr>
        <w:t xml:space="preserve">A05-FR-002</w:t>
      </w:r>
      <w:r>
        <w:t xml:space="preserve"> </w:t>
      </w:r>
      <w:r>
        <w:t xml:space="preserve">Provider selection logic: (a) Tenant-preferred provider (if configured), (b) task-optimized routing (complex reasoning → Claude, fast classification → Gemini Flash), (c) cost-optimized routing (use cheapest sufficient model), (d) fallback chain (if primary provider is down, automatically route to secondary).</w:t>
      </w:r>
    </w:p>
    <w:p>
      <w:pPr>
        <w:pStyle w:val="BodyText"/>
      </w:pPr>
      <w:r>
        <w:rPr>
          <w:bCs/>
          <w:b/>
        </w:rPr>
        <w:t xml:space="preserve">A05-FR-003</w:t>
      </w:r>
      <w:r>
        <w:t xml:space="preserve"> </w:t>
      </w:r>
      <w:r>
        <w:t xml:space="preserve">Response caching: identical prompts (same tenant, same model, same parameters) SHALL be served from Redis cache. TTL configurable per use case (decision explanations: 24 hours; PII detection: no cache).</w:t>
      </w:r>
    </w:p>
    <w:p>
      <w:pPr>
        <w:pStyle w:val="BodyText"/>
      </w:pPr>
      <w:r>
        <w:rPr>
          <w:bCs/>
          <w:b/>
        </w:rPr>
        <w:t xml:space="preserve">A05-FR-004</w:t>
      </w:r>
      <w:r>
        <w:t xml:space="preserve"> </w:t>
      </w:r>
      <w:r>
        <w:t xml:space="preserve">PII guardrails: all prompts sent through the gateway SHALL be scanned for PII. If PII is detected and the request is going to an external provider (not self-hosted), PII SHALL be redacted before sending and re-injected into the response. Self-hosted models (vLLM on GKE) are exempt from redaction.</w:t>
      </w:r>
    </w:p>
    <w:p>
      <w:pPr>
        <w:pStyle w:val="BodyText"/>
      </w:pPr>
      <w:r>
        <w:rPr>
          <w:bCs/>
          <w:b/>
        </w:rPr>
        <w:t xml:space="preserve">A05-FR-005</w:t>
      </w:r>
      <w:r>
        <w:t xml:space="preserve"> </w:t>
      </w:r>
      <w:r>
        <w:t xml:space="preserve">Cost tracking: every API call SHALL be logged with: tenant_id, provider, model, input_tokens, output_tokens, cost, latency. Cost aggregated per tenant for billing (OB03).</w:t>
      </w:r>
    </w:p>
    <w:bookmarkEnd w:id="170"/>
    <w:bookmarkEnd w:id="171"/>
    <w:bookmarkStart w:id="173" w:name="a06-rule-engine"/>
    <w:p>
      <w:pPr>
        <w:pStyle w:val="Heading1"/>
      </w:pPr>
      <w:r>
        <w:t xml:space="preserve">A06 — Rule Engine</w:t>
      </w:r>
    </w:p>
    <w:tbl>
      <w:tblPr>
        <w:tblStyle w:val="Table"/>
        <w:tblW w:type="pct" w:w="4870"/>
        <w:tblLook w:firstRow="0" w:lastRow="0" w:firstColumn="0" w:lastColumn="0" w:noHBand="0" w:noVBand="0" w:val="0000"/>
        <w:jc w:val="start"/>
      </w:tblPr>
      <w:tblGrid>
        <w:gridCol w:w="2571"/>
        <w:gridCol w:w="5142"/>
      </w:tblGrid>
      <w:t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rPr>
                <w:bCs/>
                <w:b/>
              </w:rPr>
              <w:t xml:space="preserve">Phase / Complexity</w:t>
            </w:r>
          </w:p>
        </w:tc>
        <w:tc>
          <w:tcPr/>
          <w:p>
            <w:pPr>
              <w:pStyle w:val="Compact"/>
              <w:jc w:val="left"/>
            </w:pPr>
            <w:r>
              <w:t xml:space="preserve">1 / Medium</w:t>
            </w:r>
          </w:p>
        </w:tc>
      </w:tr>
    </w:tbl>
    <w:bookmarkStart w:id="172" w:name="purpose-key-requirements-2"/>
    <w:p>
      <w:pPr>
        <w:pStyle w:val="Heading2"/>
      </w:pPr>
      <w:r>
        <w:t xml:space="preserve">Purpose &amp; Key Requirements</w:t>
      </w:r>
    </w:p>
    <w:p>
      <w:pPr>
        <w:pStyle w:val="FirstParagraph"/>
      </w:pPr>
      <w:r>
        <w:t xml:space="preserve">Deterministic rule execution engine for business logic that doesn’t require ML: threshold-based alerts, eligibility checks, classification rules, scoring matrices, and business validations. First-class citizen in the Algorithm Registry (A02) alongside ML models. Transparent, auditable, and sub-millisecond evaluation.</w:t>
      </w:r>
    </w:p>
    <w:p>
      <w:pPr>
        <w:pStyle w:val="BodyText"/>
      </w:pPr>
      <w:r>
        <w:rPr>
          <w:bCs/>
          <w:b/>
        </w:rPr>
        <w:t xml:space="preserve">A06-FR-001</w:t>
      </w:r>
      <w:r>
        <w:t xml:space="preserve"> </w:t>
      </w:r>
      <w:r>
        <w:t xml:space="preserve">Rules SHALL be defined in a declarative format: IF (conditions) THEN (actions). Conditions support: field comparisons (&gt;, &lt;, =, IN, BETWEEN, REGEX), boolean logic (AND, OR, NOT), nested conditions, and lookups against reference data (e.g., IF product.category IN lookup(</w:t>
      </w:r>
      <w:r>
        <w:t xml:space="preserve">‘</w:t>
      </w:r>
      <w:r>
        <w:t xml:space="preserve">promotion_eligible_categories</w:t>
      </w:r>
      <w:r>
        <w:t xml:space="preserve">’</w:t>
      </w:r>
      <w:r>
        <w:t xml:space="preserve">)).</w:t>
      </w:r>
    </w:p>
    <w:p>
      <w:pPr>
        <w:pStyle w:val="BodyText"/>
      </w:pPr>
      <w:r>
        <w:rPr>
          <w:bCs/>
          <w:b/>
        </w:rPr>
        <w:t xml:space="preserve">A06-FR-002</w:t>
      </w:r>
      <w:r>
        <w:t xml:space="preserve"> </w:t>
      </w:r>
      <w:r>
        <w:t xml:space="preserve">Decision Tables SHALL be supported as an alternative rule format: a matrix of conditions → outcomes. Example: customer_tier x purchase_amount → discount_percentage. Decision tables are visually editable in the Admin Console.</w:t>
      </w:r>
    </w:p>
    <w:p>
      <w:pPr>
        <w:pStyle w:val="BodyText"/>
      </w:pPr>
      <w:r>
        <w:rPr>
          <w:bCs/>
          <w:b/>
        </w:rPr>
        <w:t xml:space="preserve">A06-FR-003</w:t>
      </w:r>
      <w:r>
        <w:t xml:space="preserve"> </w:t>
      </w:r>
      <w:r>
        <w:t xml:space="preserve">Rule execution SHALL produce a Decision Record: rule_id, rule_version, input_values, conditions_evaluated (each with true/false), outcome, execution_time_ms. This feeds the Decision Log (A07) for auditability.</w:t>
      </w:r>
    </w:p>
    <w:p>
      <w:pPr>
        <w:pStyle w:val="BodyText"/>
      </w:pPr>
      <w:r>
        <w:rPr>
          <w:bCs/>
          <w:b/>
        </w:rPr>
        <w:t xml:space="preserve">A06-FR-004</w:t>
      </w:r>
      <w:r>
        <w:t xml:space="preserve"> </w:t>
      </w:r>
      <w:r>
        <w:t xml:space="preserve">Rule conflict detection: when multiple rules match the same input, the system SHALL: (a) detect the conflict, (b) apply the highest-priority rule (priority configured per rule), (c) log the conflict with all matching rules for audit.</w:t>
      </w:r>
    </w:p>
    <w:bookmarkEnd w:id="172"/>
    <w:bookmarkEnd w:id="173"/>
    <w:bookmarkStart w:id="175" w:name="o01-api-gateway-integration-layer"/>
    <w:p>
      <w:pPr>
        <w:pStyle w:val="Heading1"/>
      </w:pPr>
      <w:r>
        <w:t xml:space="preserve">O01 — API Gateway &amp; Integration Layer</w:t>
      </w:r>
    </w:p>
    <w:tbl>
      <w:tblPr>
        <w:tblStyle w:val="Table"/>
        <w:tblW w:type="pct" w:w="4870"/>
        <w:tblLook w:firstRow="0" w:lastRow="0" w:firstColumn="0" w:lastColumn="0" w:noHBand="0" w:noVBand="0" w:val="0000"/>
        <w:jc w:val="start"/>
      </w:tblPr>
      <w:tblGrid>
        <w:gridCol w:w="2571"/>
        <w:gridCol w:w="5142"/>
      </w:tblGrid>
      <w:t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rPr>
                <w:bCs/>
                <w:b/>
              </w:rPr>
              <w:t xml:space="preserve">Phase / Complexity</w:t>
            </w:r>
          </w:p>
        </w:tc>
        <w:tc>
          <w:tcPr/>
          <w:p>
            <w:pPr>
              <w:pStyle w:val="Compact"/>
              <w:jc w:val="left"/>
            </w:pPr>
            <w:r>
              <w:t xml:space="preserve">1 / Medium</w:t>
            </w:r>
          </w:p>
        </w:tc>
      </w:tr>
    </w:tbl>
    <w:bookmarkStart w:id="174" w:name="purpose-key-requirements-3"/>
    <w:p>
      <w:pPr>
        <w:pStyle w:val="Heading2"/>
      </w:pPr>
      <w:r>
        <w:t xml:space="preserve">Purpose &amp; Key Requirements</w:t>
      </w:r>
    </w:p>
    <w:p>
      <w:pPr>
        <w:pStyle w:val="FirstParagraph"/>
      </w:pPr>
      <w:r>
        <w:t xml:space="preserve">Single entry point for all external API traffic. Handles: tenant resolution (from subdomain/domain/API key), authentication (JWT validation), rate limiting (per tenant per endpoint), request routing (to internal microservices), response transformation, and API versioning.</w:t>
      </w:r>
    </w:p>
    <w:p>
      <w:pPr>
        <w:pStyle w:val="BodyText"/>
      </w:pPr>
      <w:r>
        <w:rPr>
          <w:bCs/>
          <w:b/>
        </w:rPr>
        <w:t xml:space="preserve">O01-FR-001</w:t>
      </w:r>
      <w:r>
        <w:t xml:space="preserve"> </w:t>
      </w:r>
      <w:r>
        <w:t xml:space="preserve">Implementation: Apigee on GCP (managed API gateway) for the external API surface. Internal service-to-service calls use gRPC with Istio/ASM service mesh for mTLS, load balancing, and circuit breaking.</w:t>
      </w:r>
    </w:p>
    <w:p>
      <w:pPr>
        <w:pStyle w:val="BodyText"/>
      </w:pPr>
      <w:r>
        <w:rPr>
          <w:bCs/>
          <w:b/>
        </w:rPr>
        <w:t xml:space="preserve">O01-FR-002</w:t>
      </w:r>
      <w:r>
        <w:t xml:space="preserve"> </w:t>
      </w:r>
      <w:r>
        <w:t xml:space="preserve">API versioning: all external APIs SHALL be versioned (v1, v2). New versions are additive (backward compatible). Old versions deprecated with 90-day notice. At most 2 active versions simultaneously.</w:t>
      </w:r>
    </w:p>
    <w:p>
      <w:pPr>
        <w:pStyle w:val="BodyText"/>
      </w:pPr>
      <w:r>
        <w:rPr>
          <w:bCs/>
          <w:b/>
        </w:rPr>
        <w:t xml:space="preserve">O01-FR-003</w:t>
      </w:r>
      <w:r>
        <w:t xml:space="preserve"> </w:t>
      </w:r>
      <w:r>
        <w:t xml:space="preserve">Rate limiting: configurable per tenant per endpoint. Defaults: 600 requests/minute for standard tier, 2000 for premium, 6000 for enterprise. Exceeded limits return HTTP 429 with Retry-After header and X-RateLimit-Remaining headers.</w:t>
      </w:r>
    </w:p>
    <w:p>
      <w:pPr>
        <w:pStyle w:val="BodyText"/>
      </w:pPr>
      <w:r>
        <w:rPr>
          <w:bCs/>
          <w:b/>
        </w:rPr>
        <w:t xml:space="preserve">O01-FR-004</w:t>
      </w:r>
      <w:r>
        <w:t xml:space="preserve"> </w:t>
      </w:r>
      <w:r>
        <w:t xml:space="preserve">Tenant resolution on every request: extract tenant context from JWT, API key, subdomain, or custom domain. If resolution fails: HTTP 401. Resolved tenant_id propagated to all downstream services via OpenTelemetry baggage.</w:t>
      </w:r>
    </w:p>
    <w:bookmarkEnd w:id="174"/>
    <w:bookmarkEnd w:id="175"/>
    <w:bookmarkStart w:id="177" w:name="ob01-platform-observability-stack"/>
    <w:p>
      <w:pPr>
        <w:pStyle w:val="Heading1"/>
      </w:pPr>
      <w:r>
        <w:t xml:space="preserve">OB01 — Platform Observability Stack</w:t>
      </w:r>
    </w:p>
    <w:tbl>
      <w:tblPr>
        <w:tblStyle w:val="Table"/>
        <w:tblW w:type="pct" w:w="4870"/>
        <w:tblLook w:firstRow="0" w:lastRow="0" w:firstColumn="0" w:lastColumn="0" w:noHBand="0" w:noVBand="0" w:val="0000"/>
        <w:jc w:val="start"/>
      </w:tblPr>
      <w:tblGrid>
        <w:gridCol w:w="2571"/>
        <w:gridCol w:w="5142"/>
      </w:tblGrid>
      <w:t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rPr>
                <w:bCs/>
                <w:b/>
              </w:rPr>
              <w:t xml:space="preserve">Phase / Complexity</w:t>
            </w:r>
          </w:p>
        </w:tc>
        <w:tc>
          <w:tcPr/>
          <w:p>
            <w:pPr>
              <w:pStyle w:val="Compact"/>
              <w:jc w:val="left"/>
            </w:pPr>
            <w:r>
              <w:t xml:space="preserve">1 / High</w:t>
            </w:r>
          </w:p>
        </w:tc>
      </w:tr>
    </w:tbl>
    <w:bookmarkStart w:id="176" w:name="purpose-key-requirements-4"/>
    <w:p>
      <w:pPr>
        <w:pStyle w:val="Heading2"/>
      </w:pPr>
      <w:r>
        <w:t xml:space="preserve">Purpose &amp; Key Requirements</w:t>
      </w:r>
    </w:p>
    <w:p>
      <w:pPr>
        <w:pStyle w:val="FirstParagraph"/>
      </w:pPr>
      <w:r>
        <w:t xml:space="preserve">Three-dimensional observability: infrastructure metrics (GKE health, database performance, storage utilization), data quality metrics (DQI trends, schema drift, freshness), and AI/ML metrics (model drift, prediction distribution, latency). All metrics are tenant-scoped.</w:t>
      </w:r>
    </w:p>
    <w:p>
      <w:pPr>
        <w:pStyle w:val="BodyText"/>
      </w:pPr>
      <w:r>
        <w:rPr>
          <w:bCs/>
          <w:b/>
        </w:rPr>
        <w:t xml:space="preserve">OB01-FR-001</w:t>
      </w:r>
      <w:r>
        <w:t xml:space="preserve"> </w:t>
      </w:r>
      <w:r>
        <w:t xml:space="preserve">Implementation: Cloud Monitoring (infrastructure) + Cloud Logging (structured logs with tenant_id in every line) + Cloud Trace (distributed tracing with tenant_id as trace attribute). Optional: Grafana Cloud or Datadog for richer dashboards.</w:t>
      </w:r>
    </w:p>
    <w:p>
      <w:pPr>
        <w:pStyle w:val="BodyText"/>
      </w:pPr>
      <w:r>
        <w:rPr>
          <w:bCs/>
          <w:b/>
        </w:rPr>
        <w:t xml:space="preserve">OB01-FR-002</w:t>
      </w:r>
      <w:r>
        <w:t xml:space="preserve"> </w:t>
      </w:r>
      <w:r>
        <w:t xml:space="preserve">All application logs SHALL include: timestamp, service_name, tenant_id, user_id (if applicable), trace_id, span_id, log_level, message, and structured metadata (JSONB). Logs with PII SHALL be automatically sanitized before storage.</w:t>
      </w:r>
    </w:p>
    <w:p>
      <w:pPr>
        <w:pStyle w:val="BodyText"/>
      </w:pPr>
      <w:r>
        <w:rPr>
          <w:bCs/>
          <w:b/>
        </w:rPr>
        <w:t xml:space="preserve">OB01-FR-003</w:t>
      </w:r>
      <w:r>
        <w:t xml:space="preserve"> </w:t>
      </w:r>
      <w:r>
        <w:t xml:space="preserve">Custom metrics per module: ingestion pipeline lag (G01-G06), mapping throughput (D02), identity resolution latency (I01), algorithm execution duration (A02), consent check latency (AC03), cache hit rate (O03). All metrics tagged with tenant_id.</w:t>
      </w:r>
    </w:p>
    <w:p>
      <w:pPr>
        <w:pStyle w:val="BodyText"/>
      </w:pPr>
      <w:r>
        <w:rPr>
          <w:bCs/>
          <w:b/>
        </w:rPr>
        <w:t xml:space="preserve">OB01-FR-004</w:t>
      </w:r>
      <w:r>
        <w:t xml:space="preserve"> </w:t>
      </w:r>
      <w:r>
        <w:t xml:space="preserve">Alert integration with O02: OB01 detects anomalies (metric breach, error spike, latency degradation) and publishes to O02 for routing, deduplication, and escalation.</w:t>
      </w:r>
    </w:p>
    <w:bookmarkEnd w:id="176"/>
    <w:bookmarkEnd w:id="177"/>
    <w:bookmarkStart w:id="179" w:name="ob02-finops-cost-management"/>
    <w:p>
      <w:pPr>
        <w:pStyle w:val="Heading1"/>
      </w:pPr>
      <w:r>
        <w:t xml:space="preserve">OB02 — FinOps &amp; Cost Management</w:t>
      </w:r>
    </w:p>
    <w:tbl>
      <w:tblPr>
        <w:tblStyle w:val="Table"/>
        <w:tblW w:type="pct" w:w="4870"/>
        <w:tblLook w:firstRow="0" w:lastRow="0" w:firstColumn="0" w:lastColumn="0" w:noHBand="0" w:noVBand="0" w:val="0000"/>
        <w:jc w:val="start"/>
      </w:tblPr>
      <w:tblGrid>
        <w:gridCol w:w="2571"/>
        <w:gridCol w:w="5142"/>
      </w:tblGrid>
      <w:t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rPr>
                <w:bCs/>
                <w:b/>
              </w:rPr>
              <w:t xml:space="preserve">Phase / Complexity</w:t>
            </w:r>
          </w:p>
        </w:tc>
        <w:tc>
          <w:tcPr/>
          <w:p>
            <w:pPr>
              <w:pStyle w:val="Compact"/>
              <w:jc w:val="left"/>
            </w:pPr>
            <w:r>
              <w:t xml:space="preserve">1 / Medium</w:t>
            </w:r>
          </w:p>
        </w:tc>
      </w:tr>
    </w:tbl>
    <w:bookmarkStart w:id="178" w:name="purpose-key-requirements-5"/>
    <w:p>
      <w:pPr>
        <w:pStyle w:val="Heading2"/>
      </w:pPr>
      <w:r>
        <w:t xml:space="preserve">Purpose &amp; Key Requirements</w:t>
      </w:r>
    </w:p>
    <w:p>
      <w:pPr>
        <w:pStyle w:val="FirstParagraph"/>
      </w:pPr>
      <w:r>
        <w:rPr>
          <w:bCs/>
          <w:b/>
        </w:rPr>
        <w:t xml:space="preserve">OB02-FR-001</w:t>
      </w:r>
      <w:r>
        <w:t xml:space="preserve"> </w:t>
      </w:r>
      <w:r>
        <w:t xml:space="preserve">Every GCP resource cost SHALL be attributed to a tenant using GCP labels (tenant_id label on all resources). For shared resources (shared Cloud SQL instance), cost is split proportionally by query volume or storage consumed per tenant.</w:t>
      </w:r>
    </w:p>
    <w:p>
      <w:pPr>
        <w:pStyle w:val="BodyText"/>
      </w:pPr>
      <w:r>
        <w:rPr>
          <w:bCs/>
          <w:b/>
        </w:rPr>
        <w:t xml:space="preserve">OB02-FR-002</w:t>
      </w:r>
      <w:r>
        <w:t xml:space="preserve"> </w:t>
      </w:r>
      <w:r>
        <w:t xml:space="preserve">Cost dashboards: per-tenant cost breakdown by category (compute, storage, database, streaming, ML, networking). Trend analysis. Budget alerts when a tenant approaches their quota’s cost equivalent.</w:t>
      </w:r>
    </w:p>
    <w:p>
      <w:pPr>
        <w:pStyle w:val="BodyText"/>
      </w:pPr>
      <w:r>
        <w:rPr>
          <w:bCs/>
          <w:b/>
        </w:rPr>
        <w:t xml:space="preserve">OB02-FR-003</w:t>
      </w:r>
      <w:r>
        <w:t xml:space="preserve"> </w:t>
      </w:r>
      <w:r>
        <w:t xml:space="preserve">Cost optimization recommendations: automated identification of under-utilized resources (idle GKE nodes, unqueried BigQuery tables, cold data on hot storage) with suggested actions.</w:t>
      </w:r>
    </w:p>
    <w:bookmarkEnd w:id="178"/>
    <w:bookmarkEnd w:id="179"/>
    <w:bookmarkStart w:id="181" w:name="ob03-metering-billing-engine"/>
    <w:p>
      <w:pPr>
        <w:pStyle w:val="Heading1"/>
      </w:pPr>
      <w:r>
        <w:t xml:space="preserve">OB03 — Metering &amp; Billing Engine</w:t>
      </w:r>
    </w:p>
    <w:tbl>
      <w:tblPr>
        <w:tblStyle w:val="Table"/>
        <w:tblW w:type="pct" w:w="4870"/>
        <w:tblLook w:firstRow="0" w:lastRow="0" w:firstColumn="0" w:lastColumn="0" w:noHBand="0" w:noVBand="0" w:val="0000"/>
        <w:jc w:val="start"/>
      </w:tblPr>
      <w:tblGrid>
        <w:gridCol w:w="2571"/>
        <w:gridCol w:w="5142"/>
      </w:tblGrid>
      <w:t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rPr>
                <w:bCs/>
                <w:b/>
              </w:rPr>
              <w:t xml:space="preserve">Phase / Complexity</w:t>
            </w:r>
          </w:p>
        </w:tc>
        <w:tc>
          <w:tcPr/>
          <w:p>
            <w:pPr>
              <w:pStyle w:val="Compact"/>
              <w:jc w:val="left"/>
            </w:pPr>
            <w:r>
              <w:t xml:space="preserve">1 / Medium</w:t>
            </w:r>
          </w:p>
        </w:tc>
      </w:tr>
    </w:tbl>
    <w:bookmarkStart w:id="180" w:name="purpose-key-requirements-6"/>
    <w:p>
      <w:pPr>
        <w:pStyle w:val="Heading2"/>
      </w:pPr>
      <w:r>
        <w:t xml:space="preserve">Purpose &amp; Key Requirements</w:t>
      </w:r>
    </w:p>
    <w:p>
      <w:pPr>
        <w:pStyle w:val="FirstParagraph"/>
      </w:pPr>
      <w:r>
        <w:rPr>
          <w:bCs/>
          <w:b/>
        </w:rPr>
        <w:t xml:space="preserve">OB03-FR-001</w:t>
      </w:r>
      <w:r>
        <w:t xml:space="preserve"> </w:t>
      </w:r>
      <w:r>
        <w:t xml:space="preserve">Usage metering across five dimensions: data ingested (GB), compute consumed (vCPU-minutes), storage used (GB), API calls (count), and algorithm executions (count). Each metered event tagged with tenant_id, timestamp, and dimension.</w:t>
      </w:r>
    </w:p>
    <w:p>
      <w:pPr>
        <w:pStyle w:val="BodyText"/>
      </w:pPr>
      <w:r>
        <w:rPr>
          <w:bCs/>
          <w:b/>
        </w:rPr>
        <w:t xml:space="preserve">OB03-FR-002</w:t>
      </w:r>
      <w:r>
        <w:t xml:space="preserve"> </w:t>
      </w:r>
      <w:r>
        <w:t xml:space="preserve">Usage data SHALL be aggregated hourly and stored in BigQuery for historical analysis. Real-time usage counters in Redis for quota enforcement (updated every minute).</w:t>
      </w:r>
    </w:p>
    <w:p>
      <w:pPr>
        <w:pStyle w:val="BodyText"/>
      </w:pPr>
      <w:r>
        <w:rPr>
          <w:bCs/>
          <w:b/>
        </w:rPr>
        <w:t xml:space="preserve">OB03-FR-003</w:t>
      </w:r>
      <w:r>
        <w:t xml:space="preserve"> </w:t>
      </w:r>
      <w:r>
        <w:t xml:space="preserve">Billing integration: monthly invoice generation based on metered usage x per-unit pricing. Pricing tiers configurable per tenant contract. Invoice exported as PDF with line-item detail.</w:t>
      </w:r>
    </w:p>
    <w:bookmarkEnd w:id="180"/>
    <w:bookmarkEnd w:id="181"/>
    <w:bookmarkStart w:id="184" w:name="ed01-edge-cloud-orchestrator"/>
    <w:p>
      <w:pPr>
        <w:pStyle w:val="Heading1"/>
      </w:pPr>
      <w:r>
        <w:t xml:space="preserve">ED01 — Edge-Cloud Orchestrator</w:t>
      </w:r>
    </w:p>
    <w:tbl>
      <w:tblPr>
        <w:tblStyle w:val="Table"/>
        <w:tblW w:type="pct" w:w="4878"/>
        <w:tblLook w:firstRow="0" w:lastRow="0" w:firstColumn="0" w:lastColumn="0" w:noHBand="0" w:noVBand="0" w:val="0000"/>
        <w:jc w:val="start"/>
      </w:tblPr>
      <w:tblGrid>
        <w:gridCol w:w="2414"/>
        <w:gridCol w:w="5312"/>
      </w:tblGrid>
      <w:t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rPr>
                <w:bCs/>
                <w:b/>
              </w:rPr>
              <w:t xml:space="preserve">Phase / Complexity</w:t>
            </w:r>
          </w:p>
        </w:tc>
        <w:tc>
          <w:tcPr/>
          <w:p>
            <w:pPr>
              <w:pStyle w:val="Compact"/>
              <w:jc w:val="left"/>
            </w:pPr>
            <w:r>
              <w:t xml:space="preserve">1 / Very High</w:t>
            </w:r>
          </w:p>
        </w:tc>
      </w:tr>
      <w:tr>
        <w:tc>
          <w:tcPr/>
          <w:p>
            <w:pPr>
              <w:pStyle w:val="Compact"/>
              <w:jc w:val="left"/>
            </w:pPr>
            <w:r>
              <w:rPr>
                <w:bCs/>
                <w:b/>
              </w:rPr>
              <w:t xml:space="preserve">Dependencies</w:t>
            </w:r>
          </w:p>
        </w:tc>
        <w:tc>
          <w:tcPr/>
          <w:p>
            <w:pPr>
              <w:pStyle w:val="Compact"/>
              <w:jc w:val="left"/>
            </w:pPr>
            <w:r>
              <w:t xml:space="preserve">A02 (Algorithm Registry), A04 (Model Lifecycle), F01</w:t>
            </w:r>
          </w:p>
        </w:tc>
      </w:tr>
    </w:tbl>
    <w:bookmarkStart w:id="182" w:name="purpose-22"/>
    <w:p>
      <w:pPr>
        <w:pStyle w:val="Heading2"/>
      </w:pPr>
      <w:r>
        <w:t xml:space="preserve">Purpose</w:t>
      </w:r>
    </w:p>
    <w:p>
      <w:pPr>
        <w:pStyle w:val="FirstParagraph"/>
      </w:pPr>
      <w:r>
        <w:t xml:space="preserve">Manages the lifecycle of AI models deployed to edge devices: packaging, distribution, deployment, version management, telemetry collection, and OTA updates. Enables split inference where lightweight models run at the edge for real-time decisions and full-scale models run in the cloud for deep analysis.</w:t>
      </w:r>
    </w:p>
    <w:bookmarkEnd w:id="182"/>
    <w:bookmarkStart w:id="183" w:name="key-requirements-2"/>
    <w:p>
      <w:pPr>
        <w:pStyle w:val="Heading2"/>
      </w:pPr>
      <w:r>
        <w:t xml:space="preserve">Key Requirements</w:t>
      </w:r>
    </w:p>
    <w:p>
      <w:pPr>
        <w:pStyle w:val="FirstParagraph"/>
      </w:pPr>
      <w:r>
        <w:rPr>
          <w:bCs/>
          <w:b/>
        </w:rPr>
        <w:t xml:space="preserve">ED01-FR-001</w:t>
      </w:r>
      <w:r>
        <w:t xml:space="preserve"> </w:t>
      </w:r>
      <w:r>
        <w:t xml:space="preserve">Device Registry: a platform-level catalog of registered device types (camera, sensor hub, edge compute unit) with: hardware specifications (CPU, GPU/NPU, memory, storage), supported model formats (ONNX, TFLite, OpenVINO), firmware version, security capabilities (TPM, secure boot). Super Admin registers device types via Admin Console (S15).</w:t>
      </w:r>
    </w:p>
    <w:p>
      <w:pPr>
        <w:pStyle w:val="BodyText"/>
      </w:pPr>
      <w:r>
        <w:rPr>
          <w:bCs/>
          <w:b/>
        </w:rPr>
        <w:t xml:space="preserve">ED01-FR-002</w:t>
      </w:r>
      <w:r>
        <w:t xml:space="preserve"> </w:t>
      </w:r>
      <w:r>
        <w:t xml:space="preserve">Model Packaging: when a model from A02 Algorithm Registry is targeted for edge deployment, ED01 SHALL: (a) convert model to the target device’s supported format (e.g., ONNX → TFLite), (b) quantize model for edge hardware (INT8 quantization for reduced memory/compute), (c) package model with inference runtime as a container image or firmware bundle, (d) sign the package with Sevyn8’s code-signing key.</w:t>
      </w:r>
    </w:p>
    <w:p>
      <w:pPr>
        <w:pStyle w:val="BodyText"/>
      </w:pPr>
      <w:r>
        <w:rPr>
          <w:bCs/>
          <w:b/>
        </w:rPr>
        <w:t xml:space="preserve">ED01-FR-003</w:t>
      </w:r>
      <w:r>
        <w:t xml:space="preserve"> </w:t>
      </w:r>
      <w:r>
        <w:t xml:space="preserve">OTA Deployment: model packages SHALL be distributed to edge devices using A/B partition strategy. Device downloads new package to inactive partition, verifies signature, runs self-test with synthetic data. If self-test passes: switch active partition to new model. If fails: remain on current model, report failure to ED01.</w:t>
      </w:r>
    </w:p>
    <w:p>
      <w:pPr>
        <w:pStyle w:val="BodyText"/>
      </w:pPr>
      <w:r>
        <w:rPr>
          <w:bCs/>
          <w:b/>
        </w:rPr>
        <w:t xml:space="preserve">ED01-FR-004</w:t>
      </w:r>
      <w:r>
        <w:t xml:space="preserve"> </w:t>
      </w:r>
      <w:r>
        <w:t xml:space="preserve">Device Telemetry: edge devices SHALL report to the cloud every sync cycle: model version running, inference count since last sync, average inference latency, hardware health (CPU temp, memory usage, storage remaining), connectivity status, buffer depth (records waiting to sync). Telemetry ingested via Pub/Sub → TimescaleDB time-series store.</w:t>
      </w:r>
    </w:p>
    <w:p>
      <w:pPr>
        <w:pStyle w:val="BodyText"/>
      </w:pPr>
      <w:r>
        <w:rPr>
          <w:bCs/>
          <w:b/>
        </w:rPr>
        <w:t xml:space="preserve">ED01-FR-005</w:t>
      </w:r>
      <w:r>
        <w:t xml:space="preserve"> </w:t>
      </w:r>
      <w:r>
        <w:t xml:space="preserve">Decision Authority Contract (DAC): for each decision type, a DAC SHALL specify whether the edge or cloud is authoritative. Example: anomaly detection (temperature breach in cold storage) = edge-authoritative (act immediately). Pricing recommendation = cloud-authoritative (edge uses cached version). DACs stored in F04 Configuration Plane.</w:t>
      </w:r>
    </w:p>
    <w:p>
      <w:pPr>
        <w:pStyle w:val="BodyText"/>
      </w:pPr>
      <w:r>
        <w:rPr>
          <w:bCs/>
          <w:b/>
        </w:rPr>
        <w:t xml:space="preserve">ED01-FR-006</w:t>
      </w:r>
      <w:r>
        <w:t xml:space="preserve"> </w:t>
      </w:r>
      <w:r>
        <w:t xml:space="preserve">Device Security: mandatory Secure Boot verification on every device sync. Certificate-based device authentication (mTLS). Encrypted storage on device. Remote wipe capability for decommissioned devices.</w:t>
      </w:r>
    </w:p>
    <w:bookmarkEnd w:id="183"/>
    <w:bookmarkEnd w:id="184"/>
    <w:bookmarkStart w:id="186" w:name="X02e8434737bae775693cf2050b540bc5f59c303"/>
    <w:p>
      <w:pPr>
        <w:pStyle w:val="Heading1"/>
      </w:pPr>
      <w:r>
        <w:t xml:space="preserve">RE01 — Disaster Recovery &amp; Business Continuity</w:t>
      </w:r>
    </w:p>
    <w:tbl>
      <w:tblPr>
        <w:tblStyle w:val="Table"/>
        <w:tblW w:type="pct" w:w="4870"/>
        <w:tblLook w:firstRow="0" w:lastRow="0" w:firstColumn="0" w:lastColumn="0" w:noHBand="0" w:noVBand="0" w:val="0000"/>
        <w:jc w:val="start"/>
      </w:tblPr>
      <w:tblGrid>
        <w:gridCol w:w="2571"/>
        <w:gridCol w:w="5142"/>
      </w:tblGrid>
      <w:t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rPr>
                <w:bCs/>
                <w:b/>
              </w:rPr>
              <w:t xml:space="preserve">Phase / Complexity</w:t>
            </w:r>
          </w:p>
        </w:tc>
        <w:tc>
          <w:tcPr/>
          <w:p>
            <w:pPr>
              <w:pStyle w:val="Compact"/>
              <w:jc w:val="left"/>
            </w:pPr>
            <w:r>
              <w:t xml:space="preserve">1 / High</w:t>
            </w:r>
          </w:p>
        </w:tc>
      </w:tr>
    </w:tbl>
    <w:bookmarkStart w:id="185" w:name="purpose-key-requirements-7"/>
    <w:p>
      <w:pPr>
        <w:pStyle w:val="Heading2"/>
      </w:pPr>
      <w:r>
        <w:t xml:space="preserve">Purpose &amp; Key Requirements</w:t>
      </w:r>
    </w:p>
    <w:p>
      <w:pPr>
        <w:pStyle w:val="FirstParagraph"/>
      </w:pPr>
      <w:r>
        <w:rPr>
          <w:bCs/>
          <w:b/>
        </w:rPr>
        <w:t xml:space="preserve">RE01-FR-001</w:t>
      </w:r>
      <w:r>
        <w:t xml:space="preserve"> </w:t>
      </w:r>
      <w:r>
        <w:t xml:space="preserve">Tenant-tiered DR: Standard tenants: Cloud SQL automated daily backups + GCS cross-region replication. RPO &lt; 24 hours, RTO &lt; 4 hours. Enterprise tenants: Cloud SQL cross-region read replica (real-time). RPO &lt; 1 hour, RTO &lt; 15 minutes.</w:t>
      </w:r>
    </w:p>
    <w:p>
      <w:pPr>
        <w:pStyle w:val="BodyText"/>
      </w:pPr>
      <w:r>
        <w:rPr>
          <w:bCs/>
          <w:b/>
        </w:rPr>
        <w:t xml:space="preserve">RE01-FR-002</w:t>
      </w:r>
      <w:r>
        <w:t xml:space="preserve"> </w:t>
      </w:r>
      <w:r>
        <w:t xml:space="preserve">Configuration DR: all F04 configuration state SHALL be backed up independently of data. Configuration can be restored even if data stores are unavailable. Git-based config sync provides an additional backup mechanism.</w:t>
      </w:r>
    </w:p>
    <w:p>
      <w:pPr>
        <w:pStyle w:val="BodyText"/>
      </w:pPr>
      <w:r>
        <w:rPr>
          <w:bCs/>
          <w:b/>
        </w:rPr>
        <w:t xml:space="preserve">RE01-FR-003</w:t>
      </w:r>
      <w:r>
        <w:t xml:space="preserve"> </w:t>
      </w:r>
      <w:r>
        <w:t xml:space="preserve">Selective tenant recovery: the system SHALL be able to restore a single tenant’s data from backup without affecting other tenants. For Mode A (shared + RLS): export tenant’s rows from backup, import to live database, reconcile. For Mode B (dedicated): standard database restore.</w:t>
      </w:r>
    </w:p>
    <w:p>
      <w:pPr>
        <w:pStyle w:val="BodyText"/>
      </w:pPr>
      <w:r>
        <w:rPr>
          <w:bCs/>
          <w:b/>
        </w:rPr>
        <w:t xml:space="preserve">RE01-FR-004</w:t>
      </w:r>
      <w:r>
        <w:t xml:space="preserve"> </w:t>
      </w:r>
      <w:r>
        <w:t xml:space="preserve">DR testing: quarterly automated failover test for Enterprise tenants. Annual DR drill for the entire platform. Results documented and reviewed.</w:t>
      </w:r>
    </w:p>
    <w:bookmarkEnd w:id="185"/>
    <w:bookmarkEnd w:id="186"/>
    <w:bookmarkStart w:id="188" w:name="t01-platform-testing-framework"/>
    <w:p>
      <w:pPr>
        <w:pStyle w:val="Heading1"/>
      </w:pPr>
      <w:r>
        <w:t xml:space="preserve">T01 — Platform Testing Framework</w:t>
      </w:r>
    </w:p>
    <w:tbl>
      <w:tblPr>
        <w:tblStyle w:val="Table"/>
        <w:tblW w:type="pct" w:w="4870"/>
        <w:tblLook w:firstRow="0" w:lastRow="0" w:firstColumn="0" w:lastColumn="0" w:noHBand="0" w:noVBand="0" w:val="0000"/>
        <w:jc w:val="start"/>
      </w:tblPr>
      <w:tblGrid>
        <w:gridCol w:w="2571"/>
        <w:gridCol w:w="5142"/>
      </w:tblGrid>
      <w:t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rPr>
                <w:bCs/>
                <w:b/>
              </w:rPr>
              <w:t xml:space="preserve">Phase / Complexity</w:t>
            </w:r>
          </w:p>
        </w:tc>
        <w:tc>
          <w:tcPr/>
          <w:p>
            <w:pPr>
              <w:pStyle w:val="Compact"/>
              <w:jc w:val="left"/>
            </w:pPr>
            <w:r>
              <w:t xml:space="preserve">0 / High</w:t>
            </w:r>
          </w:p>
        </w:tc>
      </w:tr>
    </w:tbl>
    <w:bookmarkStart w:id="187" w:name="purpose-key-requirements-8"/>
    <w:p>
      <w:pPr>
        <w:pStyle w:val="Heading2"/>
      </w:pPr>
      <w:r>
        <w:t xml:space="preserve">Purpose &amp; Key Requirements</w:t>
      </w:r>
    </w:p>
    <w:p>
      <w:pPr>
        <w:pStyle w:val="FirstParagraph"/>
      </w:pPr>
      <w:r>
        <w:rPr>
          <w:bCs/>
          <w:b/>
        </w:rPr>
        <w:t xml:space="preserve">T01-FR-001</w:t>
      </w:r>
      <w:r>
        <w:t xml:space="preserve"> </w:t>
      </w:r>
      <w:r>
        <w:t xml:space="preserve">Tenant isolation tests: automated tests that attempt cross-tenant data access via every path (direct query, API, cached response, error message, log file, ML prediction). Run on every deployment. Any cross-tenant leakage = deployment blocked.</w:t>
      </w:r>
    </w:p>
    <w:p>
      <w:pPr>
        <w:pStyle w:val="BodyText"/>
      </w:pPr>
      <w:r>
        <w:rPr>
          <w:bCs/>
          <w:b/>
        </w:rPr>
        <w:t xml:space="preserve">T01-FR-002</w:t>
      </w:r>
      <w:r>
        <w:t xml:space="preserve"> </w:t>
      </w:r>
      <w:r>
        <w:t xml:space="preserve">Pipeline integration tests: known input CSV → full pipeline (G01 → G02 → D02 → I01 → Silver write → Gold materialization) → assert on output. Test fixtures versioned alongside schema versions. Cover: happy path, malformed data, late-arriving data, duplicate data.</w:t>
      </w:r>
    </w:p>
    <w:p>
      <w:pPr>
        <w:pStyle w:val="BodyText"/>
      </w:pPr>
      <w:r>
        <w:rPr>
          <w:bCs/>
          <w:b/>
        </w:rPr>
        <w:t xml:space="preserve">T01-FR-003</w:t>
      </w:r>
      <w:r>
        <w:t xml:space="preserve"> </w:t>
      </w:r>
      <w:r>
        <w:t xml:space="preserve">Temporal correctness tests: verify as-of-date queries return correct historical state, point-in-time joins in Feature Store prevent data leakage, SCD Type 2 updates preserve history, late-arriving data triggers Gold recomputation.</w:t>
      </w:r>
    </w:p>
    <w:p>
      <w:pPr>
        <w:pStyle w:val="BodyText"/>
      </w:pPr>
      <w:r>
        <w:rPr>
          <w:bCs/>
          <w:b/>
        </w:rPr>
        <w:t xml:space="preserve">T01-FR-004</w:t>
      </w:r>
      <w:r>
        <w:t xml:space="preserve"> </w:t>
      </w:r>
      <w:r>
        <w:t xml:space="preserve">Configuration regression tests: when a mapping rule, hierarchy, or algorithm parameter changes, automatically run recent data through old and new configuration, compare outputs, flag unexpected deltas.</w:t>
      </w:r>
    </w:p>
    <w:p>
      <w:pPr>
        <w:pStyle w:val="BodyText"/>
      </w:pPr>
      <w:r>
        <w:rPr>
          <w:bCs/>
          <w:b/>
        </w:rPr>
        <w:t xml:space="preserve">T01-FR-005</w:t>
      </w:r>
      <w:r>
        <w:t xml:space="preserve"> </w:t>
      </w:r>
      <w:r>
        <w:t xml:space="preserve">Load testing framework: configurable load tests targeting specific modules (ingestion throughput, identity resolution latency, query performance). Run in staging environment. Results compared against SLA thresholds.</w:t>
      </w:r>
    </w:p>
    <w:p>
      <w:pPr>
        <w:pStyle w:val="BodyText"/>
      </w:pPr>
      <w:r>
        <w:rPr>
          <w:bCs/>
          <w:b/>
        </w:rPr>
        <w:t xml:space="preserve">T01-FR-006</w:t>
      </w:r>
      <w:r>
        <w:t xml:space="preserve"> </w:t>
      </w:r>
      <w:r>
        <w:t xml:space="preserve">Synthetic data generator: produce realistic test data for the retail vertical (customers, transactions, products, loyalty, inventory, online sessions) with configurable: volume, date range, anomaly injection, data quality degradation, and cross-channel identity overlap rate.</w:t>
      </w:r>
    </w:p>
    <w:bookmarkEnd w:id="187"/>
    <w:bookmarkEnd w:id="188"/>
    <w:bookmarkStart w:id="192" w:name="pr01-processing-purpose-registry"/>
    <w:p>
      <w:pPr>
        <w:pStyle w:val="Heading1"/>
      </w:pPr>
      <w:r>
        <w:t xml:space="preserve">PR01 — Processing Purpose Registry</w:t>
      </w:r>
    </w:p>
    <w:tbl>
      <w:tblPr>
        <w:tblStyle w:val="Table"/>
        <w:tblW w:type="pct" w:w="4902"/>
        <w:tblLook w:firstRow="0" w:lastRow="0" w:firstColumn="0" w:lastColumn="0" w:noHBand="0" w:noVBand="0" w:val="0000"/>
        <w:jc w:val="start"/>
      </w:tblPr>
      <w:tblGrid>
        <w:gridCol w:w="1941"/>
        <w:gridCol w:w="5823"/>
      </w:tblGrid>
      <w:t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rPr>
                <w:bCs/>
                <w:b/>
              </w:rPr>
              <w:t xml:space="preserve">Phase / Complexity</w:t>
            </w:r>
          </w:p>
        </w:tc>
        <w:tc>
          <w:tcPr/>
          <w:p>
            <w:pPr>
              <w:pStyle w:val="Compact"/>
              <w:jc w:val="left"/>
            </w:pPr>
            <w:r>
              <w:t xml:space="preserve">1 / High</w:t>
            </w:r>
          </w:p>
        </w:tc>
      </w:tr>
      <w:tr>
        <w:tc>
          <w:tcPr/>
          <w:p>
            <w:pPr>
              <w:pStyle w:val="Compact"/>
              <w:jc w:val="left"/>
            </w:pPr>
            <w:r>
              <w:rPr>
                <w:bCs/>
                <w:b/>
              </w:rPr>
              <w:t xml:space="preserve">Dependencies</w:t>
            </w:r>
          </w:p>
        </w:tc>
        <w:tc>
          <w:tcPr/>
          <w:p>
            <w:pPr>
              <w:pStyle w:val="Compact"/>
              <w:jc w:val="left"/>
            </w:pPr>
            <w:r>
              <w:t xml:space="preserve">AC03 (Consent), D01 (Canonical Model), A01 (Feature Store), F04 (Config)</w:t>
            </w:r>
          </w:p>
        </w:tc>
      </w:tr>
    </w:tbl>
    <w:bookmarkStart w:id="189" w:name="purpose-23"/>
    <w:p>
      <w:pPr>
        <w:pStyle w:val="Heading2"/>
      </w:pPr>
      <w:r>
        <w:t xml:space="preserve">Purpose</w:t>
      </w:r>
    </w:p>
    <w:p>
      <w:pPr>
        <w:pStyle w:val="FirstParagraph"/>
      </w:pPr>
      <w:r>
        <w:t xml:space="preserve">Centralized catalog of all processing purposes with lawful basis per purpose per tenant. Every algorithm, pipeline, feature, and data source is tagged with the purpose it serves. The Purpose Gate at the Feature Store and query layer ensures that data collected for Purpose A cannot be used for Purpose B without separate authorization.</w:t>
      </w:r>
    </w:p>
    <w:bookmarkEnd w:id="189"/>
    <w:bookmarkStart w:id="190" w:name="key-requirements-3"/>
    <w:p>
      <w:pPr>
        <w:pStyle w:val="Heading2"/>
      </w:pPr>
      <w:r>
        <w:t xml:space="preserve">Key Requirements</w:t>
      </w:r>
    </w:p>
    <w:p>
      <w:pPr>
        <w:pStyle w:val="FirstParagraph"/>
      </w:pPr>
      <w:r>
        <w:rPr>
          <w:bCs/>
          <w:b/>
        </w:rPr>
        <w:t xml:space="preserve">PR01-FR-001</w:t>
      </w:r>
      <w:r>
        <w:t xml:space="preserve"> </w:t>
      </w:r>
      <w:r>
        <w:t xml:space="preserve">The purpose catalog SHALL contain: purpose_id, tenant_id, purpose_name (e.g.,</w:t>
      </w:r>
      <w:r>
        <w:t xml:space="preserve"> </w:t>
      </w:r>
      <w:r>
        <w:t xml:space="preserve">‘</w:t>
      </w:r>
      <w:r>
        <w:t xml:space="preserve">Analytics &amp; Insights</w:t>
      </w:r>
      <w:r>
        <w:t xml:space="preserve">’</w:t>
      </w:r>
      <w:r>
        <w:t xml:space="preserve">,</w:t>
      </w:r>
      <w:r>
        <w:t xml:space="preserve"> </w:t>
      </w:r>
      <w:r>
        <w:t xml:space="preserve">‘</w:t>
      </w:r>
      <w:r>
        <w:t xml:space="preserve">Marketing Communications</w:t>
      </w:r>
      <w:r>
        <w:t xml:space="preserve">’</w:t>
      </w:r>
      <w:r>
        <w:t xml:space="preserve">,</w:t>
      </w:r>
      <w:r>
        <w:t xml:space="preserve"> </w:t>
      </w:r>
      <w:r>
        <w:t xml:space="preserve">‘</w:t>
      </w:r>
      <w:r>
        <w:t xml:space="preserve">Fraud Detection</w:t>
      </w:r>
      <w:r>
        <w:t xml:space="preserve">’</w:t>
      </w:r>
      <w:r>
        <w:t xml:space="preserve">,</w:t>
      </w:r>
      <w:r>
        <w:t xml:space="preserve"> </w:t>
      </w:r>
      <w:r>
        <w:t xml:space="preserve">‘</w:t>
      </w:r>
      <w:r>
        <w:t xml:space="preserve">Service Delivery</w:t>
      </w:r>
      <w:r>
        <w:t xml:space="preserve">’</w:t>
      </w:r>
      <w:r>
        <w:t xml:space="preserve">), description, lawful_basis (CONSENT, CONTRACT, LEGAL_OBLIGATION, LEGITIMATE_INTEREST, VITAL_INTEREST, PUBLIC_INTEREST), requires_consent (BOOLEAN — true for CONSENT basis, false for others), dpia_required (BOOLEAN), created_by, status (ACTIVE, DEPRECATED).</w:t>
      </w:r>
    </w:p>
    <w:p>
      <w:pPr>
        <w:pStyle w:val="BodyText"/>
      </w:pPr>
      <w:r>
        <w:rPr>
          <w:bCs/>
          <w:b/>
        </w:rPr>
        <w:t xml:space="preserve">PR01-FR-002</w:t>
      </w:r>
      <w:r>
        <w:t xml:space="preserve"> </w:t>
      </w:r>
      <w:r>
        <w:t xml:space="preserve">Purpose tagging: every entity in the system that processes personal data SHALL declare its purpose: (a) Data source mappings (D02): each mapped field tagged with purpose_id. (b) Feature Store features (A01): each feature tagged with purpose_id. (c) Algorithm executions (A02): each algorithm declares its purpose_id at registration. (d) Data exports (O01 API): each export request must declare purpose_id.</w:t>
      </w:r>
    </w:p>
    <w:p>
      <w:pPr>
        <w:pStyle w:val="BodyText"/>
      </w:pPr>
      <w:r>
        <w:rPr>
          <w:bCs/>
          <w:b/>
        </w:rPr>
        <w:t xml:space="preserve">PR01-FR-003</w:t>
      </w:r>
      <w:r>
        <w:t xml:space="preserve"> </w:t>
      </w:r>
      <w:r>
        <w:t xml:space="preserve">Purpose Gate: when a module requests data from the Feature Store (A01) or queries the Silver/Gold layer, the request includes purpose_id. The query middleware checks: (a) does the requesting purpose_id match the data’s purpose_id? (b) if purpose requires consent (PR01), does the entity have valid consent for this purpose (AC03)? If either check fails: DENY access, log violation.</w:t>
      </w:r>
    </w:p>
    <w:p>
      <w:pPr>
        <w:pStyle w:val="BodyText"/>
      </w:pPr>
      <w:r>
        <w:rPr>
          <w:bCs/>
          <w:b/>
        </w:rPr>
        <w:t xml:space="preserve">PR01-FR-004</w:t>
      </w:r>
      <w:r>
        <w:t xml:space="preserve"> </w:t>
      </w:r>
      <w:r>
        <w:t xml:space="preserve">Purpose Change Workflow: if a tenant wants to use existing data for a new purpose, the system SHALL: identify affected Data Principals, assess whether new consent is required (based on lawful basis), generate re-consent workflow if needed, block processing for new purpose until consent/assessment is complete.</w:t>
      </w:r>
    </w:p>
    <w:bookmarkEnd w:id="190"/>
    <w:bookmarkStart w:id="191" w:name="acceptance-criteria-15"/>
    <w:p>
      <w:pPr>
        <w:pStyle w:val="Heading2"/>
      </w:pPr>
      <w:r>
        <w:t xml:space="preserve">Acceptance Criteria</w:t>
      </w:r>
    </w:p>
    <w:p>
      <w:pPr>
        <w:pStyle w:val="FirstParagraph"/>
      </w:pPr>
      <w:r>
        <w:t xml:space="preserve">A marketing algorithm attempting to access features tagged for</w:t>
      </w:r>
      <w:r>
        <w:t xml:space="preserve"> </w:t>
      </w:r>
      <w:r>
        <w:t xml:space="preserve">‘</w:t>
      </w:r>
      <w:r>
        <w:t xml:space="preserve">Service Delivery</w:t>
      </w:r>
      <w:r>
        <w:t xml:space="preserve">’</w:t>
      </w:r>
      <w:r>
        <w:t xml:space="preserve"> </w:t>
      </w:r>
      <w:r>
        <w:t xml:space="preserve">purpose is blocked by the Purpose Gate with a clear error:</w:t>
      </w:r>
      <w:r>
        <w:t xml:space="preserve"> </w:t>
      </w:r>
      <w:r>
        <w:t xml:space="preserve">‘</w:t>
      </w:r>
      <w:r>
        <w:t xml:space="preserve">Purpose mismatch: algorithm purpose=MARKETING, feature purpose=SERVICE_DELIVERY.</w:t>
      </w:r>
      <w:r>
        <w:t xml:space="preserve">’</w:t>
      </w:r>
    </w:p>
    <w:p>
      <w:pPr>
        <w:pStyle w:val="BodyText"/>
      </w:pPr>
      <w:r>
        <w:t xml:space="preserve">All 10+ retail KPIs in D01 are tagged with</w:t>
      </w:r>
      <w:r>
        <w:t xml:space="preserve"> </w:t>
      </w:r>
      <w:r>
        <w:t xml:space="preserve">‘</w:t>
      </w:r>
      <w:r>
        <w:t xml:space="preserve">Analytics &amp; Insights</w:t>
      </w:r>
      <w:r>
        <w:t xml:space="preserve">’</w:t>
      </w:r>
      <w:r>
        <w:t xml:space="preserve"> </w:t>
      </w:r>
      <w:r>
        <w:t xml:space="preserve">purpose. Marketing-specific KPIs (campaign ROI, email open rate) are tagged with</w:t>
      </w:r>
      <w:r>
        <w:t xml:space="preserve"> </w:t>
      </w:r>
      <w:r>
        <w:t xml:space="preserve">‘</w:t>
      </w:r>
      <w:r>
        <w:t xml:space="preserve">Marketing Communications</w:t>
      </w:r>
      <w:r>
        <w:t xml:space="preserve">’</w:t>
      </w:r>
      <w:r>
        <w:t xml:space="preserve"> </w:t>
      </w:r>
      <w:r>
        <w:t xml:space="preserve">purpose.</w:t>
      </w:r>
    </w:p>
    <w:bookmarkEnd w:id="191"/>
    <w:bookmarkEnd w:id="192"/>
    <w:bookmarkStart w:id="196" w:name="pr03-breach-detection-response-pipeline"/>
    <w:p>
      <w:pPr>
        <w:pStyle w:val="Heading1"/>
      </w:pPr>
      <w:r>
        <w:t xml:space="preserve">PR03 — Breach Detection &amp; Response Pipeline</w:t>
      </w:r>
    </w:p>
    <w:tbl>
      <w:tblPr>
        <w:tblStyle w:val="Table"/>
        <w:tblW w:type="pct" w:w="4870"/>
        <w:tblLook w:firstRow="0" w:lastRow="0" w:firstColumn="0" w:lastColumn="0" w:noHBand="0" w:noVBand="0" w:val="0000"/>
        <w:jc w:val="start"/>
      </w:tblPr>
      <w:tblGrid>
        <w:gridCol w:w="2571"/>
        <w:gridCol w:w="5142"/>
      </w:tblGrid>
      <w:t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rPr>
                <w:bCs/>
                <w:b/>
              </w:rPr>
              <w:t xml:space="preserve">Phase / Complexity</w:t>
            </w:r>
          </w:p>
        </w:tc>
        <w:tc>
          <w:tcPr/>
          <w:p>
            <w:pPr>
              <w:pStyle w:val="Compact"/>
              <w:jc w:val="left"/>
            </w:pPr>
            <w:r>
              <w:t xml:space="preserve">1 / Very High</w:t>
            </w:r>
          </w:p>
        </w:tc>
      </w:tr>
      <w:tr>
        <w:tc>
          <w:tcPr/>
          <w:p>
            <w:pPr>
              <w:pStyle w:val="Compact"/>
              <w:jc w:val="left"/>
            </w:pPr>
            <w:r>
              <w:rPr>
                <w:bCs/>
                <w:b/>
              </w:rPr>
              <w:t xml:space="preserve">Dependencies</w:t>
            </w:r>
          </w:p>
        </w:tc>
        <w:tc>
          <w:tcPr/>
          <w:p>
            <w:pPr>
              <w:pStyle w:val="Compact"/>
              <w:jc w:val="left"/>
            </w:pPr>
            <w:r>
              <w:t xml:space="preserve">F01, AC01, OB01, O02</w:t>
            </w:r>
          </w:p>
        </w:tc>
      </w:tr>
    </w:tbl>
    <w:bookmarkStart w:id="193" w:name="purpose-24"/>
    <w:p>
      <w:pPr>
        <w:pStyle w:val="Heading2"/>
      </w:pPr>
      <w:r>
        <w:t xml:space="preserve">Purpose</w:t>
      </w:r>
    </w:p>
    <w:p>
      <w:pPr>
        <w:pStyle w:val="FirstParagraph"/>
      </w:pPr>
      <w:r>
        <w:t xml:space="preserve">Automated detection of personal data breaches, severity classification, containment, impact assessment, and notification to regulatory authorities and affected Data Principals within prescribed timeframes (72 hours under GDPR, TBD under DPDP).</w:t>
      </w:r>
    </w:p>
    <w:bookmarkEnd w:id="193"/>
    <w:bookmarkStart w:id="194" w:name="key-requirements-4"/>
    <w:p>
      <w:pPr>
        <w:pStyle w:val="Heading2"/>
      </w:pPr>
      <w:r>
        <w:t xml:space="preserve">Key Requirements</w:t>
      </w:r>
    </w:p>
    <w:p>
      <w:pPr>
        <w:pStyle w:val="FirstParagraph"/>
      </w:pPr>
      <w:r>
        <w:rPr>
          <w:bCs/>
          <w:b/>
        </w:rPr>
        <w:t xml:space="preserve">PR03-FR-001</w:t>
      </w:r>
      <w:r>
        <w:t xml:space="preserve"> </w:t>
      </w:r>
      <w:r>
        <w:t xml:space="preserve">Breach detection signals (monitored continuously by OB01, analyzed by PR03):</w:t>
      </w:r>
    </w:p>
    <w:p>
      <w:pPr>
        <w:pStyle w:val="BodyText"/>
      </w:pPr>
      <w:r>
        <w:t xml:space="preserve">Unusual data access: a user querying 10x their normal data volume. A service account accessing data it hasn’t accessed before.</w:t>
      </w:r>
    </w:p>
    <w:p>
      <w:pPr>
        <w:pStyle w:val="BodyText"/>
      </w:pPr>
      <w:r>
        <w:t xml:space="preserve">Data exfiltration indicators: large data exports, unusual API consumer patterns, outbound data transfer to unexpected destinations.</w:t>
      </w:r>
    </w:p>
    <w:p>
      <w:pPr>
        <w:pStyle w:val="BodyText"/>
      </w:pPr>
      <w:r>
        <w:t xml:space="preserve">Credential compromise: login from impossible travel (two logins from geographically distant locations within impossible travel time), brute force attempts (&gt;5 failed logins), login from known-compromised IP ranges.</w:t>
      </w:r>
    </w:p>
    <w:p>
      <w:pPr>
        <w:pStyle w:val="BodyText"/>
      </w:pPr>
      <w:r>
        <w:t xml:space="preserve">Cross-tenant access attempts: any query or API call that attempts to access another tenant’s data (should be zero — any occurrence is a critical alert).</w:t>
      </w:r>
    </w:p>
    <w:p>
      <w:pPr>
        <w:pStyle w:val="BodyText"/>
      </w:pPr>
      <w:r>
        <w:t xml:space="preserve">Infrastructure anomalies: unexpected database connections, unauthorized pod deployments in K8s, certificate anomalies.</w:t>
      </w:r>
    </w:p>
    <w:p>
      <w:pPr>
        <w:pStyle w:val="BodyText"/>
      </w:pPr>
      <w:r>
        <w:rPr>
          <w:bCs/>
          <w:b/>
        </w:rPr>
        <w:t xml:space="preserve">PR03-FR-002</w:t>
      </w:r>
      <w:r>
        <w:t xml:space="preserve"> </w:t>
      </w:r>
      <w:r>
        <w:t xml:space="preserve">Severity classification: CRITICAL (confirmed data exfiltration, &gt;1000 Data Principals affected, PII/biometric data exposed), HIGH (suspected breach, &lt;1000 affected, non-sensitive data), MEDIUM (anomalous access pattern, no confirmed exposure), LOW (policy violation without data exposure).</w:t>
      </w:r>
    </w:p>
    <w:p>
      <w:pPr>
        <w:pStyle w:val="BodyText"/>
      </w:pPr>
      <w:r>
        <w:rPr>
          <w:bCs/>
          <w:b/>
        </w:rPr>
        <w:t xml:space="preserve">PR03-FR-003</w:t>
      </w:r>
      <w:r>
        <w:t xml:space="preserve"> </w:t>
      </w:r>
      <w:r>
        <w:t xml:space="preserve">Automated containment (for CRITICAL/HIGH): (a) revoke suspected credentials (disable user, rotate API keys), (b) isolate affected tenant (block external access, preserve internal access for investigation), (c) block suspicious IP addresses, (d) snapshot affected systems for forensic analysis (before any cleanup).</w:t>
      </w:r>
    </w:p>
    <w:p>
      <w:pPr>
        <w:pStyle w:val="BodyText"/>
      </w:pPr>
      <w:r>
        <w:rPr>
          <w:bCs/>
          <w:b/>
        </w:rPr>
        <w:t xml:space="preserve">PR03-FR-004</w:t>
      </w:r>
      <w:r>
        <w:t xml:space="preserve"> </w:t>
      </w:r>
      <w:r>
        <w:t xml:space="preserve">Impact assessment (automated): identify affected Data Principals (which entity_ids had data in the affected scope), data types exposed (PII, biometric, financial), timeline of exposure, and root cause hypothesis.</w:t>
      </w:r>
    </w:p>
    <w:p>
      <w:pPr>
        <w:pStyle w:val="BodyText"/>
      </w:pPr>
      <w:r>
        <w:rPr>
          <w:bCs/>
          <w:b/>
        </w:rPr>
        <w:t xml:space="preserve">PR03-FR-005</w:t>
      </w:r>
      <w:r>
        <w:t xml:space="preserve"> </w:t>
      </w:r>
      <w:r>
        <w:t xml:space="preserve">Notification pipeline: (a) Internal: alert Sevyn8 Security team immediately (PagerDuty/OpsGenie). (b) Tenant: notify affected Tenant Admin within 4 hours. (c) Regulatory: auto-generate Board notification draft within 24 hours (for CRITICAL). (d) Data Principals: generate notification template with: what happened, what data was affected, what remediation is being taken. Actual sending requires human approval.</w:t>
      </w:r>
    </w:p>
    <w:p>
      <w:pPr>
        <w:pStyle w:val="BodyText"/>
      </w:pPr>
      <w:r>
        <w:rPr>
          <w:bCs/>
          <w:b/>
        </w:rPr>
        <w:t xml:space="preserve">PR03-FR-006</w:t>
      </w:r>
      <w:r>
        <w:t xml:space="preserve"> </w:t>
      </w:r>
      <w:r>
        <w:t xml:space="preserve">Breach Register: append-only log of all breach events with: timeline, severity, affected scope, containment actions, notification status, root cause, remediation measures. Retained for 7 years minimum.</w:t>
      </w:r>
    </w:p>
    <w:bookmarkEnd w:id="194"/>
    <w:bookmarkStart w:id="195" w:name="acceptance-criteria-16"/>
    <w:p>
      <w:pPr>
        <w:pStyle w:val="Heading2"/>
      </w:pPr>
      <w:r>
        <w:t xml:space="preserve">Acceptance Criteria</w:t>
      </w:r>
    </w:p>
    <w:p>
      <w:pPr>
        <w:pStyle w:val="FirstParagraph"/>
      </w:pPr>
      <w:r>
        <w:t xml:space="preserve">A simulated credential compromise (login from two countries within 5 minutes) triggers: adaptive auth challenge, auto-containment (session revocation), MEDIUM severity classification, and Security team alert — all within 5 minutes.</w:t>
      </w:r>
    </w:p>
    <w:p>
      <w:pPr>
        <w:pStyle w:val="BodyText"/>
      </w:pPr>
      <w:r>
        <w:t xml:space="preserve">A simulated cross-tenant data access attempt is blocked by RLS, logged by PR03, classified as CRITICAL, and triggers immediate containment — within 1 minute.</w:t>
      </w:r>
    </w:p>
    <w:p>
      <w:pPr>
        <w:pStyle w:val="BodyText"/>
      </w:pPr>
      <w:r>
        <w:t xml:space="preserve">The Board notification draft for a CRITICAL breach is auto-generated with: affected Data Principal count, data types, timeline, and remediation plan — within 24 hours of detection.</w:t>
      </w:r>
    </w:p>
    <w:bookmarkEnd w:id="195"/>
    <w:bookmarkEnd w:id="196"/>
    <w:bookmarkStart w:id="198" w:name="pr05-dpa-sub-processor-registry"/>
    <w:p>
      <w:pPr>
        <w:pStyle w:val="Heading1"/>
      </w:pPr>
      <w:r>
        <w:t xml:space="preserve">PR05 — DPA &amp; Sub-Processor Registry</w:t>
      </w:r>
    </w:p>
    <w:tbl>
      <w:tblPr>
        <w:tblStyle w:val="Table"/>
        <w:tblW w:type="pct" w:w="4870"/>
        <w:tblLook w:firstRow="0" w:lastRow="0" w:firstColumn="0" w:lastColumn="0" w:noHBand="0" w:noVBand="0" w:val="0000"/>
        <w:jc w:val="start"/>
      </w:tblPr>
      <w:tblGrid>
        <w:gridCol w:w="2571"/>
        <w:gridCol w:w="5142"/>
      </w:tblGrid>
      <w:t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rPr>
                <w:bCs/>
                <w:b/>
              </w:rPr>
              <w:t xml:space="preserve">Phase / Complexity</w:t>
            </w:r>
          </w:p>
        </w:tc>
        <w:tc>
          <w:tcPr/>
          <w:p>
            <w:pPr>
              <w:pStyle w:val="Compact"/>
              <w:jc w:val="left"/>
            </w:pPr>
            <w:r>
              <w:t xml:space="preserve">1 / Medium</w:t>
            </w:r>
          </w:p>
        </w:tc>
      </w:tr>
    </w:tbl>
    <w:bookmarkStart w:id="197" w:name="purpose-key-requirements-9"/>
    <w:p>
      <w:pPr>
        <w:pStyle w:val="Heading2"/>
      </w:pPr>
      <w:r>
        <w:t xml:space="preserve">Purpose &amp; Key Requirements</w:t>
      </w:r>
    </w:p>
    <w:p>
      <w:pPr>
        <w:pStyle w:val="FirstParagraph"/>
      </w:pPr>
      <w:r>
        <w:t xml:space="preserve">Manages Data Processing Agreements between Sevyn8 (processor) and tenants (controllers), and catalogs all sub-processors (GCP, Anthropic, SendGrid, etc.) with their compliance status.</w:t>
      </w:r>
    </w:p>
    <w:p>
      <w:pPr>
        <w:pStyle w:val="BodyText"/>
      </w:pPr>
      <w:r>
        <w:rPr>
          <w:bCs/>
          <w:b/>
        </w:rPr>
        <w:t xml:space="preserve">PR05-FR-001</w:t>
      </w:r>
      <w:r>
        <w:t xml:space="preserve"> </w:t>
      </w:r>
      <w:r>
        <w:t xml:space="preserve">DPA Registry: per-tenant record of DPA status (ACTIVE, PENDING, EXPIRED), scope, signed date, renewal date. Alerts when DPA approaches expiry (90 days before).</w:t>
      </w:r>
    </w:p>
    <w:p>
      <w:pPr>
        <w:pStyle w:val="BodyText"/>
      </w:pPr>
      <w:r>
        <w:rPr>
          <w:bCs/>
          <w:b/>
        </w:rPr>
        <w:t xml:space="preserve">PR05-FR-002</w:t>
      </w:r>
      <w:r>
        <w:t xml:space="preserve"> </w:t>
      </w:r>
      <w:r>
        <w:t xml:space="preserve">Sub-Processor Catalog: list of all third parties that process tenant data: name, service, data types accessed, DPA status, compliance certifications (SOC 2, ISO 27001), geographic location of processing.</w:t>
      </w:r>
    </w:p>
    <w:p>
      <w:pPr>
        <w:pStyle w:val="BodyText"/>
      </w:pPr>
      <w:r>
        <w:rPr>
          <w:bCs/>
          <w:b/>
        </w:rPr>
        <w:t xml:space="preserve">PR05-FR-003</w:t>
      </w:r>
      <w:r>
        <w:t xml:space="preserve"> </w:t>
      </w:r>
      <w:r>
        <w:t xml:space="preserve">Sub-processor change notification: when Sevyn8 adds or changes a sub-processor, ALL tenants SHALL be notified at least 30 days in advance (GDPR Art 28 requirement). Tenants can object within the notification period.</w:t>
      </w:r>
    </w:p>
    <w:p>
      <w:pPr>
        <w:pStyle w:val="BodyText"/>
      </w:pPr>
      <w:r>
        <w:rPr>
          <w:bCs/>
          <w:b/>
        </w:rPr>
        <w:t xml:space="preserve">PR05-FR-004</w:t>
      </w:r>
      <w:r>
        <w:t xml:space="preserve"> </w:t>
      </w:r>
      <w:r>
        <w:t xml:space="preserve">Audit facilitation: tenants with DPO rights can access a read-only audit interface showing: processing activities on their data, sub-processors involved, security controls in place. Access is time-limited (30-day audit window), scoped to their tenant, and logged.</w:t>
      </w:r>
    </w:p>
    <w:bookmarkEnd w:id="197"/>
    <w:bookmarkEnd w:id="198"/>
    <w:bookmarkStart w:id="202" w:name="pr06-retention-clock-service"/>
    <w:p>
      <w:pPr>
        <w:pStyle w:val="Heading1"/>
      </w:pPr>
      <w:r>
        <w:t xml:space="preserve">PR06 — Retention Clock Service</w:t>
      </w:r>
    </w:p>
    <w:tbl>
      <w:tblPr>
        <w:tblStyle w:val="Table"/>
        <w:tblW w:type="pct" w:w="4870"/>
        <w:tblLook w:firstRow="0" w:lastRow="0" w:firstColumn="0" w:lastColumn="0" w:noHBand="0" w:noVBand="0" w:val="0000"/>
        <w:jc w:val="start"/>
      </w:tblPr>
      <w:tblGrid>
        <w:gridCol w:w="2571"/>
        <w:gridCol w:w="5142"/>
      </w:tblGrid>
      <w:t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rPr>
                <w:bCs/>
                <w:b/>
              </w:rPr>
              <w:t xml:space="preserve">Phase / Complexity</w:t>
            </w:r>
          </w:p>
        </w:tc>
        <w:tc>
          <w:tcPr/>
          <w:p>
            <w:pPr>
              <w:pStyle w:val="Compact"/>
              <w:jc w:val="left"/>
            </w:pPr>
            <w:r>
              <w:t xml:space="preserve">1 / High</w:t>
            </w:r>
          </w:p>
        </w:tc>
      </w:tr>
      <w:tr>
        <w:tc>
          <w:tcPr/>
          <w:p>
            <w:pPr>
              <w:pStyle w:val="Compact"/>
              <w:jc w:val="left"/>
            </w:pPr>
            <w:r>
              <w:rPr>
                <w:bCs/>
                <w:b/>
              </w:rPr>
              <w:t xml:space="preserve">Dependencies</w:t>
            </w:r>
          </w:p>
        </w:tc>
        <w:tc>
          <w:tcPr/>
          <w:p>
            <w:pPr>
              <w:pStyle w:val="Compact"/>
              <w:jc w:val="left"/>
            </w:pPr>
            <w:r>
              <w:t xml:space="preserve">D01, AC03, F03, PR01</w:t>
            </w:r>
          </w:p>
        </w:tc>
      </w:tr>
    </w:tbl>
    <w:bookmarkStart w:id="199" w:name="purpose-25"/>
    <w:p>
      <w:pPr>
        <w:pStyle w:val="Heading2"/>
      </w:pPr>
      <w:r>
        <w:t xml:space="preserve">Purpose</w:t>
      </w:r>
    </w:p>
    <w:p>
      <w:pPr>
        <w:pStyle w:val="FirstParagraph"/>
      </w:pPr>
      <w:r>
        <w:t xml:space="preserve">Automated data retention lifecycle: every personal data record is tagged with a retention expiry computed from purpose fulfillment date + legal retention period. A daily job identifies expired records and queues them for deletion or anonymisation.</w:t>
      </w:r>
    </w:p>
    <w:bookmarkEnd w:id="199"/>
    <w:bookmarkStart w:id="200" w:name="key-requirements-5"/>
    <w:p>
      <w:pPr>
        <w:pStyle w:val="Heading2"/>
      </w:pPr>
      <w:r>
        <w:t xml:space="preserve">Key Requirements</w:t>
      </w:r>
    </w:p>
    <w:p>
      <w:pPr>
        <w:pStyle w:val="FirstParagraph"/>
      </w:pPr>
      <w:r>
        <w:rPr>
          <w:bCs/>
          <w:b/>
        </w:rPr>
        <w:t xml:space="preserve">PR06-FR-001</w:t>
      </w:r>
      <w:r>
        <w:t xml:space="preserve"> </w:t>
      </w:r>
      <w:r>
        <w:t xml:space="preserve">Retention policy definition: per entity_type, per purpose, per geography. Example: retail transaction data for</w:t>
      </w:r>
      <w:r>
        <w:t xml:space="preserve"> </w:t>
      </w:r>
      <w:r>
        <w:t xml:space="preserve">‘</w:t>
      </w:r>
      <w:r>
        <w:t xml:space="preserve">Analytics</w:t>
      </w:r>
      <w:r>
        <w:t xml:space="preserve">’</w:t>
      </w:r>
      <w:r>
        <w:t xml:space="preserve"> </w:t>
      </w:r>
      <w:r>
        <w:t xml:space="preserve">purpose in India: retain for 5 years after transaction date (tax/audit requirement). Customer contact data for</w:t>
      </w:r>
      <w:r>
        <w:t xml:space="preserve"> </w:t>
      </w:r>
      <w:r>
        <w:t xml:space="preserve">‘</w:t>
      </w:r>
      <w:r>
        <w:t xml:space="preserve">Marketing</w:t>
      </w:r>
      <w:r>
        <w:t xml:space="preserve">’</w:t>
      </w:r>
      <w:r>
        <w:t xml:space="preserve"> </w:t>
      </w:r>
      <w:r>
        <w:t xml:space="preserve">purpose: retain for 2 years after last marketing interaction or until consent withdrawal, whichever is sooner.</w:t>
      </w:r>
    </w:p>
    <w:p>
      <w:pPr>
        <w:pStyle w:val="BodyText"/>
      </w:pPr>
      <w:r>
        <w:rPr>
          <w:bCs/>
          <w:b/>
        </w:rPr>
        <w:t xml:space="preserve">PR06-FR-002</w:t>
      </w:r>
      <w:r>
        <w:t xml:space="preserve"> </w:t>
      </w:r>
      <w:r>
        <w:t xml:space="preserve">Purpose fulfillment trigger: configurable per purpose. For</w:t>
      </w:r>
      <w:r>
        <w:t xml:space="preserve"> </w:t>
      </w:r>
      <w:r>
        <w:t xml:space="preserve">‘</w:t>
      </w:r>
      <w:r>
        <w:t xml:space="preserve">Service Delivery</w:t>
      </w:r>
      <w:r>
        <w:t xml:space="preserve">’</w:t>
      </w:r>
      <w:r>
        <w:t xml:space="preserve">: fulfilled when the service is completed (e.g., product delivered). For</w:t>
      </w:r>
      <w:r>
        <w:t xml:space="preserve"> </w:t>
      </w:r>
      <w:r>
        <w:t xml:space="preserve">‘</w:t>
      </w:r>
      <w:r>
        <w:t xml:space="preserve">Analytics</w:t>
      </w:r>
      <w:r>
        <w:t xml:space="preserve">’</w:t>
      </w:r>
      <w:r>
        <w:t xml:space="preserve">: fulfilled when the data is no longer needed for active analytics (configurable period, e.g., 3 years). For</w:t>
      </w:r>
      <w:r>
        <w:t xml:space="preserve"> </w:t>
      </w:r>
      <w:r>
        <w:t xml:space="preserve">‘</w:t>
      </w:r>
      <w:r>
        <w:t xml:space="preserve">Marketing</w:t>
      </w:r>
      <w:r>
        <w:t xml:space="preserve">’</w:t>
      </w:r>
      <w:r>
        <w:t xml:space="preserve">: fulfilled when consent is withdrawn or expires.</w:t>
      </w:r>
    </w:p>
    <w:p>
      <w:pPr>
        <w:pStyle w:val="BodyText"/>
      </w:pPr>
      <w:r>
        <w:rPr>
          <w:bCs/>
          <w:b/>
        </w:rPr>
        <w:t xml:space="preserve">PR06-FR-003</w:t>
      </w:r>
      <w:r>
        <w:t xml:space="preserve"> </w:t>
      </w:r>
      <w:r>
        <w:t xml:space="preserve">Retention clock computation: retention_expiry_date = purpose_fulfillment_date + retention_period. Each personal data record in the Silver layer SHALL have a computed retention_expiry_date column, maintained by PR06.</w:t>
      </w:r>
    </w:p>
    <w:p>
      <w:pPr>
        <w:pStyle w:val="BodyText"/>
      </w:pPr>
      <w:r>
        <w:rPr>
          <w:bCs/>
          <w:b/>
        </w:rPr>
        <w:t xml:space="preserve">PR06-FR-004</w:t>
      </w:r>
      <w:r>
        <w:t xml:space="preserve"> </w:t>
      </w:r>
      <w:r>
        <w:t xml:space="preserve">Daily expiry scan: a scheduled job (Cloud Scheduler → Cloud Run) runs daily, queries for records where retention_expiry_date &lt; NOW(), and queues them for: (a) anonymisation (replace PII with tokens, retain for aggregate analytics), or (b) deletion (remove entirely). The choice (anonymise vs. delete) is configurable per entity type per regulation.</w:t>
      </w:r>
    </w:p>
    <w:p>
      <w:pPr>
        <w:pStyle w:val="BodyText"/>
      </w:pPr>
      <w:r>
        <w:rPr>
          <w:bCs/>
          <w:b/>
        </w:rPr>
        <w:t xml:space="preserve">PR06-FR-005</w:t>
      </w:r>
      <w:r>
        <w:t xml:space="preserve"> </w:t>
      </w:r>
      <w:r>
        <w:t xml:space="preserve">Legal hold override: if a tenant places a legal hold on certain data (litigation, regulatory investigation), the retention clock SHALL be paused for affected records. Legal holds are managed by Tenant Admin with mandatory reason documentation. Hold expiry is configurable.</w:t>
      </w:r>
    </w:p>
    <w:p>
      <w:pPr>
        <w:pStyle w:val="BodyText"/>
      </w:pPr>
      <w:r>
        <w:rPr>
          <w:bCs/>
          <w:b/>
        </w:rPr>
        <w:t xml:space="preserve">PR06-FR-006</w:t>
      </w:r>
      <w:r>
        <w:t xml:space="preserve"> </w:t>
      </w:r>
      <w:r>
        <w:t xml:space="preserve">Retention Dashboard (part of S22 Compliance Operations): data volume by retention status (ACTIVE: purpose not fulfilled, RETENTION: purpose fulfilled, clock ticking, OVERDUE: past expiry, not yet deleted, HELD: under legal hold). Alerts when OVERDUE volume exceeds 1% of total.</w:t>
      </w:r>
    </w:p>
    <w:bookmarkEnd w:id="200"/>
    <w:bookmarkStart w:id="201" w:name="acceptance-criteria-17"/>
    <w:p>
      <w:pPr>
        <w:pStyle w:val="Heading2"/>
      </w:pPr>
      <w:r>
        <w:t xml:space="preserve">Acceptance Criteria</w:t>
      </w:r>
    </w:p>
    <w:p>
      <w:pPr>
        <w:pStyle w:val="FirstParagraph"/>
      </w:pPr>
      <w:r>
        <w:t xml:space="preserve">A customer’s marketing data with retention_expiry_date of 2026-03-01 is automatically queued for anonymisation on 2026-03-02 by the daily scan.</w:t>
      </w:r>
    </w:p>
    <w:p>
      <w:pPr>
        <w:pStyle w:val="BodyText"/>
      </w:pPr>
      <w:r>
        <w:t xml:space="preserve">A legal hold on Customer X prevents their data from being deleted even after retention expiry, until the hold is released.</w:t>
      </w:r>
    </w:p>
    <w:p>
      <w:pPr>
        <w:pStyle w:val="BodyText"/>
      </w:pPr>
      <w:r>
        <w:t xml:space="preserve">The Retention Dashboard shows: 85% ACTIVE, 12% RETENTION, 2% OVERDUE (triggers alert), 1% HELD.</w:t>
      </w:r>
    </w:p>
    <w:p>
      <w:pPr>
        <w:pStyle w:val="BodyText"/>
      </w:pPr>
      <w:r>
        <w:rPr>
          <w:iCs/>
          <w:i/>
        </w:rPr>
        <w:t xml:space="preserve">End of Phase 0 remaining + Phase 1 module specifications. All 34 modules (Phase 0 + Phase 1) are now fully specified. Remaining: Phase 2 (17 modules: I02, I03, A01-A04, A07, E01, G03, G06, ED02, FB01, O02, O03, PR02, PR04) and Phase 3-4 (12 modules).</w:t>
      </w:r>
    </w:p>
    <w:p>
      <w:pPr>
        <w:pStyle w:val="BodyText"/>
      </w:pPr>
      <w:r>
        <w:rPr>
          <w:bCs/>
          <w:b/>
        </w:rPr>
        <w:t xml:space="preserve">PART V</w:t>
      </w:r>
    </w:p>
    <w:p>
      <w:pPr>
        <w:pStyle w:val="BodyText"/>
      </w:pPr>
      <w:r>
        <w:t xml:space="preserve">Phase 2 + Phase 3 + Phase 4 — 23 Modules</w:t>
      </w:r>
    </w:p>
    <w:p>
      <w:pPr>
        <w:pStyle w:val="BodyText"/>
      </w:pPr>
      <w:r>
        <w:rPr>
          <w:bCs/>
          <w:b/>
        </w:rPr>
        <w:t xml:space="preserve">Detailed Module Specifications</w:t>
      </w:r>
    </w:p>
    <w:p>
      <w:pPr>
        <w:pStyle w:val="BodyText"/>
      </w:pPr>
      <w:r>
        <w:t xml:space="preserve">Phase 2, 3 &amp; 4 Modules</w:t>
      </w:r>
    </w:p>
    <w:p>
      <w:pPr>
        <w:pStyle w:val="BodyText"/>
      </w:pPr>
      <w:r>
        <w:t xml:space="preserve">Analytics &amp; AI/ML • Embeddings • Multi-Modal Ingestion • Feedback Loops</w:t>
      </w:r>
    </w:p>
    <w:p>
      <w:pPr>
        <w:pStyle w:val="BodyText"/>
      </w:pPr>
      <w:r>
        <w:t xml:space="preserve">Privacy Operations • Cross-Modal Correlation • Simulation • Federated Learning</w:t>
      </w:r>
    </w:p>
    <w:p>
      <w:pPr>
        <w:pStyle w:val="BodyText"/>
      </w:pPr>
      <w:r>
        <w:t xml:space="preserve">Sevyn8 Intelligence &amp; Analytics Platform — v1.0 — April 2026 — CONFIDENTIAL</w:t>
      </w:r>
    </w:p>
    <w:p>
      <w:pPr>
        <w:pStyle w:val="BodyText"/>
      </w:pPr>
      <w:r>
        <w:rPr>
          <w:bCs/>
          <w:b/>
        </w:rPr>
        <w:t xml:space="preserve">PHASE 2 — ANALYTICS PLATFORM</w:t>
      </w:r>
    </w:p>
    <w:p>
      <w:pPr>
        <w:pStyle w:val="BodyText"/>
      </w:pPr>
      <w:r>
        <w:t xml:space="preserve">Phase 2 builds the intelligence engine on top of the data backbone established in Phase 0-1. It adds the Feature Store, Algorithm Registry, Decision Orchestration, Model Lifecycle Management, Explainability, Embeddings, advanced ingestion pipelines, and privacy operations. Phase 2 is when the platform transitions from a data platform to a decision platform.</w:t>
      </w:r>
    </w:p>
    <w:bookmarkEnd w:id="201"/>
    <w:bookmarkEnd w:id="202"/>
    <w:bookmarkStart w:id="206" w:name="a01-feature-store"/>
    <w:p>
      <w:pPr>
        <w:pStyle w:val="Heading1"/>
      </w:pPr>
      <w:r>
        <w:t xml:space="preserve">A01 — Feature Store</w:t>
      </w:r>
    </w:p>
    <w:tbl>
      <w:tblPr>
        <w:tblStyle w:val="Table"/>
        <w:tblW w:type="pct" w:w="4898"/>
        <w:tblLook w:firstRow="0" w:lastRow="0" w:firstColumn="0" w:lastColumn="0" w:noHBand="0" w:noVBand="0" w:val="0000"/>
        <w:jc w:val="start"/>
      </w:tblPr>
      <w:tblGrid>
        <w:gridCol w:w="2020"/>
        <w:gridCol w:w="5737"/>
      </w:tblGrid>
      <w:t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rPr>
                <w:bCs/>
                <w:b/>
              </w:rPr>
              <w:t xml:space="preserve">Phase / Complexity</w:t>
            </w:r>
          </w:p>
        </w:tc>
        <w:tc>
          <w:tcPr/>
          <w:p>
            <w:pPr>
              <w:pStyle w:val="Compact"/>
              <w:jc w:val="left"/>
            </w:pPr>
            <w:r>
              <w:t xml:space="preserve">2 / High</w:t>
            </w:r>
          </w:p>
        </w:tc>
      </w:tr>
      <w:tr>
        <w:tc>
          <w:tcPr/>
          <w:p>
            <w:pPr>
              <w:pStyle w:val="Compact"/>
              <w:jc w:val="left"/>
            </w:pPr>
            <w:r>
              <w:rPr>
                <w:bCs/>
                <w:b/>
              </w:rPr>
              <w:t xml:space="preserve">Dependencies</w:t>
            </w:r>
          </w:p>
        </w:tc>
        <w:tc>
          <w:tcPr/>
          <w:p>
            <w:pPr>
              <w:pStyle w:val="Compact"/>
              <w:jc w:val="left"/>
            </w:pPr>
            <w:r>
              <w:t xml:space="preserve">D01 (Canonical Model), D04 (Quality), F03 (Temporal)</w:t>
            </w:r>
          </w:p>
        </w:tc>
      </w:tr>
      <w:tr>
        <w:tc>
          <w:tcPr/>
          <w:p>
            <w:pPr>
              <w:pStyle w:val="Compact"/>
              <w:jc w:val="left"/>
            </w:pPr>
            <w:r>
              <w:rPr>
                <w:bCs/>
                <w:b/>
              </w:rPr>
              <w:t xml:space="preserve">Depended On By</w:t>
            </w:r>
          </w:p>
        </w:tc>
        <w:tc>
          <w:tcPr/>
          <w:p>
            <w:pPr>
              <w:pStyle w:val="Compact"/>
              <w:jc w:val="left"/>
            </w:pPr>
            <w:r>
              <w:t xml:space="preserve">A02 (Algorithm Registry), A04 (Model Lifecycle), PR01 (Purpose Gate)</w:t>
            </w:r>
          </w:p>
        </w:tc>
      </w:tr>
    </w:tbl>
    <w:bookmarkStart w:id="203" w:name="purpose-26"/>
    <w:p>
      <w:pPr>
        <w:pStyle w:val="Heading2"/>
      </w:pPr>
      <w:r>
        <w:t xml:space="preserve">Purpose</w:t>
      </w:r>
    </w:p>
    <w:p>
      <w:pPr>
        <w:pStyle w:val="FirstParagraph"/>
      </w:pPr>
      <w:r>
        <w:t xml:space="preserve">Centralized, tenant-scoped repository of computed features that algorithms consume. Features are defined declaratively, computed on schedule or on-demand, served with point-in-time correctness guarantees (preventing ML data leakage), and gated by purpose and quality checks.</w:t>
      </w:r>
    </w:p>
    <w:bookmarkEnd w:id="203"/>
    <w:bookmarkStart w:id="204" w:name="key-requirements-6"/>
    <w:p>
      <w:pPr>
        <w:pStyle w:val="Heading2"/>
      </w:pPr>
      <w:r>
        <w:t xml:space="preserve">Key Requirements</w:t>
      </w:r>
    </w:p>
    <w:p>
      <w:pPr>
        <w:pStyle w:val="FirstParagraph"/>
      </w:pPr>
      <w:r>
        <w:rPr>
          <w:bCs/>
          <w:b/>
        </w:rPr>
        <w:t xml:space="preserve">A01-FR-001</w:t>
      </w:r>
      <w:r>
        <w:t xml:space="preserve"> </w:t>
      </w:r>
      <w:r>
        <w:t xml:space="preserve">A feature SHALL be defined declaratively as: feature_id, feature_name, entity_type (which D01 entity this feature describes), source_fields (which Silver layer columns are inputs), transformation_logic (SQL expression, Python function reference, or aggregation window), freshness_sla (how stale the feature can be before it’s considered invalid), purpose_id (FK to PR01 — which processing purpose this feature serves), quality_minimum (minimum DQI score of input data required), version.</w:t>
      </w:r>
    </w:p>
    <w:p>
      <w:pPr>
        <w:pStyle w:val="BodyText"/>
      </w:pPr>
      <w:r>
        <w:rPr>
          <w:bCs/>
          <w:b/>
        </w:rPr>
        <w:t xml:space="preserve">A01-FR-002</w:t>
      </w:r>
      <w:r>
        <w:t xml:space="preserve"> </w:t>
      </w:r>
      <w:r>
        <w:t xml:space="preserve">Two feature computation modes: (a) Batch features: computed on schedule (hourly/daily/weekly) by Dataflow (S01) jobs. Stored in BigQuery (offline store) for training. Examples: customer_lifetime_value, product_30d_sell_through_rate, store_weekly_revenue. (b) Online features: computed at query time or maintained via streaming updates. Stored in Redis/Memorystore (online store) for real-time inference. Examples: customer_current_basket_value, store_current_footfall, product_current_stock_level.</w:t>
      </w:r>
    </w:p>
    <w:p>
      <w:pPr>
        <w:pStyle w:val="BodyText"/>
      </w:pPr>
      <w:r>
        <w:rPr>
          <w:bCs/>
          <w:b/>
        </w:rPr>
        <w:t xml:space="preserve">A01-FR-003</w:t>
      </w:r>
      <w:r>
        <w:t xml:space="preserve"> </w:t>
      </w:r>
      <w:r>
        <w:t xml:space="preserve">Point-in-time join (CRITICAL for ML training): when an algorithm requests training data, the Feature Store SHALL return only feature values that were available at the time of the training event. This prevents data leakage. Implementation: feature values are timestamped (computed_at). The training query specifies event_timestamp. Feature Store returns the most recent feature value where computed_at &lt;= event_timestamp. Uses F03 temporal query library.</w:t>
      </w:r>
    </w:p>
    <w:p>
      <w:pPr>
        <w:pStyle w:val="BodyText"/>
      </w:pPr>
      <w:r>
        <w:rPr>
          <w:bCs/>
          <w:b/>
        </w:rPr>
        <w:t xml:space="preserve">A01-FR-004</w:t>
      </w:r>
      <w:r>
        <w:t xml:space="preserve"> </w:t>
      </w:r>
      <w:r>
        <w:t xml:space="preserve">Purpose Gate integration (PR01): before serving features to an algorithm, Feature Store SHALL verify: (a) the requesting algorithm’s declared purpose_id is compatible with the feature’s purpose_id, (b) if the feature involves personal data, the entity has valid consent for the requesting purpose (AC03 check). Non-compliant requests are DENIED.</w:t>
      </w:r>
    </w:p>
    <w:p>
      <w:pPr>
        <w:pStyle w:val="BodyText"/>
      </w:pPr>
      <w:r>
        <w:rPr>
          <w:bCs/>
          <w:b/>
        </w:rPr>
        <w:t xml:space="preserve">A01-FR-005</w:t>
      </w:r>
      <w:r>
        <w:t xml:space="preserve"> </w:t>
      </w:r>
      <w:r>
        <w:t xml:space="preserve">Feature quality tracking: each feature value carries a quality_confidence derived from the DQI of its input data (D04). Features computed from low-quality inputs are flagged. Algorithms can filter by quality threshold.</w:t>
      </w:r>
    </w:p>
    <w:p>
      <w:pPr>
        <w:pStyle w:val="BodyText"/>
      </w:pPr>
      <w:r>
        <w:rPr>
          <w:bCs/>
          <w:b/>
        </w:rPr>
        <w:t xml:space="preserve">A01-FR-006</w:t>
      </w:r>
      <w:r>
        <w:t xml:space="preserve"> </w:t>
      </w:r>
      <w:r>
        <w:t xml:space="preserve">Feature lineage: each feature definition records its dependency on specific canonical schema fields and mapping versions. When a schema change (F05) affects a feature’s source fields, the Feature Store flags the feature as SCHEMA_CHANGED and notifies the model owner.</w:t>
      </w:r>
    </w:p>
    <w:p>
      <w:pPr>
        <w:pStyle w:val="BodyText"/>
      </w:pPr>
      <w:r>
        <w:rPr>
          <w:bCs/>
          <w:b/>
        </w:rPr>
        <w:t xml:space="preserve">A01-FR-007</w:t>
      </w:r>
      <w:r>
        <w:t xml:space="preserve"> </w:t>
      </w:r>
      <w:r>
        <w:t xml:space="preserve">GCP implementation: Vertex AI Feature Store for managed feature serving (online + offline). Feature definitions stored in F04 Configuration Plane. Batch computation via Dataflow jobs writing to BigQuery. Online serving via Vertex AI Feature Store online serving tier or Redis for custom features.</w:t>
      </w:r>
    </w:p>
    <w:bookmarkEnd w:id="204"/>
    <w:bookmarkStart w:id="205" w:name="acceptance-criteria-18"/>
    <w:p>
      <w:pPr>
        <w:pStyle w:val="Heading2"/>
      </w:pPr>
      <w:r>
        <w:t xml:space="preserve">Acceptance Criteria</w:t>
      </w:r>
    </w:p>
    <w:p>
      <w:pPr>
        <w:pStyle w:val="FirstParagraph"/>
      </w:pPr>
      <w:r>
        <w:t xml:space="preserve">A batch feature</w:t>
      </w:r>
      <w:r>
        <w:t xml:space="preserve"> </w:t>
      </w:r>
      <w:r>
        <w:t xml:space="preserve">‘</w:t>
      </w:r>
      <w:r>
        <w:t xml:space="preserve">customer_90d_purchase_frequency</w:t>
      </w:r>
      <w:r>
        <w:t xml:space="preserve">’</w:t>
      </w:r>
      <w:r>
        <w:t xml:space="preserve"> </w:t>
      </w:r>
      <w:r>
        <w:t xml:space="preserve">is computed daily, available in BigQuery within 1 hour of scheduled run, and correctly returns the historical value for any past date via point-in-time join.</w:t>
      </w:r>
    </w:p>
    <w:p>
      <w:pPr>
        <w:pStyle w:val="BodyText"/>
      </w:pPr>
      <w:r>
        <w:t xml:space="preserve">An online feature</w:t>
      </w:r>
      <w:r>
        <w:t xml:space="preserve"> </w:t>
      </w:r>
      <w:r>
        <w:t xml:space="preserve">‘</w:t>
      </w:r>
      <w:r>
        <w:t xml:space="preserve">customer_current_basket_value</w:t>
      </w:r>
      <w:r>
        <w:t xml:space="preserve">’</w:t>
      </w:r>
      <w:r>
        <w:t xml:space="preserve"> </w:t>
      </w:r>
      <w:r>
        <w:t xml:space="preserve">updates within 5 seconds of a new transaction event and is served from Redis with &lt;10ms latency.</w:t>
      </w:r>
    </w:p>
    <w:p>
      <w:pPr>
        <w:pStyle w:val="BodyText"/>
      </w:pPr>
      <w:r>
        <w:t xml:space="preserve">A marketing algorithm requesting</w:t>
      </w:r>
      <w:r>
        <w:t xml:space="preserve"> </w:t>
      </w:r>
      <w:r>
        <w:t xml:space="preserve">‘</w:t>
      </w:r>
      <w:r>
        <w:t xml:space="preserve">customer_phone</w:t>
      </w:r>
      <w:r>
        <w:t xml:space="preserve">’</w:t>
      </w:r>
      <w:r>
        <w:t xml:space="preserve"> </w:t>
      </w:r>
      <w:r>
        <w:t xml:space="preserve">feature (purpose: SERVICE_DELIVERY) is blocked by the Purpose Gate when the algorithm’s purpose is MARKETING.</w:t>
      </w:r>
    </w:p>
    <w:p>
      <w:pPr>
        <w:pStyle w:val="BodyText"/>
      </w:pPr>
      <w:r>
        <w:t xml:space="preserve">Training data generated with point-in-time joins shows zero data leakage: no future information present in training features.</w:t>
      </w:r>
    </w:p>
    <w:bookmarkEnd w:id="205"/>
    <w:bookmarkEnd w:id="206"/>
    <w:bookmarkStart w:id="210" w:name="a02-algorithm-registry-framework"/>
    <w:p>
      <w:pPr>
        <w:pStyle w:val="Heading1"/>
      </w:pPr>
      <w:r>
        <w:t xml:space="preserve">A02 — Algorithm Registry &amp; Framework</w:t>
      </w:r>
    </w:p>
    <w:tbl>
      <w:tblPr>
        <w:tblStyle w:val="Table"/>
        <w:tblW w:type="pct" w:w="4870"/>
        <w:tblLook w:firstRow="0" w:lastRow="0" w:firstColumn="0" w:lastColumn="0" w:noHBand="0" w:noVBand="0" w:val="0000"/>
        <w:jc w:val="start"/>
      </w:tblPr>
      <w:tblGrid>
        <w:gridCol w:w="2571"/>
        <w:gridCol w:w="5142"/>
      </w:tblGrid>
      <w:t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rPr>
                <w:bCs/>
                <w:b/>
              </w:rPr>
              <w:t xml:space="preserve">Phase / Complexity</w:t>
            </w:r>
          </w:p>
        </w:tc>
        <w:tc>
          <w:tcPr/>
          <w:p>
            <w:pPr>
              <w:pStyle w:val="Compact"/>
              <w:jc w:val="left"/>
            </w:pPr>
            <w:r>
              <w:t xml:space="preserve">2 / Very High</w:t>
            </w:r>
          </w:p>
        </w:tc>
      </w:tr>
      <w:tr>
        <w:tc>
          <w:tcPr/>
          <w:p>
            <w:pPr>
              <w:pStyle w:val="Compact"/>
              <w:jc w:val="left"/>
            </w:pPr>
            <w:r>
              <w:rPr>
                <w:bCs/>
                <w:b/>
              </w:rPr>
              <w:t xml:space="preserve">Dependencies</w:t>
            </w:r>
          </w:p>
        </w:tc>
        <w:tc>
          <w:tcPr/>
          <w:p>
            <w:pPr>
              <w:pStyle w:val="Compact"/>
              <w:jc w:val="left"/>
            </w:pPr>
            <w:r>
              <w:t xml:space="preserve">A01 (Feature Store), F04 (Config)</w:t>
            </w:r>
          </w:p>
        </w:tc>
      </w:tr>
      <w:tr>
        <w:tc>
          <w:tcPr/>
          <w:p>
            <w:pPr>
              <w:pStyle w:val="Compact"/>
              <w:jc w:val="left"/>
            </w:pPr>
            <w:r>
              <w:rPr>
                <w:bCs/>
                <w:b/>
              </w:rPr>
              <w:t xml:space="preserve">Depended On By</w:t>
            </w:r>
          </w:p>
        </w:tc>
        <w:tc>
          <w:tcPr/>
          <w:p>
            <w:pPr>
              <w:pStyle w:val="Compact"/>
              <w:jc w:val="left"/>
            </w:pPr>
            <w:r>
              <w:t xml:space="preserve">A03, A04, A07, A08, ED01, FB01, FB02, PR04</w:t>
            </w:r>
          </w:p>
        </w:tc>
      </w:tr>
    </w:tbl>
    <w:bookmarkStart w:id="207" w:name="purpose-27"/>
    <w:p>
      <w:pPr>
        <w:pStyle w:val="Heading2"/>
      </w:pPr>
      <w:r>
        <w:t xml:space="preserve">Purpose</w:t>
      </w:r>
    </w:p>
    <w:p>
      <w:pPr>
        <w:pStyle w:val="FirstParagraph"/>
      </w:pPr>
      <w:r>
        <w:t xml:space="preserve">A02 is the algorithm marketplace and execution framework. It hosts all decision-making logic — rules (A06), statistical models, ML models, deep learning models, and LLM-based algorithms — in a versioned, cataloged, multi-tenant-safe execution environment. Platform-provided algorithms (shared across tenants), industry-specific algorithms, and tenant-custom algorithms all coexist.</w:t>
      </w:r>
    </w:p>
    <w:bookmarkEnd w:id="207"/>
    <w:bookmarkStart w:id="208" w:name="key-requirements-7"/>
    <w:p>
      <w:pPr>
        <w:pStyle w:val="Heading2"/>
      </w:pPr>
      <w:r>
        <w:t xml:space="preserve">Key Requirements</w:t>
      </w:r>
    </w:p>
    <w:p>
      <w:pPr>
        <w:pStyle w:val="FirstParagraph"/>
      </w:pPr>
      <w:r>
        <w:rPr>
          <w:bCs/>
          <w:b/>
        </w:rPr>
        <w:t xml:space="preserve">A02-FR-001</w:t>
      </w:r>
      <w:r>
        <w:t xml:space="preserve"> </w:t>
      </w:r>
      <w:r>
        <w:t xml:space="preserve">Algorithm registration: each algorithm SHALL declare: algorithm_id, name, description, category (CLASSIFICATION, REGRESSION, SCORING, RECOMMENDATION, ANOMALY_DETECTION, FORECASTING, NLP, COMPUTER_VISION, RULE_BASED), industry_tags, input_features (list of Feature Store feature_ids required), output_schema (typed output structure), purpose_id (FK to PR01), significant_impact (BOOLEAN — triggers DPIA and Art 22 transparency requirements), model_format (ONNX, TFLite, scikit-learn, custom container), resource_requirements (CPU, memory, GPU), version.</w:t>
      </w:r>
    </w:p>
    <w:p>
      <w:pPr>
        <w:pStyle w:val="BodyText"/>
      </w:pPr>
      <w:r>
        <w:rPr>
          <w:bCs/>
          <w:b/>
        </w:rPr>
        <w:t xml:space="preserve">A02-FR-002</w:t>
      </w:r>
      <w:r>
        <w:t xml:space="preserve"> </w:t>
      </w:r>
      <w:r>
        <w:t xml:space="preserve">Algorithm tiers: (a) Platform algorithms: maintained by Sevyn8, available to all tenants. Examples: RFM segmentation, basic churn prediction, demand forecasting. (b) Industry algorithms: maintained by Sevyn8, available to tenants in a specific vertical. Examples: retail basket analysis, insurance risk scoring. (c) Tenant algorithms: uploaded by tenant’s Algorithm Manager, available only within that tenant. Custom models trained on tenant data.</w:t>
      </w:r>
    </w:p>
    <w:p>
      <w:pPr>
        <w:pStyle w:val="BodyText"/>
      </w:pPr>
      <w:r>
        <w:rPr>
          <w:bCs/>
          <w:b/>
        </w:rPr>
        <w:t xml:space="preserve">A02-FR-003</w:t>
      </w:r>
      <w:r>
        <w:t xml:space="preserve"> </w:t>
      </w:r>
      <w:r>
        <w:t xml:space="preserve">Algorithm execution: the system SHALL support three execution modes: (a) Batch: scheduled execution across all entities of a type. Triggered by Cloud Scheduler or on-demand. Results written to Gold layer. (b) Real-time: per-entity inference triggered by an API call or event. Response returned synchronously (&lt;200ms latency target). (c) Shadow: algorithm runs in parallel with production, predictions logged but not served. For A/B validation before promotion.</w:t>
      </w:r>
    </w:p>
    <w:p>
      <w:pPr>
        <w:pStyle w:val="BodyText"/>
      </w:pPr>
      <w:r>
        <w:rPr>
          <w:bCs/>
          <w:b/>
        </w:rPr>
        <w:t xml:space="preserve">A02-FR-004</w:t>
      </w:r>
      <w:r>
        <w:t xml:space="preserve"> </w:t>
      </w:r>
      <w:r>
        <w:t xml:space="preserve">Tenant isolation in execution: algorithms execute within the tenant’s K8s namespace (F01). A tenant’s custom algorithm cannot access another tenant’s data, features, or models. Platform and industry algorithms run in the</w:t>
      </w:r>
      <w:r>
        <w:t xml:space="preserve"> </w:t>
      </w:r>
      <w:r>
        <w:t xml:space="preserve">‘</w:t>
      </w:r>
      <w:r>
        <w:t xml:space="preserve">platform</w:t>
      </w:r>
      <w:r>
        <w:t xml:space="preserve">’</w:t>
      </w:r>
      <w:r>
        <w:t xml:space="preserve"> </w:t>
      </w:r>
      <w:r>
        <w:t xml:space="preserve">namespace but receive only the requesting tenant’s data through the Feature Store.</w:t>
      </w:r>
    </w:p>
    <w:p>
      <w:pPr>
        <w:pStyle w:val="BodyText"/>
      </w:pPr>
      <w:r>
        <w:rPr>
          <w:bCs/>
          <w:b/>
        </w:rPr>
        <w:t xml:space="preserve">A02-FR-005</w:t>
      </w:r>
      <w:r>
        <w:t xml:space="preserve"> </w:t>
      </w:r>
      <w:r>
        <w:t xml:space="preserve">Algorithm lifecycle: DRAFT → SANDBOX_TESTING → SHADOW_DEPLOYMENT → CANARY (10% traffic) → PRODUCTION (100%) → DEPRECATED → RETIRED. Each transition has gates: sandbox must pass test suite, shadow must run 7 days without anomalies, canary must maintain error rate within 2x baseline.</w:t>
      </w:r>
    </w:p>
    <w:p>
      <w:pPr>
        <w:pStyle w:val="BodyText"/>
      </w:pPr>
      <w:r>
        <w:rPr>
          <w:bCs/>
          <w:b/>
        </w:rPr>
        <w:t xml:space="preserve">A02-FR-006</w:t>
      </w:r>
      <w:r>
        <w:t xml:space="preserve"> </w:t>
      </w:r>
      <w:r>
        <w:t xml:space="preserve">A/B testing framework: two algorithm versions can run simultaneously on configurable traffic splits (e.g., 50/50, 90/10). Results compared on configurable metrics (accuracy, business KPI impact, latency). Statistical significance computed. Winner promoted automatically or manually.</w:t>
      </w:r>
    </w:p>
    <w:bookmarkEnd w:id="208"/>
    <w:bookmarkStart w:id="209" w:name="acceptance-criteria-19"/>
    <w:p>
      <w:pPr>
        <w:pStyle w:val="Heading2"/>
      </w:pPr>
      <w:r>
        <w:t xml:space="preserve">Acceptance Criteria</w:t>
      </w:r>
    </w:p>
    <w:p>
      <w:pPr>
        <w:pStyle w:val="FirstParagraph"/>
      </w:pPr>
      <w:r>
        <w:t xml:space="preserve">A platform RFM segmentation algorithm is available to all retail tenants. Tenant A configures it with custom segment definitions; Tenant B uses defaults. Both execute independently with their own data.</w:t>
      </w:r>
    </w:p>
    <w:p>
      <w:pPr>
        <w:pStyle w:val="BodyText"/>
      </w:pPr>
      <w:r>
        <w:t xml:space="preserve">A tenant-custom churn model uploaded by Algorithm Manager passes sandbox testing, runs in shadow for 7 days, and is promoted to production — all without engineering involvement.</w:t>
      </w:r>
    </w:p>
    <w:p>
      <w:pPr>
        <w:pStyle w:val="BodyText"/>
      </w:pPr>
      <w:r>
        <w:t xml:space="preserve">An A/B test between two pricing algorithms runs for 2 weeks with 50/50 split, produces statistically significant results, and the winner is promoted.</w:t>
      </w:r>
    </w:p>
    <w:bookmarkEnd w:id="209"/>
    <w:bookmarkEnd w:id="210"/>
    <w:bookmarkStart w:id="214" w:name="a03-decision-orchestration-engine"/>
    <w:p>
      <w:pPr>
        <w:pStyle w:val="Heading1"/>
      </w:pPr>
      <w:r>
        <w:t xml:space="preserve">A03 — Decision Orchestration Engine</w:t>
      </w:r>
    </w:p>
    <w:tbl>
      <w:tblPr>
        <w:tblStyle w:val="Table"/>
        <w:tblW w:type="pct" w:w="4870"/>
        <w:tblLook w:firstRow="0" w:lastRow="0" w:firstColumn="0" w:lastColumn="0" w:noHBand="0" w:noVBand="0" w:val="0000"/>
        <w:jc w:val="start"/>
      </w:tblPr>
      <w:tblGrid>
        <w:gridCol w:w="2571"/>
        <w:gridCol w:w="5142"/>
      </w:tblGrid>
      <w:t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rPr>
                <w:bCs/>
                <w:b/>
              </w:rPr>
              <w:t xml:space="preserve">Phase / Complexity</w:t>
            </w:r>
          </w:p>
        </w:tc>
        <w:tc>
          <w:tcPr/>
          <w:p>
            <w:pPr>
              <w:pStyle w:val="Compact"/>
              <w:jc w:val="left"/>
            </w:pPr>
            <w:r>
              <w:t xml:space="preserve">2 / High</w:t>
            </w:r>
          </w:p>
        </w:tc>
      </w:tr>
      <w:tr>
        <w:tc>
          <w:tcPr/>
          <w:p>
            <w:pPr>
              <w:pStyle w:val="Compact"/>
              <w:jc w:val="left"/>
            </w:pPr>
            <w:r>
              <w:rPr>
                <w:bCs/>
                <w:b/>
              </w:rPr>
              <w:t xml:space="preserve">Dependencies</w:t>
            </w:r>
          </w:p>
        </w:tc>
        <w:tc>
          <w:tcPr/>
          <w:p>
            <w:pPr>
              <w:pStyle w:val="Compact"/>
              <w:jc w:val="left"/>
            </w:pPr>
            <w:r>
              <w:t xml:space="preserve">A02 (Algorithm Registry), A01 (Feature Store)</w:t>
            </w:r>
          </w:p>
        </w:tc>
      </w:tr>
    </w:tbl>
    <w:bookmarkStart w:id="211" w:name="purpose-28"/>
    <w:p>
      <w:pPr>
        <w:pStyle w:val="Heading2"/>
      </w:pPr>
      <w:r>
        <w:t xml:space="preserve">Purpose</w:t>
      </w:r>
    </w:p>
    <w:p>
      <w:pPr>
        <w:pStyle w:val="FirstParagraph"/>
      </w:pPr>
      <w:r>
        <w:t xml:space="preserve">Real-world decisions are rarely one algorithm. A03 chains multiple algorithms, rules, approval gates, and conditional branches into multi-step Decision Pipelines (DAGs). For retail: customer enters store → footfall counted (CV model) → customer identified (I01) → purchase history retrieved (A01) → personalised recommendation generated (ML model) → store staff notified (O02). Each step feeds the next.</w:t>
      </w:r>
    </w:p>
    <w:bookmarkEnd w:id="211"/>
    <w:bookmarkStart w:id="212" w:name="key-requirements-8"/>
    <w:p>
      <w:pPr>
        <w:pStyle w:val="Heading2"/>
      </w:pPr>
      <w:r>
        <w:t xml:space="preserve">Key Requirements</w:t>
      </w:r>
    </w:p>
    <w:p>
      <w:pPr>
        <w:pStyle w:val="FirstParagraph"/>
      </w:pPr>
      <w:r>
        <w:rPr>
          <w:bCs/>
          <w:b/>
        </w:rPr>
        <w:t xml:space="preserve">A03-FR-001</w:t>
      </w:r>
      <w:r>
        <w:t xml:space="preserve"> </w:t>
      </w:r>
      <w:r>
        <w:t xml:space="preserve">Pipelines SHALL be defined as Directed Acyclic Graphs (DAGs) with typed nodes: ALGORITHM (execute an A02 algorithm), RULE (execute an A06 rule set), FEATURE_FETCH (retrieve features from A01), CONDITIONAL (branch based on previous step’s output), HUMAN_APPROVAL (pause and route to a human reviewer), NOTIFICATION (send alert/notification via O02), TRANSFORM (data transformation between steps).</w:t>
      </w:r>
    </w:p>
    <w:p>
      <w:pPr>
        <w:pStyle w:val="BodyText"/>
      </w:pPr>
      <w:r>
        <w:rPr>
          <w:bCs/>
          <w:b/>
        </w:rPr>
        <w:t xml:space="preserve">A03-FR-002</w:t>
      </w:r>
      <w:r>
        <w:t xml:space="preserve"> </w:t>
      </w:r>
      <w:r>
        <w:t xml:space="preserve">Input/output type checking: connections between nodes SHALL validate that the output schema of Node A is compatible with the input schema of Node B. Incompatible connections are rejected at design time (in the DAG Editor, S12).</w:t>
      </w:r>
    </w:p>
    <w:p>
      <w:pPr>
        <w:pStyle w:val="BodyText"/>
      </w:pPr>
      <w:r>
        <w:rPr>
          <w:bCs/>
          <w:b/>
        </w:rPr>
        <w:t xml:space="preserve">A03-FR-003</w:t>
      </w:r>
      <w:r>
        <w:t xml:space="preserve"> </w:t>
      </w:r>
      <w:r>
        <w:t xml:space="preserve">Execution engine: Temporal (on GKE) for long-running, stateful pipelines with human approval gates. Cloud Run for short-lived, synchronous pipelines. The orchestrator selects the engine based on whether the pipeline contains HUMAN_APPROVAL nodes (Temporal) or not (Cloud Run).</w:t>
      </w:r>
    </w:p>
    <w:p>
      <w:pPr>
        <w:pStyle w:val="BodyText"/>
      </w:pPr>
      <w:r>
        <w:rPr>
          <w:bCs/>
          <w:b/>
        </w:rPr>
        <w:t xml:space="preserve">A03-FR-004</w:t>
      </w:r>
      <w:r>
        <w:t xml:space="preserve"> </w:t>
      </w:r>
      <w:r>
        <w:t xml:space="preserve">Decision audit trail: every pipeline execution SHALL produce a Decision Record: pipeline_id, pipeline_version, execution_id, trigger (event, schedule, API call), input_data, per-step: {step_id, algorithm_version, input, output, duration, decision}, final_output, total_duration, tenant_id, entity_id (if entity-scoped). Stored in BigQuery Decision Log. Feeds A07 Explainability.</w:t>
      </w:r>
    </w:p>
    <w:p>
      <w:pPr>
        <w:pStyle w:val="BodyText"/>
      </w:pPr>
      <w:r>
        <w:rPr>
          <w:bCs/>
          <w:b/>
        </w:rPr>
        <w:t xml:space="preserve">A03-FR-005</w:t>
      </w:r>
      <w:r>
        <w:t xml:space="preserve"> </w:t>
      </w:r>
      <w:r>
        <w:t xml:space="preserve">Human approval gates: when a pipeline reaches a HUMAN_APPROVAL node, execution pauses. A task is created in the review queue (visible in S12 Decision Pipeline Builder). The assigned reviewer (based on AC02 hierarchy) sees: full context from previous steps, the proposed decision, and options: APPROVE (continue pipeline), REJECT (terminate with reason), MODIFY (override the proposed decision and continue). Timeout: configurable per gate (default 24 hours). Escalation on timeout.</w:t>
      </w:r>
    </w:p>
    <w:p>
      <w:pPr>
        <w:pStyle w:val="BodyText"/>
      </w:pPr>
      <w:r>
        <w:rPr>
          <w:bCs/>
          <w:b/>
        </w:rPr>
        <w:t xml:space="preserve">A03-FR-006</w:t>
      </w:r>
      <w:r>
        <w:t xml:space="preserve"> </w:t>
      </w:r>
      <w:r>
        <w:t xml:space="preserve">Pipeline templates: IC01 Industry Ontology defines common pipeline templates per vertical. Retail examples:</w:t>
      </w:r>
      <w:r>
        <w:t xml:space="preserve"> </w:t>
      </w:r>
      <w:r>
        <w:t xml:space="preserve">‘</w:t>
      </w:r>
      <w:r>
        <w:t xml:space="preserve">Customer Segmentation Pipeline</w:t>
      </w:r>
      <w:r>
        <w:t xml:space="preserve">’</w:t>
      </w:r>
      <w:r>
        <w:t xml:space="preserve"> </w:t>
      </w:r>
      <w:r>
        <w:t xml:space="preserve">(feature fetch → RFM model → segment assignment → Gold write),</w:t>
      </w:r>
      <w:r>
        <w:t xml:space="preserve"> </w:t>
      </w:r>
      <w:r>
        <w:t xml:space="preserve">‘</w:t>
      </w:r>
      <w:r>
        <w:t xml:space="preserve">Markdown Recommendation Pipeline</w:t>
      </w:r>
      <w:r>
        <w:t xml:space="preserve">’</w:t>
      </w:r>
      <w:r>
        <w:t xml:space="preserve"> </w:t>
      </w:r>
      <w:r>
        <w:t xml:space="preserve">(inventory check → demand forecast → margin calculation → pricing rule → human approval for &gt;30% markdown). Templates are starting points; tenants customize parameters.</w:t>
      </w:r>
    </w:p>
    <w:bookmarkEnd w:id="212"/>
    <w:bookmarkStart w:id="213" w:name="acceptance-criteria-20"/>
    <w:p>
      <w:pPr>
        <w:pStyle w:val="Heading2"/>
      </w:pPr>
      <w:r>
        <w:t xml:space="preserve">Acceptance Criteria</w:t>
      </w:r>
    </w:p>
    <w:p>
      <w:pPr>
        <w:pStyle w:val="FirstParagraph"/>
      </w:pPr>
      <w:r>
        <w:t xml:space="preserve">A 4-step retail decision pipeline (feature fetch → churn model → conditional: if churn_risk &gt; 0.7 then retention offer → notification) executes end-to-end in &lt;5 seconds for a single customer.</w:t>
      </w:r>
    </w:p>
    <w:p>
      <w:pPr>
        <w:pStyle w:val="BodyText"/>
      </w:pPr>
      <w:r>
        <w:t xml:space="preserve">A pipeline with human approval gate pauses at the gate, creates a review task visible to the appropriate hierarchy role, and resumes within 30 seconds of approval.</w:t>
      </w:r>
    </w:p>
    <w:p>
      <w:pPr>
        <w:pStyle w:val="BodyText"/>
      </w:pPr>
      <w:r>
        <w:t xml:space="preserve">The Decision Record for a pipeline execution shows every step’s input, output, algorithm version, and duration — enabling full forensic reconstruction of the decision.</w:t>
      </w:r>
    </w:p>
    <w:bookmarkEnd w:id="213"/>
    <w:bookmarkEnd w:id="214"/>
    <w:bookmarkStart w:id="216" w:name="a04-model-lifecycle-manager"/>
    <w:p>
      <w:pPr>
        <w:pStyle w:val="Heading1"/>
      </w:pPr>
      <w:r>
        <w:t xml:space="preserve">A04 — Model Lifecycle Manager</w:t>
      </w:r>
    </w:p>
    <w:tbl>
      <w:tblPr>
        <w:tblStyle w:val="Table"/>
        <w:tblW w:type="pct" w:w="4870"/>
        <w:tblLook w:firstRow="0" w:lastRow="0" w:firstColumn="0" w:lastColumn="0" w:noHBand="0" w:noVBand="0" w:val="0000"/>
        <w:jc w:val="start"/>
      </w:tblPr>
      <w:tblGrid>
        <w:gridCol w:w="2571"/>
        <w:gridCol w:w="5142"/>
      </w:tblGrid>
      <w:t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rPr>
                <w:bCs/>
                <w:b/>
              </w:rPr>
              <w:t xml:space="preserve">Phase / Complexity</w:t>
            </w:r>
          </w:p>
        </w:tc>
        <w:tc>
          <w:tcPr/>
          <w:p>
            <w:pPr>
              <w:pStyle w:val="Compact"/>
              <w:jc w:val="left"/>
            </w:pPr>
            <w:r>
              <w:t xml:space="preserve">2 / High</w:t>
            </w:r>
          </w:p>
        </w:tc>
      </w:tr>
      <w:tr>
        <w:tc>
          <w:tcPr/>
          <w:p>
            <w:pPr>
              <w:pStyle w:val="Compact"/>
              <w:jc w:val="left"/>
            </w:pPr>
            <w:r>
              <w:rPr>
                <w:bCs/>
                <w:b/>
              </w:rPr>
              <w:t xml:space="preserve">Dependencies</w:t>
            </w:r>
          </w:p>
        </w:tc>
        <w:tc>
          <w:tcPr/>
          <w:p>
            <w:pPr>
              <w:pStyle w:val="Compact"/>
              <w:jc w:val="left"/>
            </w:pPr>
            <w:r>
              <w:t xml:space="preserve">A02, A01</w:t>
            </w:r>
          </w:p>
        </w:tc>
      </w:tr>
    </w:tbl>
    <w:bookmarkStart w:id="215" w:name="purpose-key-requirements-10"/>
    <w:p>
      <w:pPr>
        <w:pStyle w:val="Heading2"/>
      </w:pPr>
      <w:r>
        <w:t xml:space="preserve">Purpose &amp; Key Requirements</w:t>
      </w:r>
    </w:p>
    <w:p>
      <w:pPr>
        <w:pStyle w:val="FirstParagraph"/>
      </w:pPr>
      <w:r>
        <w:t xml:space="preserve">Manages the full ML model lifecycle: training pipeline orchestration, experiment tracking, model validation (accuracy + fairness + adversarial robustness), model registry with artifact storage, deployment management (shadow → canary → production), monitoring (drift detection, performance degradation), and automated retraining triggers.</w:t>
      </w:r>
    </w:p>
    <w:p>
      <w:pPr>
        <w:pStyle w:val="BodyText"/>
      </w:pPr>
      <w:r>
        <w:rPr>
          <w:bCs/>
          <w:b/>
        </w:rPr>
        <w:t xml:space="preserve">A04-FR-001</w:t>
      </w:r>
      <w:r>
        <w:t xml:space="preserve"> </w:t>
      </w:r>
      <w:r>
        <w:t xml:space="preserve">GCP implementation: Vertex AI Pipelines (Kubeflow) for training orchestration. Vertex AI Experiments for tracking. Vertex AI Model Registry for versioned artifact storage. Model artifacts stored in tenant-scoped GCS paths.</w:t>
      </w:r>
    </w:p>
    <w:p>
      <w:pPr>
        <w:pStyle w:val="BodyText"/>
      </w:pPr>
      <w:r>
        <w:rPr>
          <w:bCs/>
          <w:b/>
        </w:rPr>
        <w:t xml:space="preserve">A04-FR-002</w:t>
      </w:r>
      <w:r>
        <w:t xml:space="preserve"> </w:t>
      </w:r>
      <w:r>
        <w:t xml:space="preserve">Model drift detection: for each production model, continuously compare current prediction distribution against baseline distribution using Population Stability Index (PSI). PSI &gt; 0.1 → DRIFT_WARNING alert. PSI &gt; 0.25 → DRIFT_CRITICAL alert + automated retraining trigger.</w:t>
      </w:r>
    </w:p>
    <w:p>
      <w:pPr>
        <w:pStyle w:val="BodyText"/>
      </w:pPr>
      <w:r>
        <w:rPr>
          <w:bCs/>
          <w:b/>
        </w:rPr>
        <w:t xml:space="preserve">A04-FR-003</w:t>
      </w:r>
      <w:r>
        <w:t xml:space="preserve"> </w:t>
      </w:r>
      <w:r>
        <w:t xml:space="preserve">Fairness testing: before deployment, every model tagged significant_impact=true SHALL be evaluated for fairness across protected classes (gender, age group, geography). Disparate impact ratio must be between 0.8 and 1.25 (four-fifths rule). Models failing fairness are blocked from production.</w:t>
      </w:r>
    </w:p>
    <w:p>
      <w:pPr>
        <w:pStyle w:val="BodyText"/>
      </w:pPr>
      <w:r>
        <w:rPr>
          <w:bCs/>
          <w:b/>
        </w:rPr>
        <w:t xml:space="preserve">A04-FR-004</w:t>
      </w:r>
      <w:r>
        <w:t xml:space="preserve"> </w:t>
      </w:r>
      <w:r>
        <w:t xml:space="preserve">Model retraining triggers: (a) scheduled (monthly/quarterly), (b) drift-triggered (PSI threshold), (c) schema-triggered (F05 flags affected features), (d) manual (Algorithm Manager initiates). Retraining uses the latest Feature Store data with point-in-time correctness (A01).</w:t>
      </w:r>
    </w:p>
    <w:p>
      <w:pPr>
        <w:pStyle w:val="BodyText"/>
      </w:pPr>
      <w:r>
        <w:rPr>
          <w:bCs/>
          <w:b/>
        </w:rPr>
        <w:t xml:space="preserve">A04-FR-005</w:t>
      </w:r>
      <w:r>
        <w:t xml:space="preserve"> </w:t>
      </w:r>
      <w:r>
        <w:t xml:space="preserve">Model comparison report: when a new model version is trained, automatically compare against current production version on: accuracy metrics, fairness metrics, latency, resource consumption. Report surfaces in S13 Model Performance Monitor.</w:t>
      </w:r>
    </w:p>
    <w:bookmarkEnd w:id="215"/>
    <w:bookmarkEnd w:id="216"/>
    <w:bookmarkStart w:id="218" w:name="a07-explainability-audit-service"/>
    <w:p>
      <w:pPr>
        <w:pStyle w:val="Heading1"/>
      </w:pPr>
      <w:r>
        <w:t xml:space="preserve">A07 — Explainability &amp; Audit Service</w:t>
      </w:r>
    </w:p>
    <w:tbl>
      <w:tblPr>
        <w:tblStyle w:val="Table"/>
        <w:tblW w:type="pct" w:w="4870"/>
        <w:tblLook w:firstRow="0" w:lastRow="0" w:firstColumn="0" w:lastColumn="0" w:noHBand="0" w:noVBand="0" w:val="0000"/>
        <w:jc w:val="start"/>
      </w:tblPr>
      <w:tblGrid>
        <w:gridCol w:w="2571"/>
        <w:gridCol w:w="5142"/>
      </w:tblGrid>
      <w:t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rPr>
                <w:bCs/>
                <w:b/>
              </w:rPr>
              <w:t xml:space="preserve">Phase / Complexity</w:t>
            </w:r>
          </w:p>
        </w:tc>
        <w:tc>
          <w:tcPr/>
          <w:p>
            <w:pPr>
              <w:pStyle w:val="Compact"/>
              <w:jc w:val="left"/>
            </w:pPr>
            <w:r>
              <w:t xml:space="preserve">2 / High</w:t>
            </w:r>
          </w:p>
        </w:tc>
      </w:tr>
      <w:tr>
        <w:tc>
          <w:tcPr/>
          <w:p>
            <w:pPr>
              <w:pStyle w:val="Compact"/>
              <w:jc w:val="left"/>
            </w:pPr>
            <w:r>
              <w:rPr>
                <w:bCs/>
                <w:b/>
              </w:rPr>
              <w:t xml:space="preserve">Dependencies</w:t>
            </w:r>
          </w:p>
        </w:tc>
        <w:tc>
          <w:tcPr/>
          <w:p>
            <w:pPr>
              <w:pStyle w:val="Compact"/>
              <w:jc w:val="left"/>
            </w:pPr>
            <w:r>
              <w:t xml:space="preserve">A02, A03, A05 (LLM Gateway)</w:t>
            </w:r>
          </w:p>
        </w:tc>
      </w:tr>
    </w:tbl>
    <w:bookmarkStart w:id="217" w:name="purpose-key-requirements-11"/>
    <w:p>
      <w:pPr>
        <w:pStyle w:val="Heading2"/>
      </w:pPr>
      <w:r>
        <w:t xml:space="preserve">Purpose &amp; Key Requirements</w:t>
      </w:r>
    </w:p>
    <w:p>
      <w:pPr>
        <w:pStyle w:val="FirstParagraph"/>
      </w:pPr>
      <w:r>
        <w:t xml:space="preserve">Every algorithmic decision is traceable, explainable, and auditable. A07 provides three levels of explanation: technical (SHAP/LIME feature importance for data scientists), business (rule-based narrative for business users), and natural language (LLM-generated plain-English explanation for Data Principals under GDPR Art 22).</w:t>
      </w:r>
    </w:p>
    <w:p>
      <w:pPr>
        <w:pStyle w:val="BodyText"/>
      </w:pPr>
      <w:r>
        <w:rPr>
          <w:bCs/>
          <w:b/>
        </w:rPr>
        <w:t xml:space="preserve">A07-FR-001</w:t>
      </w:r>
      <w:r>
        <w:t xml:space="preserve"> </w:t>
      </w:r>
      <w:r>
        <w:t xml:space="preserve">For every decision logged by A03, A07 SHALL generate: (a) Feature importance: top 5 features that influenced the decision, with their values and contribution weights (SHAP values for ML models, rule match details for rule-based decisions). (b) Counterfactual: the minimum change to input features that would have changed the outcome (</w:t>
      </w:r>
      <w:r>
        <w:t xml:space="preserve">‘</w:t>
      </w:r>
      <w:r>
        <w:t xml:space="preserve">if purchase_frequency were 5 instead of 2, the customer would not be classified as at-risk</w:t>
      </w:r>
      <w:r>
        <w:t xml:space="preserve">’</w:t>
      </w:r>
      <w:r>
        <w:t xml:space="preserve">). (c) Natural language explanation: LLM-generated summary (via A05) in the tenant’s configured language. Template:</w:t>
      </w:r>
      <w:r>
        <w:t xml:space="preserve"> </w:t>
      </w:r>
      <w:r>
        <w:t xml:space="preserve">‘</w:t>
      </w:r>
      <w:r>
        <w:t xml:space="preserve">This customer was classified as [segment] because [top 3 reasons in plain language].</w:t>
      </w:r>
      <w:r>
        <w:t xml:space="preserve">’</w:t>
      </w:r>
    </w:p>
    <w:p>
      <w:pPr>
        <w:pStyle w:val="BodyText"/>
      </w:pPr>
      <w:r>
        <w:rPr>
          <w:bCs/>
          <w:b/>
        </w:rPr>
        <w:t xml:space="preserve">A07-FR-002</w:t>
      </w:r>
      <w:r>
        <w:t xml:space="preserve"> </w:t>
      </w:r>
      <w:r>
        <w:t xml:space="preserve">Decision Log (BigQuery): queryable archive of all decisions with full input/output, algorithm version, feature values, explanation, and timestamp. Retained for 7 years (regulatory audit requirement). Accessible via S20 Audit &amp; Activity Log.</w:t>
      </w:r>
    </w:p>
    <w:p>
      <w:pPr>
        <w:pStyle w:val="BodyText"/>
      </w:pPr>
      <w:r>
        <w:rPr>
          <w:bCs/>
          <w:b/>
        </w:rPr>
        <w:t xml:space="preserve">A07-FR-003</w:t>
      </w:r>
      <w:r>
        <w:t xml:space="preserve"> </w:t>
      </w:r>
      <w:r>
        <w:t xml:space="preserve">For algorithms tagged significant_impact=true, the explanation SHALL be accessible to the Data Principal via PR02 Data Principal Portal. The Portal shows: decision made, date, explanation in natural language, and a</w:t>
      </w:r>
      <w:r>
        <w:t xml:space="preserve"> </w:t>
      </w:r>
      <w:r>
        <w:t xml:space="preserve">‘</w:t>
      </w:r>
      <w:r>
        <w:t xml:space="preserve">Contest This Decision</w:t>
      </w:r>
      <w:r>
        <w:t xml:space="preserve">’</w:t>
      </w:r>
      <w:r>
        <w:t xml:space="preserve"> </w:t>
      </w:r>
      <w:r>
        <w:t xml:space="preserve">button.</w:t>
      </w:r>
    </w:p>
    <w:p>
      <w:pPr>
        <w:pStyle w:val="BodyText"/>
      </w:pPr>
      <w:r>
        <w:rPr>
          <w:bCs/>
          <w:b/>
        </w:rPr>
        <w:t xml:space="preserve">A07-FR-004</w:t>
      </w:r>
      <w:r>
        <w:t xml:space="preserve"> </w:t>
      </w:r>
      <w:r>
        <w:t xml:space="preserve">Decision pattern analysis: aggregate analysis of decisions over time. Detect systematic biases (</w:t>
      </w:r>
      <w:r>
        <w:t xml:space="preserve">‘</w:t>
      </w:r>
      <w:r>
        <w:t xml:space="preserve">churn model consistently predicts higher risk for customers in Region X — is this data bias or legitimate pattern?</w:t>
      </w:r>
      <w:r>
        <w:t xml:space="preserve">’</w:t>
      </w:r>
      <w:r>
        <w:t xml:space="preserve">). Surface in S13 and A04 fairness monitoring.</w:t>
      </w:r>
    </w:p>
    <w:bookmarkEnd w:id="217"/>
    <w:bookmarkEnd w:id="218"/>
    <w:bookmarkStart w:id="220" w:name="e01-embedding-pipeline"/>
    <w:p>
      <w:pPr>
        <w:pStyle w:val="Heading1"/>
      </w:pPr>
      <w:r>
        <w:t xml:space="preserve">E01 — Embedding Pipeline</w:t>
      </w:r>
    </w:p>
    <w:tbl>
      <w:tblPr>
        <w:tblStyle w:val="Table"/>
        <w:tblW w:type="pct" w:w="4870"/>
        <w:tblLook w:firstRow="0" w:lastRow="0" w:firstColumn="0" w:lastColumn="0" w:noHBand="0" w:noVBand="0" w:val="0000"/>
        <w:jc w:val="start"/>
      </w:tblPr>
      <w:tblGrid>
        <w:gridCol w:w="2571"/>
        <w:gridCol w:w="5142"/>
      </w:tblGrid>
      <w:t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rPr>
                <w:bCs/>
                <w:b/>
              </w:rPr>
              <w:t xml:space="preserve">Phase / Complexity</w:t>
            </w:r>
          </w:p>
        </w:tc>
        <w:tc>
          <w:tcPr/>
          <w:p>
            <w:pPr>
              <w:pStyle w:val="Compact"/>
              <w:jc w:val="left"/>
            </w:pPr>
            <w:r>
              <w:t xml:space="preserve">2 / High</w:t>
            </w:r>
          </w:p>
        </w:tc>
      </w:tr>
    </w:tbl>
    <w:bookmarkStart w:id="219" w:name="purpose-key-requirements-12"/>
    <w:p>
      <w:pPr>
        <w:pStyle w:val="Heading2"/>
      </w:pPr>
      <w:r>
        <w:t xml:space="preserve">Purpose &amp; Key Requirements</w:t>
      </w:r>
    </w:p>
    <w:p>
      <w:pPr>
        <w:pStyle w:val="FirstParagraph"/>
      </w:pPr>
      <w:r>
        <w:t xml:space="preserve">Generates dense vector representations (embeddings) for all data modalities: text (product descriptions, customer reviews, support tickets), images (product images, store photos), structured data (customer attribute vectors), and eventually audio/video (Phase 3). Embeddings enable semantic search (E02), recommendation, clustering, and cross-modal correlation (S02).</w:t>
      </w:r>
    </w:p>
    <w:p>
      <w:pPr>
        <w:pStyle w:val="BodyText"/>
      </w:pPr>
      <w:r>
        <w:rPr>
          <w:bCs/>
          <w:b/>
        </w:rPr>
        <w:t xml:space="preserve">E01-FR-001</w:t>
      </w:r>
      <w:r>
        <w:t xml:space="preserve"> </w:t>
      </w:r>
      <w:r>
        <w:t xml:space="preserve">Per-modality embedding models: Text → sentence-transformers (e5-large or multilingual-e5 for Hindi/English). Images → CLIP ViT-B/32. Structured data → learned embeddings from entity attributes (autoencoder trained per tenant). Models run on GKE GPU nodes.</w:t>
      </w:r>
    </w:p>
    <w:p>
      <w:pPr>
        <w:pStyle w:val="BodyText"/>
      </w:pPr>
      <w:r>
        <w:rPr>
          <w:bCs/>
          <w:b/>
        </w:rPr>
        <w:t xml:space="preserve">E01-FR-002</w:t>
      </w:r>
      <w:r>
        <w:t xml:space="preserve"> </w:t>
      </w:r>
      <w:r>
        <w:t xml:space="preserve">Embedding storage: pgvector extension on Cloud SQL (Phase 2). Tenant-scoped with metadata filtering. ANN index (IVFFlat or HNSW) per tenant. Embedding dimension: 768 for text/image (CLIP/e5), configurable for structured.</w:t>
      </w:r>
    </w:p>
    <w:p>
      <w:pPr>
        <w:pStyle w:val="BodyText"/>
      </w:pPr>
      <w:r>
        <w:rPr>
          <w:bCs/>
          <w:b/>
        </w:rPr>
        <w:t xml:space="preserve">E01-FR-003</w:t>
      </w:r>
      <w:r>
        <w:t xml:space="preserve"> </w:t>
      </w:r>
      <w:r>
        <w:t xml:space="preserve">Embedding versioning: when the embedding model is upgraded, all existing embeddings become stale. E01 SHALL run a re-embedding pipeline on historical data, maintain dual indices during transition, and switch to the new index once &gt;95% of entities are re-embedded.</w:t>
      </w:r>
    </w:p>
    <w:p>
      <w:pPr>
        <w:pStyle w:val="BodyText"/>
      </w:pPr>
      <w:r>
        <w:rPr>
          <w:bCs/>
          <w:b/>
        </w:rPr>
        <w:t xml:space="preserve">E01-FR-004</w:t>
      </w:r>
      <w:r>
        <w:t xml:space="preserve"> </w:t>
      </w:r>
      <w:r>
        <w:t xml:space="preserve">Batch + streaming: new entities trigger embedding computation via Pub/Sub event. Historical entities are embedded via scheduled Dataflow batch job. Both paths write to the same pgvector store.</w:t>
      </w:r>
    </w:p>
    <w:p>
      <w:pPr>
        <w:pStyle w:val="BodyText"/>
      </w:pPr>
      <w:r>
        <w:rPr>
          <w:bCs/>
          <w:b/>
        </w:rPr>
        <w:t xml:space="preserve">E01-FR-005</w:t>
      </w:r>
      <w:r>
        <w:t xml:space="preserve"> </w:t>
      </w:r>
      <w:r>
        <w:t xml:space="preserve">Privacy: embeddings of personal data (face, voice) are classified as personal data themselves and subject to AC03 consent, PR06 retention, and erasure cascade. Embedding deletion by entity_id must be supported.</w:t>
      </w:r>
    </w:p>
    <w:bookmarkEnd w:id="219"/>
    <w:bookmarkEnd w:id="220"/>
    <w:bookmarkStart w:id="222" w:name="g03-document-understanding-pipeline"/>
    <w:p>
      <w:pPr>
        <w:pStyle w:val="Heading1"/>
      </w:pPr>
      <w:r>
        <w:t xml:space="preserve">G03 — Document Understanding Pipeline</w:t>
      </w:r>
    </w:p>
    <w:tbl>
      <w:tblPr>
        <w:tblStyle w:val="Table"/>
        <w:tblW w:type="pct" w:w="4870"/>
        <w:tblLook w:firstRow="0" w:lastRow="0" w:firstColumn="0" w:lastColumn="0" w:noHBand="0" w:noVBand="0" w:val="0000"/>
        <w:jc w:val="start"/>
      </w:tblPr>
      <w:tblGrid>
        <w:gridCol w:w="2571"/>
        <w:gridCol w:w="5142"/>
      </w:tblGrid>
      <w:t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rPr>
                <w:bCs/>
                <w:b/>
              </w:rPr>
              <w:t xml:space="preserve">Phase / Complexity</w:t>
            </w:r>
          </w:p>
        </w:tc>
        <w:tc>
          <w:tcPr/>
          <w:p>
            <w:pPr>
              <w:pStyle w:val="Compact"/>
              <w:jc w:val="left"/>
            </w:pPr>
            <w:r>
              <w:t xml:space="preserve">2 / Medium</w:t>
            </w:r>
          </w:p>
        </w:tc>
      </w:tr>
    </w:tbl>
    <w:bookmarkStart w:id="221" w:name="purpose-key-requirements-13"/>
    <w:p>
      <w:pPr>
        <w:pStyle w:val="Heading2"/>
      </w:pPr>
      <w:r>
        <w:t xml:space="preserve">Purpose &amp; Key Requirements</w:t>
      </w:r>
    </w:p>
    <w:p>
      <w:pPr>
        <w:pStyle w:val="FirstParagraph"/>
      </w:pPr>
      <w:r>
        <w:t xml:space="preserve">Processes uploaded documents (PDFs, invoices, forms, images of text) into structured canonical data. Uses OCR for scanned documents, layout analysis for forms and tables, entity extraction (NER) for unstructured text, and multimodal LLM for complex document understanding.</w:t>
      </w:r>
    </w:p>
    <w:p>
      <w:pPr>
        <w:pStyle w:val="BodyText"/>
      </w:pPr>
      <w:r>
        <w:rPr>
          <w:bCs/>
          <w:b/>
        </w:rPr>
        <w:t xml:space="preserve">G03-FR-001</w:t>
      </w:r>
      <w:r>
        <w:t xml:space="preserve"> </w:t>
      </w:r>
      <w:r>
        <w:t xml:space="preserve">Processing pipeline: Document upload (G01) → format detection (PDF/image/HTML) → OCR if scanned (Cloud Vision API) → layout analysis (table/form detection) → text extraction → PII detection and masking (A05 LLM with PII guardrails) → entity extraction (NER) → canonical mapping (D02) → Silver write.</w:t>
      </w:r>
    </w:p>
    <w:p>
      <w:pPr>
        <w:pStyle w:val="BodyText"/>
      </w:pPr>
      <w:r>
        <w:rPr>
          <w:bCs/>
          <w:b/>
        </w:rPr>
        <w:t xml:space="preserve">G03-FR-002</w:t>
      </w:r>
      <w:r>
        <w:t xml:space="preserve"> </w:t>
      </w:r>
      <w:r>
        <w:t xml:space="preserve">Template learning: for recurring document types (monthly inventory reports, supplier invoices), the system SHALL learn the document layout from 3-5 examples and auto-extract fields from subsequent documents without manual mapping.</w:t>
      </w:r>
    </w:p>
    <w:p>
      <w:pPr>
        <w:pStyle w:val="BodyText"/>
      </w:pPr>
      <w:r>
        <w:rPr>
          <w:bCs/>
          <w:b/>
        </w:rPr>
        <w:t xml:space="preserve">G03-FR-003</w:t>
      </w:r>
      <w:r>
        <w:t xml:space="preserve"> </w:t>
      </w:r>
      <w:r>
        <w:t xml:space="preserve">Confidence scoring: each extracted field carries a confidence score (0-1). Fields below 0.8 confidence are flagged for human review (FB01 HITL).</w:t>
      </w:r>
    </w:p>
    <w:bookmarkEnd w:id="221"/>
    <w:bookmarkEnd w:id="222"/>
    <w:bookmarkStart w:id="224" w:name="g06-iot-sensor-stream-pipeline"/>
    <w:p>
      <w:pPr>
        <w:pStyle w:val="Heading1"/>
      </w:pPr>
      <w:r>
        <w:t xml:space="preserve">G06 — IoT / Sensor Stream Pipeline</w:t>
      </w:r>
    </w:p>
    <w:tbl>
      <w:tblPr>
        <w:tblStyle w:val="Table"/>
        <w:tblW w:type="pct" w:w="4870"/>
        <w:tblLook w:firstRow="0" w:lastRow="0" w:firstColumn="0" w:lastColumn="0" w:noHBand="0" w:noVBand="0" w:val="0000"/>
        <w:jc w:val="start"/>
      </w:tblPr>
      <w:tblGrid>
        <w:gridCol w:w="2571"/>
        <w:gridCol w:w="5142"/>
      </w:tblGrid>
      <w:t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rPr>
                <w:bCs/>
                <w:b/>
              </w:rPr>
              <w:t xml:space="preserve">Phase / Complexity</w:t>
            </w:r>
          </w:p>
        </w:tc>
        <w:tc>
          <w:tcPr/>
          <w:p>
            <w:pPr>
              <w:pStyle w:val="Compact"/>
              <w:jc w:val="left"/>
            </w:pPr>
            <w:r>
              <w:t xml:space="preserve">2 / High</w:t>
            </w:r>
          </w:p>
        </w:tc>
      </w:tr>
    </w:tbl>
    <w:bookmarkStart w:id="223" w:name="purpose-key-requirements-14"/>
    <w:p>
      <w:pPr>
        <w:pStyle w:val="Heading2"/>
      </w:pPr>
      <w:r>
        <w:t xml:space="preserve">Purpose &amp; Key Requirements</w:t>
      </w:r>
    </w:p>
    <w:p>
      <w:pPr>
        <w:pStyle w:val="FirstParagraph"/>
      </w:pPr>
      <w:r>
        <w:t xml:space="preserve">Real-time ingestion and processing for IoT devices: temperature sensors (cold storage), GPS trackers (fleet), environmental sensors (retail stores), energy meters. Converts raw sensor streams into canonical Observations (D01) with anomaly detection at ingestion.</w:t>
      </w:r>
    </w:p>
    <w:p>
      <w:pPr>
        <w:pStyle w:val="BodyText"/>
      </w:pPr>
      <w:r>
        <w:rPr>
          <w:bCs/>
          <w:b/>
        </w:rPr>
        <w:t xml:space="preserve">G06-FR-001</w:t>
      </w:r>
      <w:r>
        <w:t xml:space="preserve"> </w:t>
      </w:r>
      <w:r>
        <w:t xml:space="preserve">Ingestion: MQTT broker on GKE (or Pub/Sub MQTT bridge) → Pub/Sub topic → Dataflow streaming job. Supports protocols: MQTT 3.1.1/5.0, HTTP POST, CoAP.</w:t>
      </w:r>
    </w:p>
    <w:p>
      <w:pPr>
        <w:pStyle w:val="BodyText"/>
      </w:pPr>
      <w:r>
        <w:rPr>
          <w:bCs/>
          <w:b/>
        </w:rPr>
        <w:t xml:space="preserve">G06-FR-002</w:t>
      </w:r>
      <w:r>
        <w:t xml:space="preserve"> </w:t>
      </w:r>
      <w:r>
        <w:t xml:space="preserve">Time-series normalization: resample irregular sensor data to configurable intervals (1-second, 1-minute, 5-minute). Interpolate missing values (linear, last-known-value, or configurable). Store normalized data in TimescaleDB.</w:t>
      </w:r>
    </w:p>
    <w:p>
      <w:pPr>
        <w:pStyle w:val="BodyText"/>
      </w:pPr>
      <w:r>
        <w:rPr>
          <w:bCs/>
          <w:b/>
        </w:rPr>
        <w:t xml:space="preserve">G06-FR-003</w:t>
      </w:r>
      <w:r>
        <w:t xml:space="preserve"> </w:t>
      </w:r>
      <w:r>
        <w:t xml:space="preserve">Real-time anomaly detection: configurable threshold alerts (temperature &gt; 8°C in cold storage), statistical anomaly detection (z-score &gt; 3 from rolling mean), and pattern-based detection (rate of change exceeds threshold). Anomalies trigger O02 alerts immediately.</w:t>
      </w:r>
    </w:p>
    <w:p>
      <w:pPr>
        <w:pStyle w:val="BodyText"/>
      </w:pPr>
      <w:r>
        <w:rPr>
          <w:bCs/>
          <w:b/>
        </w:rPr>
        <w:t xml:space="preserve">G06-FR-004</w:t>
      </w:r>
      <w:r>
        <w:t xml:space="preserve"> </w:t>
      </w:r>
      <w:r>
        <w:t xml:space="preserve">Continuous aggregates: automatically maintain downsampled views (1-min → 1-hour → 1-day) for historical dashboards. Raw data retained per PR06 retention policy; aggregated data retained indefinitely.</w:t>
      </w:r>
    </w:p>
    <w:bookmarkEnd w:id="223"/>
    <w:bookmarkEnd w:id="224"/>
    <w:bookmarkStart w:id="226" w:name="ed02-edge-data-buffer-sync"/>
    <w:p>
      <w:pPr>
        <w:pStyle w:val="Heading1"/>
      </w:pPr>
      <w:r>
        <w:t xml:space="preserve">ED02 — Edge Data Buffer &amp; Sync</w:t>
      </w:r>
    </w:p>
    <w:tbl>
      <w:tblPr>
        <w:tblStyle w:val="Table"/>
        <w:tblW w:type="pct" w:w="4870"/>
        <w:tblLook w:firstRow="0" w:lastRow="0" w:firstColumn="0" w:lastColumn="0" w:noHBand="0" w:noVBand="0" w:val="0000"/>
        <w:jc w:val="start"/>
      </w:tblPr>
      <w:tblGrid>
        <w:gridCol w:w="2571"/>
        <w:gridCol w:w="5142"/>
      </w:tblGrid>
      <w:t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rPr>
                <w:bCs/>
                <w:b/>
              </w:rPr>
              <w:t xml:space="preserve">Phase / Complexity</w:t>
            </w:r>
          </w:p>
        </w:tc>
        <w:tc>
          <w:tcPr/>
          <w:p>
            <w:pPr>
              <w:pStyle w:val="Compact"/>
              <w:jc w:val="left"/>
            </w:pPr>
            <w:r>
              <w:t xml:space="preserve">2 / Medium</w:t>
            </w:r>
          </w:p>
        </w:tc>
      </w:tr>
    </w:tbl>
    <w:bookmarkStart w:id="225" w:name="purpose-key-requirements-15"/>
    <w:p>
      <w:pPr>
        <w:pStyle w:val="Heading2"/>
      </w:pPr>
      <w:r>
        <w:t xml:space="preserve">Purpose &amp; Key Requirements</w:t>
      </w:r>
    </w:p>
    <w:p>
      <w:pPr>
        <w:pStyle w:val="FirstParagraph"/>
      </w:pPr>
      <w:r>
        <w:t xml:space="preserve">Local data storage on edge devices when connectivity is unavailable. Buffers observations, inference results, and telemetry locally, then synchronizes to the cloud Bronze layer when connectivity resumes. Handles conflict resolution for overlapping observations.</w:t>
      </w:r>
    </w:p>
    <w:p>
      <w:pPr>
        <w:pStyle w:val="BodyText"/>
      </w:pPr>
      <w:r>
        <w:rPr>
          <w:bCs/>
          <w:b/>
        </w:rPr>
        <w:t xml:space="preserve">ED02-FR-001</w:t>
      </w:r>
      <w:r>
        <w:t xml:space="preserve"> </w:t>
      </w:r>
      <w:r>
        <w:t xml:space="preserve">Local buffer: append-only SQLite database on edge device. Stores: observation records (sensor readings, CV events), inference results (model predictions with input snapshots), device telemetry (health metrics). Buffer capacity: configurable per device (default: 72 hours at expected data rate).</w:t>
      </w:r>
    </w:p>
    <w:p>
      <w:pPr>
        <w:pStyle w:val="BodyText"/>
      </w:pPr>
      <w:r>
        <w:rPr>
          <w:bCs/>
          <w:b/>
        </w:rPr>
        <w:t xml:space="preserve">ED02-FR-002</w:t>
      </w:r>
      <w:r>
        <w:t xml:space="preserve"> </w:t>
      </w:r>
      <w:r>
        <w:t xml:space="preserve">Sync protocol: on connectivity, device initiates sync: (a) authenticate with cloud (mTLS), (b) upload buffered records in chronological order, (c) cloud confirms receipt per-batch, (d) device marks confirmed batches as synced, (e) synced batches deleted from local buffer after 24-hour grace period.</w:t>
      </w:r>
    </w:p>
    <w:p>
      <w:pPr>
        <w:pStyle w:val="BodyText"/>
      </w:pPr>
      <w:r>
        <w:rPr>
          <w:bCs/>
          <w:b/>
        </w:rPr>
        <w:t xml:space="preserve">ED02-FR-003</w:t>
      </w:r>
      <w:r>
        <w:t xml:space="preserve"> </w:t>
      </w:r>
      <w:r>
        <w:t xml:space="preserve">Conflict resolution: if cloud already has data for the same timestamp+sensor (e.g., from a redundant sensor), the system SHALL keep the higher-confidence reading and log the conflict.</w:t>
      </w:r>
    </w:p>
    <w:p>
      <w:pPr>
        <w:pStyle w:val="BodyText"/>
      </w:pPr>
      <w:r>
        <w:rPr>
          <w:bCs/>
          <w:b/>
        </w:rPr>
        <w:t xml:space="preserve">ED02-FR-004</w:t>
      </w:r>
      <w:r>
        <w:t xml:space="preserve"> </w:t>
      </w:r>
      <w:r>
        <w:t xml:space="preserve">Buffer overflow policy: when local buffer reaches 90% capacity: alert device manager (ED01). At 100%: configurable policy per device type: OVERWRITE_OLDEST (circular buffer), SAMPLE (keep every Nth record), STOP_CAPTURE (halt data collection, preserve existing buffer).</w:t>
      </w:r>
    </w:p>
    <w:bookmarkEnd w:id="225"/>
    <w:bookmarkEnd w:id="226"/>
    <w:bookmarkStart w:id="228" w:name="fb01-human-in-the-loop-framework"/>
    <w:p>
      <w:pPr>
        <w:pStyle w:val="Heading1"/>
      </w:pPr>
      <w:r>
        <w:t xml:space="preserve">FB01 — Human-in-the-Loop Framework</w:t>
      </w:r>
    </w:p>
    <w:tbl>
      <w:tblPr>
        <w:tblStyle w:val="Table"/>
        <w:tblW w:type="pct" w:w="4870"/>
        <w:tblLook w:firstRow="0" w:lastRow="0" w:firstColumn="0" w:lastColumn="0" w:noHBand="0" w:noVBand="0" w:val="0000"/>
        <w:jc w:val="start"/>
      </w:tblPr>
      <w:tblGrid>
        <w:gridCol w:w="2571"/>
        <w:gridCol w:w="5142"/>
      </w:tblGrid>
      <w:t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rPr>
                <w:bCs/>
                <w:b/>
              </w:rPr>
              <w:t xml:space="preserve">Phase / Complexity</w:t>
            </w:r>
          </w:p>
        </w:tc>
        <w:tc>
          <w:tcPr/>
          <w:p>
            <w:pPr>
              <w:pStyle w:val="Compact"/>
              <w:jc w:val="left"/>
            </w:pPr>
            <w:r>
              <w:t xml:space="preserve">2 / Medium</w:t>
            </w:r>
          </w:p>
        </w:tc>
      </w:tr>
    </w:tbl>
    <w:bookmarkStart w:id="227" w:name="purpose-key-requirements-16"/>
    <w:p>
      <w:pPr>
        <w:pStyle w:val="Heading2"/>
      </w:pPr>
      <w:r>
        <w:t xml:space="preserve">Purpose &amp; Key Requirements</w:t>
      </w:r>
    </w:p>
    <w:p>
      <w:pPr>
        <w:pStyle w:val="FirstParagraph"/>
      </w:pPr>
      <w:r>
        <w:t xml:space="preserve">Structured workflows for human review of: entity resolution conflicts (I01 quarantine queue), low-confidence document extractions (G03), algorithm outputs below confidence threshold, data quality issues, and decision pipeline approval gates (A03). Each review queue is tenant-isolated and priority-ranked by downstream impact.</w:t>
      </w:r>
    </w:p>
    <w:p>
      <w:pPr>
        <w:pStyle w:val="BodyText"/>
      </w:pPr>
      <w:r>
        <w:rPr>
          <w:bCs/>
          <w:b/>
        </w:rPr>
        <w:t xml:space="preserve">FB01-FR-001</w:t>
      </w:r>
      <w:r>
        <w:t xml:space="preserve"> </w:t>
      </w:r>
      <w:r>
        <w:t xml:space="preserve">Review queue structure: queue_id, queue_type (ENTITY_RESOLUTION, DOCUMENT_EXTRACTION, ALGORITHM_OUTPUT, DATA_QUALITY, DECISION_APPROVAL), tenant_id, items sorted by priority_score (computed from downstream impact — a merge affecting a high-value customer is higher priority than one affecting a one-time visitor).</w:t>
      </w:r>
    </w:p>
    <w:p>
      <w:pPr>
        <w:pStyle w:val="BodyText"/>
      </w:pPr>
      <w:r>
        <w:rPr>
          <w:bCs/>
          <w:b/>
        </w:rPr>
        <w:t xml:space="preserve">FB01-FR-002</w:t>
      </w:r>
      <w:r>
        <w:t xml:space="preserve"> </w:t>
      </w:r>
      <w:r>
        <w:t xml:space="preserve">Review actions per queue type: ENTITY_RESOLUTION → merge/split/confirm. DOCUMENT_EXTRACTION → confirm/correct extracted values. ALGORITHM_OUTPUT → accept/reject/override prediction. DATA_QUALITY → acknowledge/create fix ticket. DECISION_APPROVAL → approve/reject/modify.</w:t>
      </w:r>
    </w:p>
    <w:p>
      <w:pPr>
        <w:pStyle w:val="BodyText"/>
      </w:pPr>
      <w:r>
        <w:rPr>
          <w:bCs/>
          <w:b/>
        </w:rPr>
        <w:t xml:space="preserve">FB01-FR-003</w:t>
      </w:r>
      <w:r>
        <w:t xml:space="preserve"> </w:t>
      </w:r>
      <w:r>
        <w:t xml:space="preserve">Active learning integration: human judgments SHALL feed back into model improvement. For document extraction: corrected extractions become training examples for template learning (G03). For entity resolution: confirmed/rejected matches improve I01 signal weights over time (tenant-scoped learning). For algorithm outputs: overridden predictions become retraining ground truth.</w:t>
      </w:r>
    </w:p>
    <w:p>
      <w:pPr>
        <w:pStyle w:val="BodyText"/>
      </w:pPr>
      <w:r>
        <w:rPr>
          <w:bCs/>
          <w:b/>
        </w:rPr>
        <w:t xml:space="preserve">FB01-FR-004</w:t>
      </w:r>
      <w:r>
        <w:t xml:space="preserve"> </w:t>
      </w:r>
      <w:r>
        <w:t xml:space="preserve">SLA tracking: each review item has a deadline based on priority. SLA breaches trigger escalation up the hierarchy (AC02). Dashboard shows: queue depth, average review time, SLA compliance rate, reviewer productivity metrics.</w:t>
      </w:r>
    </w:p>
    <w:bookmarkEnd w:id="227"/>
    <w:bookmarkEnd w:id="228"/>
    <w:bookmarkStart w:id="230" w:name="o02-notification-alert-engine"/>
    <w:p>
      <w:pPr>
        <w:pStyle w:val="Heading1"/>
      </w:pPr>
      <w:r>
        <w:t xml:space="preserve">O02 — Notification &amp; Alert Engine</w:t>
      </w:r>
    </w:p>
    <w:tbl>
      <w:tblPr>
        <w:tblStyle w:val="Table"/>
        <w:tblW w:type="pct" w:w="4870"/>
        <w:tblLook w:firstRow="0" w:lastRow="0" w:firstColumn="0" w:lastColumn="0" w:noHBand="0" w:noVBand="0" w:val="0000"/>
        <w:jc w:val="start"/>
      </w:tblPr>
      <w:tblGrid>
        <w:gridCol w:w="2571"/>
        <w:gridCol w:w="5142"/>
      </w:tblGrid>
      <w:t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rPr>
                <w:bCs/>
                <w:b/>
              </w:rPr>
              <w:t xml:space="preserve">Phase / Complexity</w:t>
            </w:r>
          </w:p>
        </w:tc>
        <w:tc>
          <w:tcPr/>
          <w:p>
            <w:pPr>
              <w:pStyle w:val="Compact"/>
              <w:jc w:val="left"/>
            </w:pPr>
            <w:r>
              <w:t xml:space="preserve">2 / Medium</w:t>
            </w:r>
          </w:p>
        </w:tc>
      </w:tr>
    </w:tbl>
    <w:bookmarkStart w:id="229" w:name="purpose-key-requirements-17"/>
    <w:p>
      <w:pPr>
        <w:pStyle w:val="Heading2"/>
      </w:pPr>
      <w:r>
        <w:t xml:space="preserve">Purpose &amp; Key Requirements</w:t>
      </w:r>
    </w:p>
    <w:p>
      <w:pPr>
        <w:pStyle w:val="FirstParagraph"/>
      </w:pPr>
      <w:r>
        <w:rPr>
          <w:bCs/>
          <w:b/>
        </w:rPr>
        <w:t xml:space="preserve">O02-FR-001</w:t>
      </w:r>
      <w:r>
        <w:t xml:space="preserve"> </w:t>
      </w:r>
      <w:r>
        <w:t xml:space="preserve">Alert taxonomy: THRESHOLD (KPI crosses configured boundary), ANOMALY (statistical deviation from norm), DECISION (algorithm recommendation needing approval), DATA_QUALITY (DQI score drop, schema drift, freshness SLA breach), SYSTEM (infrastructure issues), SECURITY (breach detection from PR03).</w:t>
      </w:r>
    </w:p>
    <w:p>
      <w:pPr>
        <w:pStyle w:val="BodyText"/>
      </w:pPr>
      <w:r>
        <w:rPr>
          <w:bCs/>
          <w:b/>
        </w:rPr>
        <w:t xml:space="preserve">O02-FR-002</w:t>
      </w:r>
      <w:r>
        <w:t xml:space="preserve"> </w:t>
      </w:r>
      <w:r>
        <w:t xml:space="preserve">Multi-channel delivery: email (SendGrid), SMS (Twilio), push notification (Firebase Cloud Messaging), Slack/Teams webhook, in-app notification (Admin Console). Channel selection per alert type per tenant.</w:t>
      </w:r>
    </w:p>
    <w:p>
      <w:pPr>
        <w:pStyle w:val="BodyText"/>
      </w:pPr>
      <w:r>
        <w:rPr>
          <w:bCs/>
          <w:b/>
        </w:rPr>
        <w:t xml:space="preserve">O02-FR-003</w:t>
      </w:r>
      <w:r>
        <w:t xml:space="preserve"> </w:t>
      </w:r>
      <w:r>
        <w:t xml:space="preserve">Deduplication: fingerprint each alert (hash of type + entity + context). Suppress duplicate alerts within configurable window (default 15 minutes). After window: send summary (</w:t>
      </w:r>
      <w:r>
        <w:t xml:space="preserve">‘</w:t>
      </w:r>
      <w:r>
        <w:t xml:space="preserve">Alert X fired 47 times in 15 minutes</w:t>
      </w:r>
      <w:r>
        <w:t xml:space="preserve">’</w:t>
      </w:r>
      <w:r>
        <w:t xml:space="preserve">) not 47 individual alerts.</w:t>
      </w:r>
    </w:p>
    <w:p>
      <w:pPr>
        <w:pStyle w:val="BodyText"/>
      </w:pPr>
      <w:r>
        <w:rPr>
          <w:bCs/>
          <w:b/>
        </w:rPr>
        <w:t xml:space="preserve">O02-FR-004</w:t>
      </w:r>
      <w:r>
        <w:t xml:space="preserve"> </w:t>
      </w:r>
      <w:r>
        <w:t xml:space="preserve">Escalation: if alert not acknowledged within configurable timeout (P1: 15 min, P2: 1 hour, P3: 4 hours), auto-escalate to next hierarchy level (AC02). Escalation chain configurable per tenant.</w:t>
      </w:r>
    </w:p>
    <w:p>
      <w:pPr>
        <w:pStyle w:val="BodyText"/>
      </w:pPr>
      <w:r>
        <w:rPr>
          <w:bCs/>
          <w:b/>
        </w:rPr>
        <w:t xml:space="preserve">O02-FR-005</w:t>
      </w:r>
      <w:r>
        <w:t xml:space="preserve"> </w:t>
      </w:r>
      <w:r>
        <w:t xml:space="preserve">Action triggers: optionally trigger automated actions on alert: create CRM task (via webhook), trigger algorithm re-run, send tenant webhook notification. High-stakes actions require approval gate (A03 pipeline).</w:t>
      </w:r>
    </w:p>
    <w:bookmarkEnd w:id="229"/>
    <w:bookmarkEnd w:id="230"/>
    <w:bookmarkStart w:id="232" w:name="o03-caching-materialization-manager"/>
    <w:p>
      <w:pPr>
        <w:pStyle w:val="Heading1"/>
      </w:pPr>
      <w:r>
        <w:t xml:space="preserve">O03 — Caching &amp; Materialization Manager</w:t>
      </w:r>
    </w:p>
    <w:tbl>
      <w:tblPr>
        <w:tblStyle w:val="Table"/>
        <w:tblW w:type="pct" w:w="4870"/>
        <w:tblLook w:firstRow="0" w:lastRow="0" w:firstColumn="0" w:lastColumn="0" w:noHBand="0" w:noVBand="0" w:val="0000"/>
        <w:jc w:val="start"/>
      </w:tblPr>
      <w:tblGrid>
        <w:gridCol w:w="2571"/>
        <w:gridCol w:w="5142"/>
      </w:tblGrid>
      <w:t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rPr>
                <w:bCs/>
                <w:b/>
              </w:rPr>
              <w:t xml:space="preserve">Phase / Complexity</w:t>
            </w:r>
          </w:p>
        </w:tc>
        <w:tc>
          <w:tcPr/>
          <w:p>
            <w:pPr>
              <w:pStyle w:val="Compact"/>
              <w:jc w:val="left"/>
            </w:pPr>
            <w:r>
              <w:t xml:space="preserve">2 / Medium</w:t>
            </w:r>
          </w:p>
        </w:tc>
      </w:tr>
    </w:tbl>
    <w:bookmarkStart w:id="231" w:name="purpose-key-requirements-18"/>
    <w:p>
      <w:pPr>
        <w:pStyle w:val="Heading2"/>
      </w:pPr>
      <w:r>
        <w:t xml:space="preserve">Purpose &amp; Key Requirements</w:t>
      </w:r>
    </w:p>
    <w:p>
      <w:pPr>
        <w:pStyle w:val="FirstParagraph"/>
      </w:pPr>
      <w:r>
        <w:rPr>
          <w:bCs/>
          <w:b/>
        </w:rPr>
        <w:t xml:space="preserve">O03-FR-001</w:t>
      </w:r>
      <w:r>
        <w:t xml:space="preserve"> </w:t>
      </w:r>
      <w:r>
        <w:t xml:space="preserve">Tenant-scoped cache: every cache entry keyed by {tenant_id}:{entity_type}:{query_hash}:{freshness_ts}. Redis/Memorystore as cache layer. No cross-tenant cache leakage possible due to tenant_id in key.</w:t>
      </w:r>
    </w:p>
    <w:p>
      <w:pPr>
        <w:pStyle w:val="BodyText"/>
      </w:pPr>
      <w:r>
        <w:rPr>
          <w:bCs/>
          <w:b/>
        </w:rPr>
        <w:t xml:space="preserve">O03-FR-002</w:t>
      </w:r>
      <w:r>
        <w:t xml:space="preserve"> </w:t>
      </w:r>
      <w:r>
        <w:t xml:space="preserve">Cache invalidation triggers: (a) new data ingestion for tenant → invalidate affected entity caches, (b) configuration change (mapping, hierarchy) → invalidate all caches for affected entities, (c) TTL expiry (configurable per cache type: real-time dashboards 1 min, daily reports 1 hour, monthly reports 24 hours).</w:t>
      </w:r>
    </w:p>
    <w:p>
      <w:pPr>
        <w:pStyle w:val="BodyText"/>
      </w:pPr>
      <w:r>
        <w:rPr>
          <w:bCs/>
          <w:b/>
        </w:rPr>
        <w:t xml:space="preserve">O03-FR-003</w:t>
      </w:r>
      <w:r>
        <w:t xml:space="preserve"> </w:t>
      </w:r>
      <w:r>
        <w:t xml:space="preserve">Gold layer materialization strategy: each KPI/aggregate classified as: (a) INCREMENTAL (SUM, COUNT, AVG — can be updated with delta without full recomputation), (b) FULL_RECOMPUTE (DISTINCT_COUNT, percentiles, complex joins — must recompute from Silver layer). Incremental materialization runs on every data arrival via S01 streaming. Full recompute runs on schedule.</w:t>
      </w:r>
    </w:p>
    <w:p>
      <w:pPr>
        <w:pStyle w:val="BodyText"/>
      </w:pPr>
      <w:r>
        <w:rPr>
          <w:bCs/>
          <w:b/>
        </w:rPr>
        <w:t xml:space="preserve">O03-FR-004</w:t>
      </w:r>
      <w:r>
        <w:t xml:space="preserve"> </w:t>
      </w:r>
      <w:r>
        <w:t xml:space="preserve">Materialization monitoring: track per-KPI: last refresh time, refresh duration, staleness (time since last refresh vs. freshness SLA). Alert when staleness exceeds SLA.</w:t>
      </w:r>
    </w:p>
    <w:bookmarkEnd w:id="231"/>
    <w:bookmarkEnd w:id="232"/>
    <w:bookmarkStart w:id="236" w:name="pr02-data-principal-portal-dsar-pipeline"/>
    <w:p>
      <w:pPr>
        <w:pStyle w:val="Heading1"/>
      </w:pPr>
      <w:r>
        <w:t xml:space="preserve">PR02 — Data Principal Portal &amp; DSAR Pipeline</w:t>
      </w:r>
    </w:p>
    <w:tbl>
      <w:tblPr>
        <w:tblStyle w:val="Table"/>
        <w:tblW w:type="pct" w:w="4870"/>
        <w:tblLook w:firstRow="0" w:lastRow="0" w:firstColumn="0" w:lastColumn="0" w:noHBand="0" w:noVBand="0" w:val="0000"/>
        <w:jc w:val="start"/>
      </w:tblPr>
      <w:tblGrid>
        <w:gridCol w:w="2571"/>
        <w:gridCol w:w="5142"/>
      </w:tblGrid>
      <w:t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rPr>
                <w:bCs/>
                <w:b/>
              </w:rPr>
              <w:t xml:space="preserve">Phase / Complexity</w:t>
            </w:r>
          </w:p>
        </w:tc>
        <w:tc>
          <w:tcPr/>
          <w:p>
            <w:pPr>
              <w:pStyle w:val="Compact"/>
              <w:jc w:val="left"/>
            </w:pPr>
            <w:r>
              <w:t xml:space="preserve">2 / High</w:t>
            </w:r>
          </w:p>
        </w:tc>
      </w:tr>
      <w:tr>
        <w:tc>
          <w:tcPr/>
          <w:p>
            <w:pPr>
              <w:pStyle w:val="Compact"/>
              <w:jc w:val="left"/>
            </w:pPr>
            <w:r>
              <w:rPr>
                <w:bCs/>
                <w:b/>
              </w:rPr>
              <w:t xml:space="preserve">Dependencies</w:t>
            </w:r>
          </w:p>
        </w:tc>
        <w:tc>
          <w:tcPr/>
          <w:p>
            <w:pPr>
              <w:pStyle w:val="Compact"/>
              <w:jc w:val="left"/>
            </w:pPr>
            <w:r>
              <w:t xml:space="preserve">I01, AC03, A07, D01, D06, PR01</w:t>
            </w:r>
          </w:p>
        </w:tc>
      </w:tr>
    </w:tbl>
    <w:bookmarkStart w:id="233" w:name="purpose-29"/>
    <w:p>
      <w:pPr>
        <w:pStyle w:val="Heading2"/>
      </w:pPr>
      <w:r>
        <w:t xml:space="preserve">Purpose</w:t>
      </w:r>
    </w:p>
    <w:p>
      <w:pPr>
        <w:pStyle w:val="FirstParagraph"/>
      </w:pPr>
      <w:r>
        <w:t xml:space="preserve">Lightweight web portal for Data Principals to exercise their DPDP/GDPR rights: view their data, request correction/erasure/portability, withdraw consent, view algorithmic decisions, and contest decisions. Includes the automated DSAR response pipeline that compiles data from all layers within the 30-day legal SLA.</w:t>
      </w:r>
    </w:p>
    <w:bookmarkEnd w:id="233"/>
    <w:bookmarkStart w:id="234" w:name="key-requirements-9"/>
    <w:p>
      <w:pPr>
        <w:pStyle w:val="Heading2"/>
      </w:pPr>
      <w:r>
        <w:t xml:space="preserve">Key Requirements</w:t>
      </w:r>
    </w:p>
    <w:p>
      <w:pPr>
        <w:pStyle w:val="FirstParagraph"/>
      </w:pPr>
      <w:r>
        <w:rPr>
          <w:bCs/>
          <w:b/>
        </w:rPr>
        <w:t xml:space="preserve">PR02-FR-001</w:t>
      </w:r>
      <w:r>
        <w:t xml:space="preserve"> </w:t>
      </w:r>
      <w:r>
        <w:t xml:space="preserve">Portal authentication: Data Principal authenticates via email verification (OTP) or phone OTP. No username/password account required — the portal is purpose-limited, not a full user account. Authentication links the portal session to the entity_id in I01 SIR.</w:t>
      </w:r>
    </w:p>
    <w:p>
      <w:pPr>
        <w:pStyle w:val="BodyText"/>
      </w:pPr>
      <w:r>
        <w:rPr>
          <w:bCs/>
          <w:b/>
        </w:rPr>
        <w:t xml:space="preserve">PR02-FR-002</w:t>
      </w:r>
      <w:r>
        <w:t xml:space="preserve"> </w:t>
      </w:r>
      <w:r>
        <w:t xml:space="preserve">Data access (DPDP Sec 8, GDPR Art 15): on request, the system SHALL compile a Data Summary Report containing: (a) all personal data held about the entity across all layers (Silver canonical data, Gold aggregates that are entity-level, Feature Store features), (b) processing activities this data is involved in (from PR01 Purpose Registry), (c) sources from which data was collected (from D05 lineage), (d) recipients/sub-processors who have access (from PR05 DPA Registry), (e) retention periods per data category (from PR06). Report generated as downloadable PDF/JSON within 48 hours of request. Manual review gate for sensitive/complex cases.</w:t>
      </w:r>
    </w:p>
    <w:p>
      <w:pPr>
        <w:pStyle w:val="BodyText"/>
      </w:pPr>
      <w:r>
        <w:rPr>
          <w:bCs/>
          <w:b/>
        </w:rPr>
        <w:t xml:space="preserve">PR02-FR-003</w:t>
      </w:r>
      <w:r>
        <w:t xml:space="preserve"> </w:t>
      </w:r>
      <w:r>
        <w:t xml:space="preserve">Erasure request (DPDP Sec 8(5), GDPR Art 17): Data Principal requests erasure via portal. System executes the Erasure Cascade: Bronze (tombstone records), Silver/Gold (delete or anonymise), Feature Store (delete entity features), Vector DB (delete embeddings by entity_id), Knowledge Graph (delete entity node and edges), Decision Logs (anonymise — keep decision structure, remove identifying data), Edge devices (queue erasure command, confirm on next sync), Backups (add to exclusion list). Each layer confirms completion. Data Principal receives Erasure Confirmation once all layers confirm.</w:t>
      </w:r>
    </w:p>
    <w:p>
      <w:pPr>
        <w:pStyle w:val="BodyText"/>
      </w:pPr>
      <w:r>
        <w:rPr>
          <w:bCs/>
          <w:b/>
        </w:rPr>
        <w:t xml:space="preserve">PR02-FR-004</w:t>
      </w:r>
      <w:r>
        <w:t xml:space="preserve"> </w:t>
      </w:r>
      <w:r>
        <w:t xml:space="preserve">Correction request: Data Principal flags incorrect data (e.g., wrong address). Request routed to Data Steward (FB01 HITL queue). Data Steward reviews, makes correction in I01/D01, correction propagates through canonical pipeline. Data Principal notified of correction.</w:t>
      </w:r>
    </w:p>
    <w:p>
      <w:pPr>
        <w:pStyle w:val="BodyText"/>
      </w:pPr>
      <w:r>
        <w:rPr>
          <w:bCs/>
          <w:b/>
        </w:rPr>
        <w:t xml:space="preserve">PR02-FR-005</w:t>
      </w:r>
      <w:r>
        <w:t xml:space="preserve"> </w:t>
      </w:r>
      <w:r>
        <w:t xml:space="preserve">Portability request (GDPR Art 20): Data Principal requests export. System generates a machine-readable export (JSON) of all personal data in a portable format. Available for download within 48 hours.</w:t>
      </w:r>
    </w:p>
    <w:p>
      <w:pPr>
        <w:pStyle w:val="BodyText"/>
      </w:pPr>
      <w:r>
        <w:rPr>
          <w:bCs/>
          <w:b/>
        </w:rPr>
        <w:t xml:space="preserve">PR02-FR-006</w:t>
      </w:r>
      <w:r>
        <w:t xml:space="preserve"> </w:t>
      </w:r>
      <w:r>
        <w:t xml:space="preserve">Decision transparency (GDPR Art 22): Data Principal views algorithmic decisions made about them (from A07 Decision Log): decision type, date, outcome, natural language explanation (from A07), and</w:t>
      </w:r>
      <w:r>
        <w:t xml:space="preserve"> </w:t>
      </w:r>
      <w:r>
        <w:t xml:space="preserve">‘</w:t>
      </w:r>
      <w:r>
        <w:t xml:space="preserve">Contest This Decision</w:t>
      </w:r>
      <w:r>
        <w:t xml:space="preserve">’</w:t>
      </w:r>
      <w:r>
        <w:t xml:space="preserve"> </w:t>
      </w:r>
      <w:r>
        <w:t xml:space="preserve">button. Contest routes to HUMAN_APPROVAL queue (FB01) where a Data Steward or Algorithm Manager reviews the decision with full context.</w:t>
      </w:r>
    </w:p>
    <w:p>
      <w:pPr>
        <w:pStyle w:val="BodyText"/>
      </w:pPr>
      <w:r>
        <w:rPr>
          <w:bCs/>
          <w:b/>
        </w:rPr>
        <w:t xml:space="preserve">PR02-FR-007</w:t>
      </w:r>
      <w:r>
        <w:t xml:space="preserve"> </w:t>
      </w:r>
      <w:r>
        <w:t xml:space="preserve">DSAR SLA tracking: 30-day legal deadline. System tracks: request received date, current status (RECEIVED, COMPILING, REVIEW, READY, DELIVERED), days remaining. Escalation at 20 days (auto-escalate to Tenant Admin), 25 days (auto-escalate to Super Admin). Dashboard in S23.</w:t>
      </w:r>
    </w:p>
    <w:bookmarkEnd w:id="234"/>
    <w:bookmarkStart w:id="235" w:name="acceptance-criteria-21"/>
    <w:p>
      <w:pPr>
        <w:pStyle w:val="Heading2"/>
      </w:pPr>
      <w:r>
        <w:t xml:space="preserve">Acceptance Criteria</w:t>
      </w:r>
    </w:p>
    <w:p>
      <w:pPr>
        <w:pStyle w:val="FirstParagraph"/>
      </w:pPr>
      <w:r>
        <w:t xml:space="preserve">A Data Principal authenticates via email OTP, views a summary of all data held about them (personal attributes, transaction history, loyalty status, algorithm decisions), and downloads it as PDF — within 48 hours of request.</w:t>
      </w:r>
    </w:p>
    <w:p>
      <w:pPr>
        <w:pStyle w:val="BodyText"/>
      </w:pPr>
      <w:r>
        <w:t xml:space="preserve">An erasure request cascades across all 7+ data layers, each confirms deletion, and the Data Principal receives an Erasure Confirmation — all within 30 days.</w:t>
      </w:r>
    </w:p>
    <w:p>
      <w:pPr>
        <w:pStyle w:val="BodyText"/>
      </w:pPr>
      <w:r>
        <w:t xml:space="preserve">A contested decision is routed to the appropriate reviewer, who sees the full decision context including feature values and SHAP explanation, and can uphold or overturn the decision.</w:t>
      </w:r>
    </w:p>
    <w:bookmarkEnd w:id="235"/>
    <w:bookmarkEnd w:id="236"/>
    <w:bookmarkStart w:id="238" w:name="pr04-dpia-workflow-engine"/>
    <w:p>
      <w:pPr>
        <w:pStyle w:val="Heading1"/>
      </w:pPr>
      <w:r>
        <w:t xml:space="preserve">PR04 — DPIA Workflow Engine</w:t>
      </w:r>
    </w:p>
    <w:tbl>
      <w:tblPr>
        <w:tblStyle w:val="Table"/>
        <w:tblW w:type="pct" w:w="4870"/>
        <w:tblLook w:firstRow="0" w:lastRow="0" w:firstColumn="0" w:lastColumn="0" w:noHBand="0" w:noVBand="0" w:val="0000"/>
        <w:jc w:val="start"/>
      </w:tblPr>
      <w:tblGrid>
        <w:gridCol w:w="2571"/>
        <w:gridCol w:w="5142"/>
      </w:tblGrid>
      <w:t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rPr>
                <w:bCs/>
                <w:b/>
              </w:rPr>
              <w:t xml:space="preserve">Phase / Complexity</w:t>
            </w:r>
          </w:p>
        </w:tc>
        <w:tc>
          <w:tcPr/>
          <w:p>
            <w:pPr>
              <w:pStyle w:val="Compact"/>
              <w:jc w:val="left"/>
            </w:pPr>
            <w:r>
              <w:t xml:space="preserve">2 / High</w:t>
            </w:r>
          </w:p>
        </w:tc>
      </w:tr>
    </w:tbl>
    <w:bookmarkStart w:id="237" w:name="purpose-key-requirements-19"/>
    <w:p>
      <w:pPr>
        <w:pStyle w:val="Heading2"/>
      </w:pPr>
      <w:r>
        <w:t xml:space="preserve">Purpose &amp; Key Requirements</w:t>
      </w:r>
    </w:p>
    <w:p>
      <w:pPr>
        <w:pStyle w:val="FirstParagraph"/>
      </w:pPr>
      <w:r>
        <w:t xml:space="preserve">Automated Data Protection Impact Assessment for high-risk processing. Auto-triggered when: video analytics pipeline activated, profiling algorithm registered with significant_impact=true, biometric data ingested, or cross-border transfer configured.</w:t>
      </w:r>
    </w:p>
    <w:p>
      <w:pPr>
        <w:pStyle w:val="BodyText"/>
      </w:pPr>
      <w:r>
        <w:rPr>
          <w:bCs/>
          <w:b/>
        </w:rPr>
        <w:t xml:space="preserve">PR04-FR-001</w:t>
      </w:r>
      <w:r>
        <w:t xml:space="preserve"> </w:t>
      </w:r>
      <w:r>
        <w:t xml:space="preserve">Auto-trigger conditions (configurable per tenant via AC04): (a) G04/G05 video/audio pipeline activation for a tenant, (b) A02 algorithm registration where significant_impact=true, (c) data source onboarding with biometric or special-category data, (d) cross-border data transfer configuration change.</w:t>
      </w:r>
    </w:p>
    <w:p>
      <w:pPr>
        <w:pStyle w:val="BodyText"/>
      </w:pPr>
      <w:r>
        <w:rPr>
          <w:bCs/>
          <w:b/>
        </w:rPr>
        <w:t xml:space="preserve">PR04-FR-002</w:t>
      </w:r>
      <w:r>
        <w:t xml:space="preserve"> </w:t>
      </w:r>
      <w:r>
        <w:t xml:space="preserve">DPIA template auto-population: system pre-fills: processing description (from A02 algorithm registration or G04/G05 config), data types involved (from D02 canonical mapping config), purposes (from PR01), existing mitigations (from AC01/AC03/AC04 policies). Risk assessment matrix: pre-populated risk catalog with likelihood/impact scoring.</w:t>
      </w:r>
    </w:p>
    <w:p>
      <w:pPr>
        <w:pStyle w:val="BodyText"/>
      </w:pPr>
      <w:r>
        <w:rPr>
          <w:bCs/>
          <w:b/>
        </w:rPr>
        <w:t xml:space="preserve">PR04-FR-003</w:t>
      </w:r>
      <w:r>
        <w:t xml:space="preserve"> </w:t>
      </w:r>
      <w:r>
        <w:t xml:space="preserve">DPO approval workflow: DPIA draft → DPO reviews → requests additional mitigations or approves → processing activity activated. Processing CANNOT begin until DPIA is approved. Approval logged with DPO identity and rationale.</w:t>
      </w:r>
    </w:p>
    <w:p>
      <w:pPr>
        <w:pStyle w:val="BodyText"/>
      </w:pPr>
      <w:r>
        <w:rPr>
          <w:bCs/>
          <w:b/>
        </w:rPr>
        <w:t xml:space="preserve">PR04-FR-004</w:t>
      </w:r>
      <w:r>
        <w:t xml:space="preserve"> </w:t>
      </w:r>
      <w:r>
        <w:t xml:space="preserve">DPIA Registry: all completed DPIAs stored with version history. Annual review trigger (366 days after approval, DPIA flagged for re-review). Changes to the underlying processing activity trigger DPIA review.</w:t>
      </w:r>
    </w:p>
    <w:p>
      <w:pPr>
        <w:pStyle w:val="BodyText"/>
      </w:pPr>
      <w:r>
        <w:rPr>
          <w:bCs/>
          <w:b/>
        </w:rPr>
        <w:t xml:space="preserve">PHASE 3 — MULTI-MODAL INTELLIGENCE</w:t>
      </w:r>
    </w:p>
    <w:p>
      <w:pPr>
        <w:pStyle w:val="BodyText"/>
      </w:pPr>
      <w:r>
        <w:t xml:space="preserve">Phase 3 adds video and audio processing, cross-modal correlation, simulation capabilities, and decision feedback loops. This is when the platform becomes truly multi-modal — connecting visual, auditory, and transactional intelligence into a unified decision fabric.</w:t>
      </w:r>
    </w:p>
    <w:bookmarkEnd w:id="237"/>
    <w:bookmarkEnd w:id="238"/>
    <w:bookmarkStart w:id="242" w:name="g04-video-processing-pipeline"/>
    <w:p>
      <w:pPr>
        <w:pStyle w:val="Heading1"/>
      </w:pPr>
      <w:r>
        <w:t xml:space="preserve">G04 — Video Processing Pipeline</w:t>
      </w:r>
    </w:p>
    <w:tbl>
      <w:tblPr>
        <w:tblStyle w:val="Table"/>
        <w:tblW w:type="pct" w:w="4904"/>
        <w:tblLook w:firstRow="0" w:lastRow="0" w:firstColumn="0" w:lastColumn="0" w:noHBand="0" w:noVBand="0" w:val="0000"/>
        <w:jc w:val="start"/>
      </w:tblPr>
      <w:tblGrid>
        <w:gridCol w:w="1903"/>
        <w:gridCol w:w="5863"/>
      </w:tblGrid>
      <w:t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rPr>
                <w:bCs/>
                <w:b/>
              </w:rPr>
              <w:t xml:space="preserve">Phase / Complexity</w:t>
            </w:r>
          </w:p>
        </w:tc>
        <w:tc>
          <w:tcPr/>
          <w:p>
            <w:pPr>
              <w:pStyle w:val="Compact"/>
              <w:jc w:val="left"/>
            </w:pPr>
            <w:r>
              <w:t xml:space="preserve">3 / High</w:t>
            </w:r>
          </w:p>
        </w:tc>
      </w:tr>
      <w:tr>
        <w:tc>
          <w:tcPr/>
          <w:p>
            <w:pPr>
              <w:pStyle w:val="Compact"/>
              <w:jc w:val="left"/>
            </w:pPr>
            <w:r>
              <w:rPr>
                <w:bCs/>
                <w:b/>
              </w:rPr>
              <w:t xml:space="preserve">Dependencies</w:t>
            </w:r>
          </w:p>
        </w:tc>
        <w:tc>
          <w:tcPr/>
          <w:p>
            <w:pPr>
              <w:pStyle w:val="Compact"/>
              <w:jc w:val="left"/>
            </w:pPr>
            <w:r>
              <w:t xml:space="preserve">G01, I01 (SIR), E01 (Embeddings), ED01 (Edge), AC03 (Consent), PR04 (DPIA)</w:t>
            </w:r>
          </w:p>
        </w:tc>
      </w:tr>
    </w:tbl>
    <w:bookmarkStart w:id="239" w:name="purpose-30"/>
    <w:p>
      <w:pPr>
        <w:pStyle w:val="Heading2"/>
      </w:pPr>
      <w:r>
        <w:t xml:space="preserve">Purpose</w:t>
      </w:r>
    </w:p>
    <w:p>
      <w:pPr>
        <w:pStyle w:val="FirstParagraph"/>
      </w:pPr>
      <w:r>
        <w:t xml:space="preserve">Ingests, transcodes, and analyses video feeds from retail stores, warehouses, and other monitored locations. Extracts structured events from visual data: footfall counting, zone dwell time, customer demographics (age/gender estimation), product interaction detection, queue length, and optionally face recognition (consent-gated). Edge-processed for real-time, cloud-processed for deeper analytics.</w:t>
      </w:r>
    </w:p>
    <w:bookmarkEnd w:id="239"/>
    <w:bookmarkStart w:id="240" w:name="key-requirements-10"/>
    <w:p>
      <w:pPr>
        <w:pStyle w:val="Heading2"/>
      </w:pPr>
      <w:r>
        <w:t xml:space="preserve">Key Requirements</w:t>
      </w:r>
    </w:p>
    <w:p>
      <w:pPr>
        <w:pStyle w:val="FirstParagraph"/>
      </w:pPr>
      <w:r>
        <w:rPr>
          <w:bCs/>
          <w:b/>
        </w:rPr>
        <w:t xml:space="preserve">G04-FR-001</w:t>
      </w:r>
      <w:r>
        <w:t xml:space="preserve"> </w:t>
      </w:r>
      <w:r>
        <w:t xml:space="preserve">Input: RTSP streams (live cameras), uploaded video files (MP4/AVI/MOV). Transcoding to H.264 at configurable resolution (720p default, 1080p for face recognition). Frame extraction at configurable rate: 1 fps (footfall), 5 fps (zone analytics), 15 fps (action recognition).</w:t>
      </w:r>
    </w:p>
    <w:p>
      <w:pPr>
        <w:pStyle w:val="BodyText"/>
      </w:pPr>
      <w:r>
        <w:rPr>
          <w:bCs/>
          <w:b/>
        </w:rPr>
        <w:t xml:space="preserve">G04-FR-002</w:t>
      </w:r>
      <w:r>
        <w:t xml:space="preserve"> </w:t>
      </w:r>
      <w:r>
        <w:t xml:space="preserve">CV model pipeline (modular, enable per tenant/camera): (a) Person detection (YOLO v8): detect and count people in frame. Output: bounding boxes, count. (b) Person tracking (ByteTrack/DeepSORT): track individuals across frames for dwell time and path analysis. (c) Zone analytics: map person positions to predefined store zones (configured in S15 Edge Device Manager). Output: zone_id, entry_time, exit_time, dwell_seconds. (d) Demographics estimation: age range, gender (optional, consent-gated). (e) Face recognition (optional, requires biometric consent): generate face embedding (ArcFace), match against I01 SIR face_embedding signals. If match: link video event to entity_id. If no match + consent granted: create new identity signal. (f) Product interaction: detect hand reaching toward shelf, product pickup/putback (advanced — Phase 3b).</w:t>
      </w:r>
    </w:p>
    <w:p>
      <w:pPr>
        <w:pStyle w:val="BodyText"/>
      </w:pPr>
      <w:r>
        <w:rPr>
          <w:bCs/>
          <w:b/>
        </w:rPr>
        <w:t xml:space="preserve">G04-FR-003</w:t>
      </w:r>
      <w:r>
        <w:t xml:space="preserve"> </w:t>
      </w:r>
      <w:r>
        <w:t xml:space="preserve">Output: structured Events in D01 canonical format: event_type=STORE_VISIT/ZONE_ENTRY/ZONE_EXIT/PRODUCT_INTERACTION, entity_id (if identified), location_id (store + zone), timestamp, duration, confidence. Written to Silver layer via D02.</w:t>
      </w:r>
    </w:p>
    <w:p>
      <w:pPr>
        <w:pStyle w:val="BodyText"/>
      </w:pPr>
      <w:r>
        <w:rPr>
          <w:bCs/>
          <w:b/>
        </w:rPr>
        <w:t xml:space="preserve">G04-FR-004</w:t>
      </w:r>
      <w:r>
        <w:t xml:space="preserve"> </w:t>
      </w:r>
      <w:r>
        <w:t xml:space="preserve">Edge vs. cloud processing: lightweight models (person detection, counting, zone analytics) run at edge (ED01) for real-time. Heavy models (face recognition, product interaction) run in cloud on GKE GPU nodes. Edge sends structured events to cloud; raw video is NOT streamed to cloud unless explicitly configured (bandwidth consideration).</w:t>
      </w:r>
    </w:p>
    <w:p>
      <w:pPr>
        <w:pStyle w:val="BodyText"/>
      </w:pPr>
      <w:r>
        <w:rPr>
          <w:bCs/>
          <w:b/>
        </w:rPr>
        <w:t xml:space="preserve">G04-FR-005</w:t>
      </w:r>
      <w:r>
        <w:t xml:space="preserve"> </w:t>
      </w:r>
      <w:r>
        <w:t xml:space="preserve">Privacy controls: (a) Face recognition REQUIRES biometric consent per AC03. Without consent: person detection and counting still work (no identification). (b) Raw video retention: configurable per tenant (default: 72 hours, max: 30 days). Beyond retention: video deleted, only structured events retained. (c) DPIA required (PR04) before activating face recognition for any tenant. (d) Face embeddings classified as personal data: subject to erasure cascade, consent withdrawal, retention clock.</w:t>
      </w:r>
    </w:p>
    <w:p>
      <w:pPr>
        <w:pStyle w:val="BodyText"/>
      </w:pPr>
      <w:r>
        <w:rPr>
          <w:bCs/>
          <w:b/>
        </w:rPr>
        <w:t xml:space="preserve">G04-FR-006</w:t>
      </w:r>
      <w:r>
        <w:t xml:space="preserve"> </w:t>
      </w:r>
      <w:r>
        <w:t xml:space="preserve">This pipeline enables the Footfall KPI defined in D01 Gold layer. When G04 is active for a tenant, the Footfall and Conversion Rate KPIs become computable.</w:t>
      </w:r>
    </w:p>
    <w:bookmarkEnd w:id="240"/>
    <w:bookmarkStart w:id="241" w:name="acceptance-criteria-22"/>
    <w:p>
      <w:pPr>
        <w:pStyle w:val="Heading2"/>
      </w:pPr>
      <w:r>
        <w:t xml:space="preserve">Acceptance Criteria</w:t>
      </w:r>
    </w:p>
    <w:p>
      <w:pPr>
        <w:pStyle w:val="FirstParagraph"/>
      </w:pPr>
      <w:r>
        <w:t xml:space="preserve">A retail store with 4 cameras processes 4 RTSP feeds at 5 fps, producing accurate person counts (within 5% of manual count) and zone dwell time analytics, with structured events in Silver layer within 30 seconds of occurrence.</w:t>
      </w:r>
    </w:p>
    <w:p>
      <w:pPr>
        <w:pStyle w:val="BodyText"/>
      </w:pPr>
      <w:r>
        <w:t xml:space="preserve">Face recognition (when consented) correctly matches a known customer with &gt;95% accuracy and links the video event to their UEID in I01.</w:t>
      </w:r>
    </w:p>
    <w:p>
      <w:pPr>
        <w:pStyle w:val="BodyText"/>
      </w:pPr>
      <w:r>
        <w:t xml:space="preserve">A customer who has NOT granted biometric consent is detected as an anonymous person (counted, tracked for zone analytics) but NOT identified.</w:t>
      </w:r>
    </w:p>
    <w:p>
      <w:pPr>
        <w:pStyle w:val="BodyText"/>
      </w:pPr>
      <w:r>
        <w:t xml:space="preserve">Raw video is automatically deleted after 72 hours; structured events persist per retention policy.</w:t>
      </w:r>
    </w:p>
    <w:bookmarkEnd w:id="241"/>
    <w:bookmarkEnd w:id="242"/>
    <w:bookmarkStart w:id="244" w:name="g05-audio-processing-pipeline"/>
    <w:p>
      <w:pPr>
        <w:pStyle w:val="Heading1"/>
      </w:pPr>
      <w:r>
        <w:t xml:space="preserve">G05 — Audio Processing Pipeline</w:t>
      </w:r>
    </w:p>
    <w:tbl>
      <w:tblPr>
        <w:tblStyle w:val="Table"/>
        <w:tblW w:type="pct" w:w="4870"/>
        <w:tblLook w:firstRow="0" w:lastRow="0" w:firstColumn="0" w:lastColumn="0" w:noHBand="0" w:noVBand="0" w:val="0000"/>
        <w:jc w:val="start"/>
      </w:tblPr>
      <w:tblGrid>
        <w:gridCol w:w="2571"/>
        <w:gridCol w:w="5142"/>
      </w:tblGrid>
      <w:t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rPr>
                <w:bCs/>
                <w:b/>
              </w:rPr>
              <w:t xml:space="preserve">Phase / Complexity</w:t>
            </w:r>
          </w:p>
        </w:tc>
        <w:tc>
          <w:tcPr/>
          <w:p>
            <w:pPr>
              <w:pStyle w:val="Compact"/>
              <w:jc w:val="left"/>
            </w:pPr>
            <w:r>
              <w:t xml:space="preserve">3 / Medium</w:t>
            </w:r>
          </w:p>
        </w:tc>
      </w:tr>
    </w:tbl>
    <w:bookmarkStart w:id="243" w:name="purpose-key-requirements-20"/>
    <w:p>
      <w:pPr>
        <w:pStyle w:val="Heading2"/>
      </w:pPr>
      <w:r>
        <w:t xml:space="preserve">Purpose &amp; Key Requirements</w:t>
      </w:r>
    </w:p>
    <w:p>
      <w:pPr>
        <w:pStyle w:val="FirstParagraph"/>
      </w:pPr>
      <w:r>
        <w:t xml:space="preserve">Processes audio sources: customer service calls, in-store announcements, and voice notes. Produces structured data: transcripts, speaker diarization, sentiment analysis, entity extraction.</w:t>
      </w:r>
    </w:p>
    <w:p>
      <w:pPr>
        <w:pStyle w:val="BodyText"/>
      </w:pPr>
      <w:r>
        <w:rPr>
          <w:bCs/>
          <w:b/>
        </w:rPr>
        <w:t xml:space="preserve">G05-FR-001</w:t>
      </w:r>
      <w:r>
        <w:t xml:space="preserve"> </w:t>
      </w:r>
      <w:r>
        <w:t xml:space="preserve">Pipeline: audio upload (G01) or stream → transcoding (to WAV 16kHz) → speech-to-text (Google Cloud STT, supports Hindi + English) → speaker diarization (identify distinct speakers) → sentiment analysis per speaker per utterance (positive/neutral/negative) → entity extraction from transcript (product names, complaint types, request types) → PII detection and redaction (A05 LLM guardrails) → canonical mapping (D02) → Silver write.</w:t>
      </w:r>
    </w:p>
    <w:p>
      <w:pPr>
        <w:pStyle w:val="BodyText"/>
      </w:pPr>
      <w:r>
        <w:rPr>
          <w:bCs/>
          <w:b/>
        </w:rPr>
        <w:t xml:space="preserve">G05-FR-002</w:t>
      </w:r>
      <w:r>
        <w:t xml:space="preserve"> </w:t>
      </w:r>
      <w:r>
        <w:t xml:space="preserve">Output: structured Events: event_type=CUSTOMER_CALL/SERVICE_INTERACTION, entity_id (if caller identified via phone number → I01), transcript (PII-redacted), sentiment_score, entities_mentioned[], duration, speaker_count. Stored in Silver layer.</w:t>
      </w:r>
    </w:p>
    <w:p>
      <w:pPr>
        <w:pStyle w:val="BodyText"/>
      </w:pPr>
      <w:r>
        <w:rPr>
          <w:bCs/>
          <w:b/>
        </w:rPr>
        <w:t xml:space="preserve">G05-FR-003</w:t>
      </w:r>
      <w:r>
        <w:t xml:space="preserve"> </w:t>
      </w:r>
      <w:r>
        <w:t xml:space="preserve">Privacy: audio recordings retained per tenant policy (default: 30 days). Transcripts (PII-redacted) retained longer. Voice embeddings (if used for speaker identification) classified as biometric data — consent-gated, DPIA-required.</w:t>
      </w:r>
    </w:p>
    <w:bookmarkEnd w:id="243"/>
    <w:bookmarkEnd w:id="244"/>
    <w:bookmarkStart w:id="247" w:name="s02-cross-modal-correlation-engine"/>
    <w:p>
      <w:pPr>
        <w:pStyle w:val="Heading1"/>
      </w:pPr>
      <w:r>
        <w:t xml:space="preserve">S02 — Cross-Modal Correlation Engine</w:t>
      </w:r>
    </w:p>
    <w:tbl>
      <w:tblPr>
        <w:tblStyle w:val="Table"/>
        <w:tblW w:type="pct" w:w="4870"/>
        <w:tblLook w:firstRow="0" w:lastRow="0" w:firstColumn="0" w:lastColumn="0" w:noHBand="0" w:noVBand="0" w:val="0000"/>
        <w:jc w:val="start"/>
      </w:tblPr>
      <w:tblGrid>
        <w:gridCol w:w="2571"/>
        <w:gridCol w:w="5142"/>
      </w:tblGrid>
      <w:t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rPr>
                <w:bCs/>
                <w:b/>
              </w:rPr>
              <w:t xml:space="preserve">Phase / Complexity</w:t>
            </w:r>
          </w:p>
        </w:tc>
        <w:tc>
          <w:tcPr/>
          <w:p>
            <w:pPr>
              <w:pStyle w:val="Compact"/>
              <w:jc w:val="left"/>
            </w:pPr>
            <w:r>
              <w:t xml:space="preserve">3 / Very High</w:t>
            </w:r>
          </w:p>
        </w:tc>
      </w:tr>
      <w:tr>
        <w:tc>
          <w:tcPr/>
          <w:p>
            <w:pPr>
              <w:pStyle w:val="Compact"/>
              <w:jc w:val="left"/>
            </w:pPr>
            <w:r>
              <w:rPr>
                <w:bCs/>
                <w:b/>
              </w:rPr>
              <w:t xml:space="preserve">Dependencies</w:t>
            </w:r>
          </w:p>
        </w:tc>
        <w:tc>
          <w:tcPr/>
          <w:p>
            <w:pPr>
              <w:pStyle w:val="Compact"/>
              <w:jc w:val="left"/>
            </w:pPr>
            <w:r>
              <w:t xml:space="preserve">S01, I01, E01</w:t>
            </w:r>
          </w:p>
        </w:tc>
      </w:tr>
    </w:tbl>
    <w:bookmarkStart w:id="245" w:name="purpose-31"/>
    <w:p>
      <w:pPr>
        <w:pStyle w:val="Heading2"/>
      </w:pPr>
      <w:r>
        <w:t xml:space="preserve">Purpose</w:t>
      </w:r>
    </w:p>
    <w:p>
      <w:pPr>
        <w:pStyle w:val="FirstParagraph"/>
      </w:pPr>
      <w:r>
        <w:t xml:space="preserve">Correlates events across different data modalities into unified insights. A video event (customer picked up product), a POS event (product purchased 4 minutes later), and a loyalty event (points earned) — S02 connects these into a single customer journey.</w:t>
      </w:r>
    </w:p>
    <w:bookmarkEnd w:id="245"/>
    <w:bookmarkStart w:id="246" w:name="key-requirements-11"/>
    <w:p>
      <w:pPr>
        <w:pStyle w:val="Heading2"/>
      </w:pPr>
      <w:r>
        <w:t xml:space="preserve">Key Requirements</w:t>
      </w:r>
    </w:p>
    <w:p>
      <w:pPr>
        <w:pStyle w:val="FirstParagraph"/>
      </w:pPr>
      <w:r>
        <w:rPr>
          <w:bCs/>
          <w:b/>
        </w:rPr>
        <w:t xml:space="preserve">S02-FR-001</w:t>
      </w:r>
      <w:r>
        <w:t xml:space="preserve"> </w:t>
      </w:r>
      <w:r>
        <w:t xml:space="preserve">Correlation dimensions: (a) Temporal proximity: events within a configurable time window (default: 30 minutes for retail). (b) Spatial proximity: events at the same location (store, zone, GPS coordinates). (c) Identity match: events involving the same entity (UEID from I01). Two events correlate when they have sufficient overlap across at least 2 of 3 dimensions.</w:t>
      </w:r>
    </w:p>
    <w:p>
      <w:pPr>
        <w:pStyle w:val="BodyText"/>
      </w:pPr>
      <w:r>
        <w:rPr>
          <w:bCs/>
          <w:b/>
        </w:rPr>
        <w:t xml:space="preserve">S02-FR-002</w:t>
      </w:r>
      <w:r>
        <w:t xml:space="preserve"> </w:t>
      </w:r>
      <w:r>
        <w:t xml:space="preserve">Multi-resolution handling: POS has exact transaction time but no spatial precision beyond</w:t>
      </w:r>
      <w:r>
        <w:t xml:space="preserve"> </w:t>
      </w:r>
      <w:r>
        <w:t xml:space="preserve">‘</w:t>
      </w:r>
      <w:r>
        <w:t xml:space="preserve">this store</w:t>
      </w:r>
      <w:r>
        <w:t xml:space="preserve">’</w:t>
      </w:r>
      <w:r>
        <w:t xml:space="preserve">. Video has spatial precision to the zone but temporal precision to the frame rate (1-5 fps). CRM events have identity precision but may lag by hours. S02 handles these different precisions by using configurable tolerance per modality pair.</w:t>
      </w:r>
    </w:p>
    <w:p>
      <w:pPr>
        <w:pStyle w:val="BodyText"/>
      </w:pPr>
      <w:r>
        <w:rPr>
          <w:bCs/>
          <w:b/>
        </w:rPr>
        <w:t xml:space="preserve">S02-FR-003</w:t>
      </w:r>
      <w:r>
        <w:t xml:space="preserve"> </w:t>
      </w:r>
      <w:r>
        <w:t xml:space="preserve">Output: Correlated Event Groups stored in the Knowledge Graph (I02): a group of events across modalities linked by entity_id + temporal-spatial proximity, with a correlation_confidence score (0-1). Enables queries like:</w:t>
      </w:r>
      <w:r>
        <w:t xml:space="preserve"> </w:t>
      </w:r>
      <w:r>
        <w:t xml:space="preserve">‘</w:t>
      </w:r>
      <w:r>
        <w:t xml:space="preserve">Show me the complete journey of Customer X from store entry to purchase.</w:t>
      </w:r>
      <w:r>
        <w:t xml:space="preserve">’</w:t>
      </w:r>
    </w:p>
    <w:p>
      <w:pPr>
        <w:pStyle w:val="BodyText"/>
      </w:pPr>
      <w:r>
        <w:rPr>
          <w:bCs/>
          <w:b/>
        </w:rPr>
        <w:t xml:space="preserve">S02-FR-004</w:t>
      </w:r>
      <w:r>
        <w:t xml:space="preserve"> </w:t>
      </w:r>
      <w:r>
        <w:t xml:space="preserve">Implementation: Dataflow streaming job consuming events from all modality Pub/Sub topics. Session windowing (window closes after 30 minutes of no activity for an entity at a location). Within each session: correlate events by identity + time + space.</w:t>
      </w:r>
    </w:p>
    <w:bookmarkEnd w:id="246"/>
    <w:bookmarkEnd w:id="247"/>
    <w:bookmarkStart w:id="249" w:name="a08-simulation-what-if-engine"/>
    <w:p>
      <w:pPr>
        <w:pStyle w:val="Heading1"/>
      </w:pPr>
      <w:r>
        <w:t xml:space="preserve">A08 — Simulation &amp; What-If Engine</w:t>
      </w:r>
    </w:p>
    <w:tbl>
      <w:tblPr>
        <w:tblStyle w:val="Table"/>
        <w:tblW w:type="pct" w:w="4870"/>
        <w:tblLook w:firstRow="0" w:lastRow="0" w:firstColumn="0" w:lastColumn="0" w:noHBand="0" w:noVBand="0" w:val="0000"/>
        <w:jc w:val="start"/>
      </w:tblPr>
      <w:tblGrid>
        <w:gridCol w:w="2571"/>
        <w:gridCol w:w="5142"/>
      </w:tblGrid>
      <w:t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rPr>
                <w:bCs/>
                <w:b/>
              </w:rPr>
              <w:t xml:space="preserve">Phase / Complexity</w:t>
            </w:r>
          </w:p>
        </w:tc>
        <w:tc>
          <w:tcPr/>
          <w:p>
            <w:pPr>
              <w:pStyle w:val="Compact"/>
              <w:jc w:val="left"/>
            </w:pPr>
            <w:r>
              <w:t xml:space="preserve">3 / High</w:t>
            </w:r>
          </w:p>
        </w:tc>
      </w:tr>
    </w:tbl>
    <w:bookmarkStart w:id="248" w:name="purpose-key-requirements-21"/>
    <w:p>
      <w:pPr>
        <w:pStyle w:val="Heading2"/>
      </w:pPr>
      <w:r>
        <w:t xml:space="preserve">Purpose &amp; Key Requirements</w:t>
      </w:r>
    </w:p>
    <w:p>
      <w:pPr>
        <w:pStyle w:val="FirstParagraph"/>
      </w:pPr>
      <w:r>
        <w:t xml:space="preserve">Enables counterfactual analysis, scenario modeling, and pre-deployment simulation.</w:t>
      </w:r>
      <w:r>
        <w:t xml:space="preserve"> </w:t>
      </w:r>
      <w:r>
        <w:t xml:space="preserve">‘</w:t>
      </w:r>
      <w:r>
        <w:t xml:space="preserve">If we had priced 10% lower last quarter, what would revenue have been?</w:t>
      </w:r>
      <w:r>
        <w:t xml:space="preserve">’</w:t>
      </w:r>
      <w:r>
        <w:t xml:space="preserve"> </w:t>
      </w:r>
      <w:r>
        <w:t xml:space="preserve">‘</w:t>
      </w:r>
      <w:r>
        <w:t xml:space="preserve">If we expand to 20 new stores, what’s the projected revenue?</w:t>
      </w:r>
      <w:r>
        <w:t xml:space="preserve">’</w:t>
      </w:r>
    </w:p>
    <w:p>
      <w:pPr>
        <w:pStyle w:val="BodyText"/>
      </w:pPr>
      <w:r>
        <w:rPr>
          <w:bCs/>
          <w:b/>
        </w:rPr>
        <w:t xml:space="preserve">A08-FR-001</w:t>
      </w:r>
      <w:r>
        <w:t xml:space="preserve"> </w:t>
      </w:r>
      <w:r>
        <w:t xml:space="preserve">Counterfactual replay: take a historical time period, modify one or more parameters (algorithm weights, pricing, staffing levels), replay the data through the modified algorithm, and compare simulated outcomes against actual outcomes. Requires: immutable Bronze/Silver layers (data is replayed, not modified) and parameterizable algorithms (A02).</w:t>
      </w:r>
    </w:p>
    <w:p>
      <w:pPr>
        <w:pStyle w:val="BodyText"/>
      </w:pPr>
      <w:r>
        <w:rPr>
          <w:bCs/>
          <w:b/>
        </w:rPr>
        <w:t xml:space="preserve">A08-FR-002</w:t>
      </w:r>
      <w:r>
        <w:t xml:space="preserve"> </w:t>
      </w:r>
      <w:r>
        <w:t xml:space="preserve">Scenario modeling: define hypothetical scenarios (new stores, new products, market changes) with synthetic data generation. Run algorithms against synthetic data. Report results with confidence intervals and assumption documentation.</w:t>
      </w:r>
    </w:p>
    <w:p>
      <w:pPr>
        <w:pStyle w:val="BodyText"/>
      </w:pPr>
      <w:r>
        <w:rPr>
          <w:bCs/>
          <w:b/>
        </w:rPr>
        <w:t xml:space="preserve">A08-FR-003</w:t>
      </w:r>
      <w:r>
        <w:t xml:space="preserve"> </w:t>
      </w:r>
      <w:r>
        <w:t xml:space="preserve">Pre-deployment simulation: before deploying a new algorithm version or configuration change, run it against the last 30 days of historical data and compare outputs against the current production version. Surface: prediction distribution changes, KPI impact projections, edge cases where old and new versions disagree significantly.</w:t>
      </w:r>
    </w:p>
    <w:p>
      <w:pPr>
        <w:pStyle w:val="BodyText"/>
      </w:pPr>
      <w:r>
        <w:rPr>
          <w:bCs/>
          <w:b/>
        </w:rPr>
        <w:t xml:space="preserve">A08-FR-004</w:t>
      </w:r>
      <w:r>
        <w:t xml:space="preserve"> </w:t>
      </w:r>
      <w:r>
        <w:t xml:space="preserve">Simulation compute isolation: simulation jobs run on preemptible/spot GKE nodes, separate from production workloads. Simulations cannot read production real-time data — only historical snapshots.</w:t>
      </w:r>
    </w:p>
    <w:bookmarkEnd w:id="248"/>
    <w:bookmarkEnd w:id="249"/>
    <w:bookmarkStart w:id="251" w:name="e02-semantic-search-discovery"/>
    <w:p>
      <w:pPr>
        <w:pStyle w:val="Heading1"/>
      </w:pPr>
      <w:r>
        <w:t xml:space="preserve">E02 — Semantic Search &amp; Discovery</w:t>
      </w:r>
    </w:p>
    <w:tbl>
      <w:tblPr>
        <w:tblStyle w:val="Table"/>
        <w:tblW w:type="pct" w:w="4870"/>
        <w:tblLook w:firstRow="0" w:lastRow="0" w:firstColumn="0" w:lastColumn="0" w:noHBand="0" w:noVBand="0" w:val="0000"/>
        <w:jc w:val="start"/>
      </w:tblPr>
      <w:tblGrid>
        <w:gridCol w:w="2571"/>
        <w:gridCol w:w="5142"/>
      </w:tblGrid>
      <w:t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rPr>
                <w:bCs/>
                <w:b/>
              </w:rPr>
              <w:t xml:space="preserve">Phase / Complexity</w:t>
            </w:r>
          </w:p>
        </w:tc>
        <w:tc>
          <w:tcPr/>
          <w:p>
            <w:pPr>
              <w:pStyle w:val="Compact"/>
              <w:jc w:val="left"/>
            </w:pPr>
            <w:r>
              <w:t xml:space="preserve">3 / Medium</w:t>
            </w:r>
          </w:p>
        </w:tc>
      </w:tr>
    </w:tbl>
    <w:bookmarkStart w:id="250" w:name="purpose-key-requirements-22"/>
    <w:p>
      <w:pPr>
        <w:pStyle w:val="Heading2"/>
      </w:pPr>
      <w:r>
        <w:t xml:space="preserve">Purpose &amp; Key Requirements</w:t>
      </w:r>
    </w:p>
    <w:p>
      <w:pPr>
        <w:pStyle w:val="FirstParagraph"/>
      </w:pPr>
      <w:r>
        <w:t xml:space="preserve">Natural language search across all platform data. A user types</w:t>
      </w:r>
      <w:r>
        <w:t xml:space="preserve"> </w:t>
      </w:r>
      <w:r>
        <w:t xml:space="preserve">‘</w:t>
      </w:r>
      <w:r>
        <w:t xml:space="preserve">customers who bought skincare products last month and also visited the Mumbai flagship store</w:t>
      </w:r>
      <w:r>
        <w:t xml:space="preserve">’</w:t>
      </w:r>
      <w:r>
        <w:t xml:space="preserve"> </w:t>
      </w:r>
      <w:r>
        <w:t xml:space="preserve">and gets results — even though this query spans POS, product catalog, and video/footfall data across multiple canonical entities.</w:t>
      </w:r>
    </w:p>
    <w:p>
      <w:pPr>
        <w:pStyle w:val="BodyText"/>
      </w:pPr>
      <w:r>
        <w:rPr>
          <w:bCs/>
          <w:b/>
        </w:rPr>
        <w:t xml:space="preserve">E02-FR-001</w:t>
      </w:r>
      <w:r>
        <w:t xml:space="preserve"> </w:t>
      </w:r>
      <w:r>
        <w:t xml:space="preserve">NL-to-query translation: user’s natural language input → A05 LLM generates a structured query (SQL for relational, vector similarity for semantic) → query executed against Silver/Gold/Vector layers → results returned. LLM prompt includes the tenant’s canonical schema and KPI definitions for accurate query generation.</w:t>
      </w:r>
    </w:p>
    <w:p>
      <w:pPr>
        <w:pStyle w:val="BodyText"/>
      </w:pPr>
      <w:r>
        <w:rPr>
          <w:bCs/>
          <w:b/>
        </w:rPr>
        <w:t xml:space="preserve">E02-FR-002</w:t>
      </w:r>
      <w:r>
        <w:t xml:space="preserve"> </w:t>
      </w:r>
      <w:r>
        <w:t xml:space="preserve">Data catalog: browsable inventory of all data assets the user has access to (RBAC-filtered): entity types, attributes, KPIs, algorithms, dashboards, data sources. Each asset has: name, description, data type, freshness, quality score, lineage (upstream sources, downstream consumers).</w:t>
      </w:r>
    </w:p>
    <w:p>
      <w:pPr>
        <w:pStyle w:val="BodyText"/>
      </w:pPr>
      <w:r>
        <w:rPr>
          <w:bCs/>
          <w:b/>
        </w:rPr>
        <w:t xml:space="preserve">E02-FR-003</w:t>
      </w:r>
      <w:r>
        <w:t xml:space="preserve"> </w:t>
      </w:r>
      <w:r>
        <w:t xml:space="preserve">Semantic similarity search: find entities similar to a given entity using E01 embeddings.</w:t>
      </w:r>
      <w:r>
        <w:t xml:space="preserve"> </w:t>
      </w:r>
      <w:r>
        <w:t xml:space="preserve">‘</w:t>
      </w:r>
      <w:r>
        <w:t xml:space="preserve">Find customers similar to Customer X</w:t>
      </w:r>
      <w:r>
        <w:t xml:space="preserve">’</w:t>
      </w:r>
      <w:r>
        <w:t xml:space="preserve"> </w:t>
      </w:r>
      <w:r>
        <w:t xml:space="preserve">returns customers with closest embedding vectors.</w:t>
      </w:r>
      <w:r>
        <w:t xml:space="preserve"> </w:t>
      </w:r>
      <w:r>
        <w:t xml:space="preserve">‘</w:t>
      </w:r>
      <w:r>
        <w:t xml:space="preserve">Find products similar to Product Y</w:t>
      </w:r>
      <w:r>
        <w:t xml:space="preserve">’</w:t>
      </w:r>
      <w:r>
        <w:t xml:space="preserve"> </w:t>
      </w:r>
      <w:r>
        <w:t xml:space="preserve">returns nearest products in embedding space.</w:t>
      </w:r>
    </w:p>
    <w:bookmarkEnd w:id="250"/>
    <w:bookmarkEnd w:id="251"/>
    <w:bookmarkStart w:id="253" w:name="fb02-decision-outcome-linkage-engine"/>
    <w:p>
      <w:pPr>
        <w:pStyle w:val="Heading1"/>
      </w:pPr>
      <w:r>
        <w:t xml:space="preserve">FB02 — Decision-Outcome Linkage Engine</w:t>
      </w:r>
    </w:p>
    <w:tbl>
      <w:tblPr>
        <w:tblStyle w:val="Table"/>
        <w:tblW w:type="pct" w:w="4870"/>
        <w:tblLook w:firstRow="0" w:lastRow="0" w:firstColumn="0" w:lastColumn="0" w:noHBand="0" w:noVBand="0" w:val="0000"/>
        <w:jc w:val="start"/>
      </w:tblPr>
      <w:tblGrid>
        <w:gridCol w:w="2571"/>
        <w:gridCol w:w="5142"/>
      </w:tblGrid>
      <w:t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rPr>
                <w:bCs/>
                <w:b/>
              </w:rPr>
              <w:t xml:space="preserve">Phase / Complexity</w:t>
            </w:r>
          </w:p>
        </w:tc>
        <w:tc>
          <w:tcPr/>
          <w:p>
            <w:pPr>
              <w:pStyle w:val="Compact"/>
              <w:jc w:val="left"/>
            </w:pPr>
            <w:r>
              <w:t xml:space="preserve">3 / High</w:t>
            </w:r>
          </w:p>
        </w:tc>
      </w:tr>
    </w:tbl>
    <w:bookmarkStart w:id="252" w:name="purpose-key-requirements-23"/>
    <w:p>
      <w:pPr>
        <w:pStyle w:val="Heading2"/>
      </w:pPr>
      <w:r>
        <w:t xml:space="preserve">Purpose &amp; Key Requirements</w:t>
      </w:r>
    </w:p>
    <w:p>
      <w:pPr>
        <w:pStyle w:val="FirstParagraph"/>
      </w:pPr>
      <w:r>
        <w:t xml:space="preserve">Matches algorithmic decisions to their real-world outcomes. A churn prediction made today can only be validated 90 days later (did the customer actually churn?). FB02 tracks decisions, watches for outcomes, links them, and feeds ground truth back to A04 for model retraining.</w:t>
      </w:r>
    </w:p>
    <w:p>
      <w:pPr>
        <w:pStyle w:val="BodyText"/>
      </w:pPr>
      <w:r>
        <w:rPr>
          <w:bCs/>
          <w:b/>
        </w:rPr>
        <w:t xml:space="preserve">FB02-FR-001</w:t>
      </w:r>
      <w:r>
        <w:t xml:space="preserve"> </w:t>
      </w:r>
      <w:r>
        <w:t xml:space="preserve">Decision tracking: every decision from A03 Decision Orchestration is registered with: decision_id, entity_id, decision_type, predicted_outcome, prediction_timestamp, expected_outcome_window (e.g., 90 days for churn, 7 days for promotional response).</w:t>
      </w:r>
    </w:p>
    <w:p>
      <w:pPr>
        <w:pStyle w:val="BodyText"/>
      </w:pPr>
      <w:r>
        <w:rPr>
          <w:bCs/>
          <w:b/>
        </w:rPr>
        <w:t xml:space="preserve">FB02-FR-002</w:t>
      </w:r>
      <w:r>
        <w:t xml:space="preserve"> </w:t>
      </w:r>
      <w:r>
        <w:t xml:space="preserve">Outcome detection: configurable outcome signals per decision type. Churn prediction: outcome = no transaction within 90 days. Promotion response: outcome = transaction with campaign_id matching the offered promotion within 7 days. Demand forecast: outcome = actual sales quantity for the forecasted period.</w:t>
      </w:r>
    </w:p>
    <w:p>
      <w:pPr>
        <w:pStyle w:val="BodyText"/>
      </w:pPr>
      <w:r>
        <w:rPr>
          <w:bCs/>
          <w:b/>
        </w:rPr>
        <w:t xml:space="preserve">FB02-FR-003</w:t>
      </w:r>
      <w:r>
        <w:t xml:space="preserve"> </w:t>
      </w:r>
      <w:r>
        <w:t xml:space="preserve">Linkage and ground truth: when outcome is detected, FB02 links it to the original decision, computes accuracy (predicted vs. actual), and stores the linked pair as ground truth in the training dataset. This automatically grows the retraining dataset over time.</w:t>
      </w:r>
    </w:p>
    <w:p>
      <w:pPr>
        <w:pStyle w:val="BodyText"/>
      </w:pPr>
      <w:r>
        <w:rPr>
          <w:bCs/>
          <w:b/>
        </w:rPr>
        <w:t xml:space="preserve">FB02-FR-004</w:t>
      </w:r>
      <w:r>
        <w:t xml:space="preserve"> </w:t>
      </w:r>
      <w:r>
        <w:t xml:space="preserve">Feedback completeness dashboard: per decision type: % of decisions with linked outcomes, average linkage lag, outcome accuracy distribution. Alerts when linkage rate drops below 70% (may indicate outcome signal misconfiguration).</w:t>
      </w:r>
    </w:p>
    <w:bookmarkEnd w:id="252"/>
    <w:bookmarkEnd w:id="253"/>
    <w:bookmarkStart w:id="255" w:name="fb03-decision-intelligence-observability"/>
    <w:p>
      <w:pPr>
        <w:pStyle w:val="Heading1"/>
      </w:pPr>
      <w:r>
        <w:t xml:space="preserve">FB03 — Decision Intelligence &amp; Observability</w:t>
      </w:r>
    </w:p>
    <w:tbl>
      <w:tblPr>
        <w:tblStyle w:val="Table"/>
        <w:tblW w:type="pct" w:w="4870"/>
        <w:tblLook w:firstRow="0" w:lastRow="0" w:firstColumn="0" w:lastColumn="0" w:noHBand="0" w:noVBand="0" w:val="0000"/>
        <w:jc w:val="start"/>
      </w:tblPr>
      <w:tblGrid>
        <w:gridCol w:w="2571"/>
        <w:gridCol w:w="5142"/>
      </w:tblGrid>
      <w:t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rPr>
                <w:bCs/>
                <w:b/>
              </w:rPr>
              <w:t xml:space="preserve">Phase / Complexity</w:t>
            </w:r>
          </w:p>
        </w:tc>
        <w:tc>
          <w:tcPr/>
          <w:p>
            <w:pPr>
              <w:pStyle w:val="Compact"/>
              <w:jc w:val="left"/>
            </w:pPr>
            <w:r>
              <w:t xml:space="preserve">3 / High</w:t>
            </w:r>
          </w:p>
        </w:tc>
      </w:tr>
    </w:tbl>
    <w:bookmarkStart w:id="254" w:name="purpose-key-requirements-24"/>
    <w:p>
      <w:pPr>
        <w:pStyle w:val="Heading2"/>
      </w:pPr>
      <w:r>
        <w:t xml:space="preserve">Purpose &amp; Key Requirements</w:t>
      </w:r>
    </w:p>
    <w:p>
      <w:pPr>
        <w:pStyle w:val="FirstParagraph"/>
      </w:pPr>
      <w:r>
        <w:t xml:space="preserve">Meta-level observability: understanding why the system’s decisions are changing over time. When average churn predictions increase by 15% over a quarter, FB03 attributes this to root causes: data distribution change, model drift, feature computation change, or entity resolution quality change.</w:t>
      </w:r>
    </w:p>
    <w:p>
      <w:pPr>
        <w:pStyle w:val="BodyText"/>
      </w:pPr>
      <w:r>
        <w:rPr>
          <w:bCs/>
          <w:b/>
        </w:rPr>
        <w:t xml:space="preserve">FB03-FR-001</w:t>
      </w:r>
      <w:r>
        <w:t xml:space="preserve"> </w:t>
      </w:r>
      <w:r>
        <w:t xml:space="preserve">Decision distribution monitoring: for each algorithm in production, track the distribution of outputs over rolling time windows (7d, 30d, 90d). Detect statistically significant shifts (KS test p &lt; 0.05) and alert.</w:t>
      </w:r>
    </w:p>
    <w:p>
      <w:pPr>
        <w:pStyle w:val="BodyText"/>
      </w:pPr>
      <w:r>
        <w:rPr>
          <w:bCs/>
          <w:b/>
        </w:rPr>
        <w:t xml:space="preserve">FB03-FR-002</w:t>
      </w:r>
      <w:r>
        <w:t xml:space="preserve"> </w:t>
      </w:r>
      <w:r>
        <w:t xml:space="preserve">Root cause attribution: when a decision distribution shift is detected, automatically investigate: (a) Input data distribution change? (compare feature distributions before/after shift), (b) Model drift? (compare model weights or prediction patterns), (c) Feature computation change? (was a schema change or mapping change deployed during the shift period?), (d) Entity resolution quality change? (did I01 IRQ metrics change?). Produce a ranked list of probable causes with evidence.</w:t>
      </w:r>
    </w:p>
    <w:p>
      <w:pPr>
        <w:pStyle w:val="BodyText"/>
      </w:pPr>
      <w:r>
        <w:rPr>
          <w:bCs/>
          <w:b/>
        </w:rPr>
        <w:t xml:space="preserve">FB03-FR-003</w:t>
      </w:r>
      <w:r>
        <w:t xml:space="preserve"> </w:t>
      </w:r>
      <w:r>
        <w:t xml:space="preserve">Counterfactual debugging: for any specific decision, enable:</w:t>
      </w:r>
      <w:r>
        <w:t xml:space="preserve"> </w:t>
      </w:r>
      <w:r>
        <w:t xml:space="preserve">‘</w:t>
      </w:r>
      <w:r>
        <w:t xml:space="preserve">what would the decision have been under last month’s model version?</w:t>
      </w:r>
      <w:r>
        <w:t xml:space="preserve">’</w:t>
      </w:r>
      <w:r>
        <w:t xml:space="preserve"> </w:t>
      </w:r>
      <w:r>
        <w:t xml:space="preserve">or</w:t>
      </w:r>
      <w:r>
        <w:t xml:space="preserve"> </w:t>
      </w:r>
      <w:r>
        <w:t xml:space="preserve">‘</w:t>
      </w:r>
      <w:r>
        <w:t xml:space="preserve">what if feature X had value Y?</w:t>
      </w:r>
      <w:r>
        <w:t xml:space="preserve">’</w:t>
      </w:r>
      <w:r>
        <w:t xml:space="preserve"> </w:t>
      </w:r>
      <w:r>
        <w:t xml:space="preserve">Uses A08 simulation engine for counterfactual computation.</w:t>
      </w:r>
    </w:p>
    <w:p>
      <w:pPr>
        <w:pStyle w:val="BodyText"/>
      </w:pPr>
      <w:r>
        <w:rPr>
          <w:bCs/>
          <w:b/>
        </w:rPr>
        <w:t xml:space="preserve">PHASE 4 — PLATFORM MATURITY</w:t>
      </w:r>
    </w:p>
    <w:bookmarkEnd w:id="254"/>
    <w:bookmarkEnd w:id="255"/>
    <w:bookmarkStart w:id="257" w:name="ed03-federated-learning-engine"/>
    <w:p>
      <w:pPr>
        <w:pStyle w:val="Heading1"/>
      </w:pPr>
      <w:r>
        <w:t xml:space="preserve">ED03 — Federated Learning Engine</w:t>
      </w:r>
    </w:p>
    <w:tbl>
      <w:tblPr>
        <w:tblStyle w:val="Table"/>
        <w:tblW w:type="pct" w:w="4870"/>
        <w:tblLook w:firstRow="0" w:lastRow="0" w:firstColumn="0" w:lastColumn="0" w:noHBand="0" w:noVBand="0" w:val="0000"/>
        <w:jc w:val="start"/>
      </w:tblPr>
      <w:tblGrid>
        <w:gridCol w:w="2571"/>
        <w:gridCol w:w="5142"/>
      </w:tblGrid>
      <w:t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rPr>
                <w:bCs/>
                <w:b/>
              </w:rPr>
              <w:t xml:space="preserve">Phase / Complexity</w:t>
            </w:r>
          </w:p>
        </w:tc>
        <w:tc>
          <w:tcPr/>
          <w:p>
            <w:pPr>
              <w:pStyle w:val="Compact"/>
              <w:jc w:val="left"/>
            </w:pPr>
            <w:r>
              <w:t xml:space="preserve">4 / Very High</w:t>
            </w:r>
          </w:p>
        </w:tc>
      </w:tr>
    </w:tbl>
    <w:bookmarkStart w:id="256" w:name="purpose-key-requirements-25"/>
    <w:p>
      <w:pPr>
        <w:pStyle w:val="Heading2"/>
      </w:pPr>
      <w:r>
        <w:t xml:space="preserve">Purpose &amp; Key Requirements</w:t>
      </w:r>
    </w:p>
    <w:p>
      <w:pPr>
        <w:pStyle w:val="FirstParagraph"/>
      </w:pPr>
      <w:r>
        <w:t xml:space="preserve">Model improvement from edge data without raw data leaving the edge device. Critical for DPDP compliance when processing video/biometric data in-store. Instead of sending raw video frames to the cloud for training, the model trains locally on the device, and only gradient updates are sent to the cloud for aggregation.</w:t>
      </w:r>
    </w:p>
    <w:p>
      <w:pPr>
        <w:pStyle w:val="BodyText"/>
      </w:pPr>
      <w:r>
        <w:rPr>
          <w:bCs/>
          <w:b/>
        </w:rPr>
        <w:t xml:space="preserve">ED03-FR-001</w:t>
      </w:r>
      <w:r>
        <w:t xml:space="preserve"> </w:t>
      </w:r>
      <w:r>
        <w:t xml:space="preserve">Federated training protocol: (a) Cloud distributes current global model to edge devices, (b) each device trains the model on its local data for N epochs, (c) device sends model gradients (NOT raw data) to cloud, (d) cloud aggregates gradients from multiple devices (federated averaging), (e) updated global model distributed to devices. Repeat.</w:t>
      </w:r>
    </w:p>
    <w:p>
      <w:pPr>
        <w:pStyle w:val="BodyText"/>
      </w:pPr>
      <w:r>
        <w:rPr>
          <w:bCs/>
          <w:b/>
        </w:rPr>
        <w:t xml:space="preserve">ED03-FR-002</w:t>
      </w:r>
      <w:r>
        <w:t xml:space="preserve"> </w:t>
      </w:r>
      <w:r>
        <w:t xml:space="preserve">Differential privacy: gradient updates SHALL be clipped and noise-injected before transmission (Gaussian mechanism with configurable epsilon). Privacy budget (epsilon) tracked per model per training round. Training stops when privacy budget is exhausted for the period.</w:t>
      </w:r>
    </w:p>
    <w:p>
      <w:pPr>
        <w:pStyle w:val="BodyText"/>
      </w:pPr>
      <w:r>
        <w:rPr>
          <w:bCs/>
          <w:b/>
        </w:rPr>
        <w:t xml:space="preserve">ED03-FR-003</w:t>
      </w:r>
      <w:r>
        <w:t xml:space="preserve"> </w:t>
      </w:r>
      <w:r>
        <w:t xml:space="preserve">Minimum device fleet size: federated training requires at least 10 devices per tenant to produce meaningful gradient aggregation. Below 10 devices: fallback to centralized training with data minimization (sample, not full dataset).</w:t>
      </w:r>
    </w:p>
    <w:p>
      <w:pPr>
        <w:pStyle w:val="BodyText"/>
      </w:pPr>
      <w:r>
        <w:rPr>
          <w:bCs/>
          <w:b/>
        </w:rPr>
        <w:t xml:space="preserve">ED03-FR-004</w:t>
      </w:r>
      <w:r>
        <w:t xml:space="preserve"> </w:t>
      </w:r>
      <w:r>
        <w:t xml:space="preserve">Model convergence monitoring: track per-round: global model accuracy, per-device accuracy divergence, gradient magnitude distribution. Alert when: accuracy stagnates for &gt;5 rounds, device divergence exceeds threshold (suggests heterogeneous data distribution that federated averaging can’t handle).</w:t>
      </w:r>
    </w:p>
    <w:bookmarkEnd w:id="256"/>
    <w:bookmarkEnd w:id="257"/>
    <w:bookmarkStart w:id="259" w:name="dx01-sdk-extensibility-platform"/>
    <w:p>
      <w:pPr>
        <w:pStyle w:val="Heading1"/>
      </w:pPr>
      <w:r>
        <w:t xml:space="preserve">DX01 — SDK &amp; Extensibility Platform</w:t>
      </w:r>
    </w:p>
    <w:tbl>
      <w:tblPr>
        <w:tblStyle w:val="Table"/>
        <w:tblW w:type="pct" w:w="4870"/>
        <w:tblLook w:firstRow="0" w:lastRow="0" w:firstColumn="0" w:lastColumn="0" w:noHBand="0" w:noVBand="0" w:val="0000"/>
        <w:jc w:val="start"/>
      </w:tblPr>
      <w:tblGrid>
        <w:gridCol w:w="2571"/>
        <w:gridCol w:w="5142"/>
      </w:tblGrid>
      <w:t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rPr>
                <w:bCs/>
                <w:b/>
              </w:rPr>
              <w:t xml:space="preserve">Phase / Complexity</w:t>
            </w:r>
          </w:p>
        </w:tc>
        <w:tc>
          <w:tcPr/>
          <w:p>
            <w:pPr>
              <w:pStyle w:val="Compact"/>
              <w:jc w:val="left"/>
            </w:pPr>
            <w:r>
              <w:t xml:space="preserve">4 / High</w:t>
            </w:r>
          </w:p>
        </w:tc>
      </w:tr>
    </w:tbl>
    <w:bookmarkStart w:id="258" w:name="purpose-key-requirements-26"/>
    <w:p>
      <w:pPr>
        <w:pStyle w:val="Heading2"/>
      </w:pPr>
      <w:r>
        <w:t xml:space="preserve">Purpose &amp; Key Requirements</w:t>
      </w:r>
    </w:p>
    <w:p>
      <w:pPr>
        <w:pStyle w:val="FirstParagraph"/>
      </w:pPr>
      <w:r>
        <w:t xml:space="preserve">Enables tenants and third-party developers to build custom algorithms, integrations, and analytics on the platform. Provides SDKs, sandboxed execution, and an extension marketplace.</w:t>
      </w:r>
    </w:p>
    <w:p>
      <w:pPr>
        <w:pStyle w:val="BodyText"/>
      </w:pPr>
      <w:r>
        <w:rPr>
          <w:bCs/>
          <w:b/>
        </w:rPr>
        <w:t xml:space="preserve">DX01-FR-001</w:t>
      </w:r>
      <w:r>
        <w:t xml:space="preserve"> </w:t>
      </w:r>
      <w:r>
        <w:t xml:space="preserve">Python SDK (primary): pip install sevyn8-sdk. Provides: authenticated client (API key or OAuth), Feature Store read API, Algorithm Registry registration API, Decision Log query API, data export API. All operations tenant-scoped via API key’s tenant context.</w:t>
      </w:r>
    </w:p>
    <w:p>
      <w:pPr>
        <w:pStyle w:val="BodyText"/>
      </w:pPr>
      <w:r>
        <w:rPr>
          <w:bCs/>
          <w:b/>
        </w:rPr>
        <w:t xml:space="preserve">DX01-FR-002</w:t>
      </w:r>
      <w:r>
        <w:t xml:space="preserve"> </w:t>
      </w:r>
      <w:r>
        <w:t xml:space="preserve">Sandboxed execution: tenant-uploaded custom code (algorithms, transformations, connectors) SHALL run in isolated containers within the tenant’s K8s namespace. Network policy: no outbound internet access (prevent data exfiltration), no cross-namespace access. Resource limits: configurable CPU/memory/timeout per execution.</w:t>
      </w:r>
    </w:p>
    <w:p>
      <w:pPr>
        <w:pStyle w:val="BodyText"/>
      </w:pPr>
      <w:r>
        <w:rPr>
          <w:bCs/>
          <w:b/>
        </w:rPr>
        <w:t xml:space="preserve">DX01-FR-003</w:t>
      </w:r>
      <w:r>
        <w:t xml:space="preserve"> </w:t>
      </w:r>
      <w:r>
        <w:t xml:space="preserve">Extension marketplace: catalog of reusable components published by Sevyn8, partners, or tenants: algorithms, connector templates, dashboard templates, KPI definitions, mapping templates. Each extension versioned, documented, and installable by Tenant Admin without engineering. Review process: automated security scan + optional manual review for marketplace-published extensions.</w:t>
      </w:r>
    </w:p>
    <w:p>
      <w:pPr>
        <w:pStyle w:val="BodyText"/>
      </w:pPr>
      <w:r>
        <w:rPr>
          <w:bCs/>
          <w:b/>
        </w:rPr>
        <w:t xml:space="preserve">DX01-FR-004</w:t>
      </w:r>
      <w:r>
        <w:t xml:space="preserve"> </w:t>
      </w:r>
      <w:r>
        <w:t xml:space="preserve">Developer portal: documentation site with: API reference (OpenAPI spec auto-generated), SDK guides, tutorials, example code, sandbox environment for testing. Accessible at developers.sevyn8.com.</w:t>
      </w:r>
    </w:p>
    <w:p>
      <w:pPr>
        <w:pStyle w:val="BodyText"/>
      </w:pPr>
      <w:r>
        <w:rPr>
          <w:bCs/>
          <w:b/>
        </w:rPr>
        <w:t xml:space="preserve">ALL 59 MODULES SPECIFIED</w:t>
      </w:r>
    </w:p>
    <w:p>
      <w:pPr>
        <w:pStyle w:val="BodyText"/>
      </w:pPr>
      <w:r>
        <w:t xml:space="preserve">This completes the detailed specifications for all 61 modules across all 5 phases of the Sevyn8 Intelligence &amp; Analytics Platform. The specification documents are:</w:t>
      </w:r>
    </w:p>
    <w:p>
      <w:pPr>
        <w:pStyle w:val="BodyText"/>
      </w:pPr>
      <w:r>
        <w:t xml:space="preserve">Foundation Layer (F01–F05): 5 modules — infrastructure backbone</w:t>
      </w:r>
    </w:p>
    <w:p>
      <w:pPr>
        <w:pStyle w:val="BodyText"/>
      </w:pPr>
      <w:r>
        <w:t xml:space="preserve">Data Platform Layer (D01–D06): 6 modules — canonical data model with full retail ontology</w:t>
      </w:r>
    </w:p>
    <w:p>
      <w:pPr>
        <w:pStyle w:val="BodyText"/>
      </w:pPr>
      <w:r>
        <w:t xml:space="preserve">Identity + Ingestion (I01–I03, G01–G02): 5 modules — entity resolution and data flow</w:t>
      </w:r>
    </w:p>
    <w:p>
      <w:pPr>
        <w:pStyle w:val="BodyText"/>
      </w:pPr>
      <w:r>
        <w:t xml:space="preserve">Phase 0+1 Remaining (AC, S, IC, A, O, OB, ED, RE, PR, T): 20 modules — security, compliance, operations</w:t>
      </w:r>
    </w:p>
    <w:p>
      <w:pPr>
        <w:pStyle w:val="BodyText"/>
      </w:pPr>
      <w:r>
        <w:t xml:space="preserve">Phase 2+3+4 (this document): 23 modules — analytics, AI/ML, multi-modal, feedback, maturity</w:t>
      </w:r>
    </w:p>
    <w:p>
      <w:pPr>
        <w:pStyle w:val="BodyText"/>
      </w:pPr>
      <w:r>
        <w:rPr>
          <w:bCs/>
          <w:b/>
        </w:rPr>
        <w:t xml:space="preserve">PART VI</w:t>
      </w:r>
    </w:p>
    <w:p>
      <w:pPr>
        <w:pStyle w:val="BodyText"/>
      </w:pPr>
      <w:r>
        <w:t xml:space="preserve">Analytical Experience Layer — UX01 + 10 Customer-Facing Screens</w:t>
      </w:r>
    </w:p>
    <w:p>
      <w:pPr>
        <w:pStyle w:val="BodyText"/>
      </w:pPr>
      <w:r>
        <w:rPr>
          <w:bCs/>
          <w:b/>
        </w:rPr>
        <w:t xml:space="preserve">Analytical Experience Layer</w:t>
      </w:r>
    </w:p>
    <w:p>
      <w:pPr>
        <w:pStyle w:val="BodyText"/>
      </w:pPr>
      <w:r>
        <w:t xml:space="preserve">UX01 — Screen Composition Engine</w:t>
      </w:r>
    </w:p>
    <w:p>
      <w:pPr>
        <w:pStyle w:val="BodyText"/>
      </w:pPr>
      <w:r>
        <w:t xml:space="preserve">10 Customer-Facing Analytical Screens</w:t>
      </w:r>
    </w:p>
    <w:p>
      <w:pPr>
        <w:pStyle w:val="BodyText"/>
      </w:pPr>
      <w:r>
        <w:t xml:space="preserve">Sevyn8 Cortex — v1.0 — April 2026 — CONFIDENTIAL</w:t>
      </w:r>
    </w:p>
    <w:bookmarkEnd w:id="258"/>
    <w:bookmarkEnd w:id="259"/>
    <w:bookmarkStart w:id="265" w:name="ux01-screen-composition-engine"/>
    <w:p>
      <w:pPr>
        <w:pStyle w:val="Heading1"/>
      </w:pPr>
      <w:r>
        <w:t xml:space="preserve">UX01 — Screen Composition Engine</w:t>
      </w:r>
    </w:p>
    <w:tbl>
      <w:tblPr>
        <w:tblStyle w:val="Table"/>
        <w:tblW w:type="pct" w:w="4941"/>
        <w:tblLook w:firstRow="0" w:lastRow="0" w:firstColumn="0" w:lastColumn="0" w:noHBand="0" w:noVBand="0" w:val="0000"/>
        <w:jc w:val="start"/>
      </w:tblPr>
      <w:tblGrid>
        <w:gridCol w:w="1031"/>
        <w:gridCol w:w="6795"/>
      </w:tblGrid>
      <w:t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rPr>
                <w:bCs/>
                <w:b/>
              </w:rPr>
              <w:t xml:space="preserve">Module ID</w:t>
            </w:r>
          </w:p>
        </w:tc>
        <w:tc>
          <w:tcPr/>
          <w:p>
            <w:pPr>
              <w:pStyle w:val="Compact"/>
              <w:jc w:val="left"/>
            </w:pPr>
            <w:r>
              <w:t xml:space="preserve">UX01</w:t>
            </w:r>
          </w:p>
        </w:tc>
      </w:tr>
      <w:tr>
        <w:tc>
          <w:tcPr/>
          <w:p>
            <w:pPr>
              <w:pStyle w:val="Compact"/>
              <w:jc w:val="left"/>
            </w:pPr>
            <w:r>
              <w:rPr>
                <w:bCs/>
                <w:b/>
              </w:rPr>
              <w:t xml:space="preserve">Phase</w:t>
            </w:r>
          </w:p>
        </w:tc>
        <w:tc>
          <w:tcPr/>
          <w:p>
            <w:pPr>
              <w:pStyle w:val="Compact"/>
              <w:jc w:val="left"/>
            </w:pPr>
            <w:r>
              <w:t xml:space="preserve">0 (Core — required for any user-facing experience)</w:t>
            </w:r>
          </w:p>
        </w:tc>
      </w:tr>
      <w:tr>
        <w:tc>
          <w:tcPr/>
          <w:p>
            <w:pPr>
              <w:pStyle w:val="Compact"/>
              <w:jc w:val="left"/>
            </w:pPr>
            <w:r>
              <w:rPr>
                <w:bCs/>
                <w:b/>
              </w:rPr>
              <w:t xml:space="preserve">Complexity</w:t>
            </w:r>
          </w:p>
        </w:tc>
        <w:tc>
          <w:tcPr/>
          <w:p>
            <w:pPr>
              <w:pStyle w:val="Compact"/>
              <w:jc w:val="left"/>
            </w:pPr>
            <w:r>
              <w:t xml:space="preserve">High</w:t>
            </w:r>
          </w:p>
        </w:tc>
      </w:tr>
      <w:tr>
        <w:tc>
          <w:tcPr/>
          <w:p>
            <w:pPr>
              <w:pStyle w:val="Compact"/>
              <w:jc w:val="left"/>
            </w:pPr>
            <w:r>
              <w:rPr>
                <w:bCs/>
                <w:b/>
              </w:rPr>
              <w:t xml:space="preserve">Dependencies</w:t>
            </w:r>
          </w:p>
        </w:tc>
        <w:tc>
          <w:tcPr/>
          <w:p>
            <w:pPr>
              <w:pStyle w:val="Compact"/>
              <w:jc w:val="left"/>
            </w:pPr>
            <w:r>
              <w:t xml:space="preserve">F01 (Multi-Tenancy), F04 (Configuration Plane), AC01 (RBAC), AC02 (Hierarchy), IC01 (Industry Ontology), D01 (Canonical Model Gold layer KPIs)</w:t>
            </w:r>
          </w:p>
        </w:tc>
      </w:tr>
      <w:tr>
        <w:tc>
          <w:tcPr/>
          <w:p>
            <w:pPr>
              <w:pStyle w:val="Compact"/>
              <w:jc w:val="left"/>
            </w:pPr>
            <w:r>
              <w:rPr>
                <w:bCs/>
                <w:b/>
              </w:rPr>
              <w:t xml:space="preserve">Depended On By</w:t>
            </w:r>
          </w:p>
        </w:tc>
        <w:tc>
          <w:tcPr/>
          <w:p>
            <w:pPr>
              <w:pStyle w:val="Compact"/>
              <w:jc w:val="left"/>
            </w:pPr>
            <w:r>
              <w:t xml:space="preserve">All 10 analytical screens, all tenant user sessions</w:t>
            </w:r>
          </w:p>
        </w:tc>
      </w:tr>
    </w:tbl>
    <w:bookmarkStart w:id="260" w:name="purpose-32"/>
    <w:p>
      <w:pPr>
        <w:pStyle w:val="Heading2"/>
      </w:pPr>
      <w:r>
        <w:t xml:space="preserve">1.1 Purpose</w:t>
      </w:r>
    </w:p>
    <w:p>
      <w:pPr>
        <w:pStyle w:val="FirstParagraph"/>
      </w:pPr>
      <w:r>
        <w:t xml:space="preserve">UX01 is the engine that assembles the customer-facing analytical experience. Important clarification: the Cortex frontend is a single Next.js application with two sections. The Admin Console (screens S01–S24) handles configuration, setup, and platform management — used by Tenant Admins and Data Stewards. The Analytical Experience (screens CX-01–CX-10) delivers intelligence to end users — store managers, regional directors, marketing teams. Both sections share the same authentication, theming, and tenant context from composable parts. It manages three sub-systems: the Screen Registry (which screens exist per vertical and which are enabled per tenant), the Widget Library (reusable analytical components), and the Layout Engine (how widgets are arranged on each screen). Together, they enable Sevyn8 to serve fundamentally different analytical products to different clients — different screens, different widgets, different layouts — from a single deployed codebase.</w:t>
      </w:r>
    </w:p>
    <w:bookmarkEnd w:id="260"/>
    <w:bookmarkStart w:id="261" w:name="sub-system-1-screen-registry"/>
    <w:p>
      <w:pPr>
        <w:pStyle w:val="Heading2"/>
      </w:pPr>
      <w:r>
        <w:t xml:space="preserve">1.2 Sub-System 1: Screen Registry</w:t>
      </w:r>
    </w:p>
    <w:p>
      <w:pPr>
        <w:pStyle w:val="FirstParagraph"/>
      </w:pPr>
      <w:r>
        <w:rPr>
          <w:bCs/>
          <w:b/>
        </w:rPr>
        <w:t xml:space="preserve">UX01-FR-001</w:t>
      </w:r>
      <w:r>
        <w:t xml:space="preserve"> </w:t>
      </w:r>
      <w:r>
        <w:t xml:space="preserve">The Screen Registry SHALL be a configuration table in F04 that defines every available screen. Each screen record contains: screen_id, screen_name, description, icon, route_path (URL path), industry_vertical_ids (which verticals this screen is available in), required_data_sources (which data source types must be connected for this screen to function), required_modules (which backend modules must be active), minimum_tier (STANDARD/PROFESSIONAL/ENTERPRISE), sort_order, is_default (shown in default navigation), status (ACTIVE/BETA/DEPRECATED).</w:t>
      </w:r>
    </w:p>
    <w:p>
      <w:pPr>
        <w:pStyle w:val="BodyText"/>
      </w:pPr>
      <w:r>
        <w:rPr>
          <w:bCs/>
          <w:b/>
        </w:rPr>
        <w:t xml:space="preserve">UX01-FR-002</w:t>
      </w:r>
      <w:r>
        <w:t xml:space="preserve"> </w:t>
      </w:r>
      <w:r>
        <w:t xml:space="preserve">Screen availability per tenant SHALL be resolved by intersecting: (a) the tenant’s industry vertical’s screen set, (b) the tenant’s tier eligibility, (c) the tenant’s connected data sources (a screen requiring inventory data is hidden if no inventory source is connected), (d) explicit tenant overrides in F04 (Tenant Admin can hide screens that are technically available). The navigation menu renders only available screens.</w:t>
      </w:r>
    </w:p>
    <w:p>
      <w:pPr>
        <w:pStyle w:val="BodyText"/>
      </w:pPr>
      <w:r>
        <w:rPr>
          <w:bCs/>
          <w:b/>
        </w:rPr>
        <w:t xml:space="preserve">UX01-FR-003</w:t>
      </w:r>
      <w:r>
        <w:t xml:space="preserve"> </w:t>
      </w:r>
      <w:r>
        <w:t xml:space="preserve">Screen registration SHALL support three screen sources: (a) Platform screens — built by Sevyn8, available across verticals (Executive Dashboard, Alert Centre, Ask Cortex). (b) Vertical screens — defined by the industry ontology (IC01), available to all tenants in that vertical (Store Performance for retail, Screen Network Map for digital signage). (c) Tenant-custom screens — created by Enterprise-tier tenants via the Dashboard Builder, available only to that tenant.</w:t>
      </w:r>
    </w:p>
    <w:bookmarkEnd w:id="261"/>
    <w:bookmarkStart w:id="262" w:name="sub-system-2-widget-library"/>
    <w:p>
      <w:pPr>
        <w:pStyle w:val="Heading2"/>
      </w:pPr>
      <w:r>
        <w:t xml:space="preserve">1.3 Sub-System 2: Widget Library</w:t>
      </w:r>
    </w:p>
    <w:p>
      <w:pPr>
        <w:pStyle w:val="FirstParagraph"/>
      </w:pPr>
      <w:r>
        <w:rPr>
          <w:bCs/>
          <w:b/>
        </w:rPr>
        <w:t xml:space="preserve">UX01-FR-010</w:t>
      </w:r>
      <w:r>
        <w:t xml:space="preserve"> </w:t>
      </w:r>
      <w:r>
        <w:t xml:space="preserve">A widget SHALL be a self-contained, reusable React component that: (a) accepts a typed configuration object (data query, display options, interaction handlers), (b) fetches its own data from the API gateway (O01) based on the configuration, (c) respects tenant context (theme, locale, hierarchy scope, RBAC column masking), (d) handles loading, error, and empty states gracefully, (e) emits interaction events (click, drill-down, filter change) that parent screens can listen to for cross-widget coordination.</w:t>
      </w:r>
    </w:p>
    <w:p>
      <w:pPr>
        <w:pStyle w:val="BodyText"/>
      </w:pPr>
      <w:r>
        <w:rPr>
          <w:bCs/>
          <w:b/>
        </w:rPr>
        <w:t xml:space="preserve">UX01-FR-011</w:t>
      </w:r>
      <w:r>
        <w:t xml:space="preserve"> </w:t>
      </w:r>
      <w:r>
        <w:t xml:space="preserve">The Widget Library SHALL contain these widget categories:</w:t>
      </w:r>
    </w:p>
    <w:tbl>
      <w:tblPr>
        <w:tblStyle w:val="Table"/>
        <w:tblW w:type="pct" w:w="4971"/>
        <w:tblLook w:firstRow="0" w:lastRow="0" w:firstColumn="0" w:lastColumn="0" w:noHBand="0" w:noVBand="0" w:val="0000"/>
        <w:jc w:val="start"/>
      </w:tblPr>
      <w:tblGrid>
        <w:gridCol w:w="535"/>
        <w:gridCol w:w="3796"/>
        <w:gridCol w:w="3540"/>
      </w:tblGrid>
      <w:tr>
        <w:tc>
          <w:tcPr/>
          <w:p>
            <w:pPr>
              <w:pStyle w:val="Compact"/>
              <w:jc w:val="left"/>
            </w:pPr>
            <w:r>
              <w:rPr>
                <w:bCs/>
                <w:b/>
              </w:rPr>
              <w:t xml:space="preserve">Category</w:t>
            </w:r>
          </w:p>
        </w:tc>
        <w:tc>
          <w:tcPr/>
          <w:p>
            <w:pPr>
              <w:pStyle w:val="Compact"/>
              <w:jc w:val="left"/>
            </w:pPr>
            <w:r>
              <w:rPr>
                <w:bCs/>
                <w:b/>
              </w:rPr>
              <w:t xml:space="preserve">Widget Types</w:t>
            </w:r>
          </w:p>
        </w:tc>
        <w:tc>
          <w:tcPr/>
          <w:p>
            <w:pPr>
              <w:pStyle w:val="Compact"/>
              <w:jc w:val="left"/>
            </w:pPr>
            <w:r>
              <w:rPr>
                <w:bCs/>
                <w:b/>
              </w:rPr>
              <w:t xml:space="preserve">Capabilities</w:t>
            </w:r>
          </w:p>
        </w:tc>
      </w:tr>
      <w:tr>
        <w:tc>
          <w:tcPr/>
          <w:p>
            <w:pPr>
              <w:pStyle w:val="Compact"/>
              <w:jc w:val="left"/>
            </w:pPr>
            <w:r>
              <w:rPr>
                <w:bCs/>
                <w:b/>
              </w:rPr>
              <w:t xml:space="preserve">KPI Cards</w:t>
            </w:r>
          </w:p>
        </w:tc>
        <w:tc>
          <w:tcPr/>
          <w:p>
            <w:pPr>
              <w:pStyle w:val="Compact"/>
              <w:jc w:val="left"/>
            </w:pPr>
            <w:r>
              <w:t xml:space="preserve">Single metric, metric with trend, metric with sparkline, metric comparison (vs. target / vs. previous period), traffic-light metric (red/amber/green thresholds)</w:t>
            </w:r>
          </w:p>
        </w:tc>
        <w:tc>
          <w:tcPr/>
          <w:p>
            <w:pPr>
              <w:pStyle w:val="Compact"/>
              <w:jc w:val="left"/>
            </w:pPr>
            <w:r>
              <w:t xml:space="preserve">Configurable: metric name, query, format (currency/percentage/count), trend period, comparison mode, threshold colours.</w:t>
            </w:r>
          </w:p>
        </w:tc>
      </w:tr>
      <w:tr>
        <w:tc>
          <w:tcPr/>
          <w:p>
            <w:pPr>
              <w:pStyle w:val="Compact"/>
              <w:jc w:val="left"/>
            </w:pPr>
            <w:r>
              <w:rPr>
                <w:bCs/>
                <w:b/>
              </w:rPr>
              <w:t xml:space="preserve">Charts</w:t>
            </w:r>
          </w:p>
        </w:tc>
        <w:tc>
          <w:tcPr/>
          <w:p>
            <w:pPr>
              <w:pStyle w:val="Compact"/>
              <w:jc w:val="left"/>
            </w:pPr>
            <w:r>
              <w:t xml:space="preserve">Line chart, bar chart, stacked bar, area chart, pie/donut, scatter plot, funnel, waterfall, histogram, heatmap, radar/spider</w:t>
            </w:r>
          </w:p>
        </w:tc>
        <w:tc>
          <w:tcPr/>
          <w:p>
            <w:pPr>
              <w:pStyle w:val="Compact"/>
              <w:jc w:val="left"/>
            </w:pPr>
            <w:r>
              <w:t xml:space="preserve">Configurable: data query, axes, series, colours (from tenant theme palette), drill-down action, time range selector, comparison overlay.</w:t>
            </w:r>
          </w:p>
        </w:tc>
      </w:tr>
      <w:tr>
        <w:tc>
          <w:tcPr/>
          <w:p>
            <w:pPr>
              <w:pStyle w:val="Compact"/>
              <w:jc w:val="left"/>
            </w:pPr>
            <w:r>
              <w:rPr>
                <w:bCs/>
                <w:b/>
              </w:rPr>
              <w:t xml:space="preserve">Tables</w:t>
            </w:r>
          </w:p>
        </w:tc>
        <w:tc>
          <w:tcPr/>
          <w:p>
            <w:pPr>
              <w:pStyle w:val="Compact"/>
              <w:jc w:val="left"/>
            </w:pPr>
            <w:r>
              <w:t xml:space="preserve">Data table with sortable columns, paginated table, expandable row table, comparison table, leaderboard/ranked table</w:t>
            </w:r>
          </w:p>
        </w:tc>
        <w:tc>
          <w:tcPr/>
          <w:p>
            <w:pPr>
              <w:pStyle w:val="Compact"/>
              <w:jc w:val="left"/>
            </w:pPr>
            <w:r>
              <w:t xml:space="preserve">Configurable: columns (from canonical schema), sort/filter, row-click action, column masking (RBAC), export button, inline sparklines.</w:t>
            </w:r>
          </w:p>
        </w:tc>
      </w:tr>
      <w:tr>
        <w:tc>
          <w:tcPr/>
          <w:p>
            <w:pPr>
              <w:pStyle w:val="Compact"/>
              <w:jc w:val="left"/>
            </w:pPr>
            <w:r>
              <w:rPr>
                <w:bCs/>
                <w:b/>
              </w:rPr>
              <w:t xml:space="preserve">Maps</w:t>
            </w:r>
          </w:p>
        </w:tc>
        <w:tc>
          <w:tcPr/>
          <w:p>
            <w:pPr>
              <w:pStyle w:val="Compact"/>
              <w:jc w:val="left"/>
            </w:pPr>
            <w:r>
              <w:t xml:space="preserve">Geographic heatmap, store locator map, zone floor plan, network topology map</w:t>
            </w:r>
          </w:p>
        </w:tc>
        <w:tc>
          <w:tcPr/>
          <w:p>
            <w:pPr>
              <w:pStyle w:val="Compact"/>
              <w:jc w:val="left"/>
            </w:pPr>
            <w:r>
              <w:t xml:space="preserve">Configurable: data points, colour scale, clustering, click-to-drill, overlay toggle.</w:t>
            </w:r>
          </w:p>
        </w:tc>
      </w:tr>
      <w:tr>
        <w:tc>
          <w:tcPr/>
          <w:p>
            <w:pPr>
              <w:pStyle w:val="Compact"/>
              <w:jc w:val="left"/>
            </w:pPr>
            <w:r>
              <w:rPr>
                <w:bCs/>
                <w:b/>
              </w:rPr>
              <w:t xml:space="preserve">Entity Cards</w:t>
            </w:r>
          </w:p>
        </w:tc>
        <w:tc>
          <w:tcPr/>
          <w:p>
            <w:pPr>
              <w:pStyle w:val="Compact"/>
              <w:jc w:val="left"/>
            </w:pPr>
            <w:r>
              <w:t xml:space="preserve">Customer 360 card, store summary card, product summary card, alert card, decision card</w:t>
            </w:r>
          </w:p>
        </w:tc>
        <w:tc>
          <w:tcPr/>
          <w:p>
            <w:pPr>
              <w:pStyle w:val="Compact"/>
              <w:jc w:val="left"/>
            </w:pPr>
            <w:r>
              <w:t xml:space="preserve">Configurable: entity type, fields to display, action buttons, linked screens.</w:t>
            </w:r>
          </w:p>
        </w:tc>
      </w:tr>
      <w:tr>
        <w:tc>
          <w:tcPr/>
          <w:p>
            <w:pPr>
              <w:pStyle w:val="Compact"/>
              <w:jc w:val="left"/>
            </w:pPr>
            <w:r>
              <w:rPr>
                <w:bCs/>
                <w:b/>
              </w:rPr>
              <w:t xml:space="preserve">Flow / Journey</w:t>
            </w:r>
          </w:p>
        </w:tc>
        <w:tc>
          <w:tcPr/>
          <w:p>
            <w:pPr>
              <w:pStyle w:val="Compact"/>
              <w:jc w:val="left"/>
            </w:pPr>
            <w:r>
              <w:t xml:space="preserve">Funnel visualisation, Sankey diagram, journey path, segment migration flow, hierarchy tree</w:t>
            </w:r>
          </w:p>
        </w:tc>
        <w:tc>
          <w:tcPr/>
          <w:p>
            <w:pPr>
              <w:pStyle w:val="Compact"/>
              <w:jc w:val="left"/>
            </w:pPr>
            <w:r>
              <w:t xml:space="preserve">Configurable: stages, data query per stage, drop-off calculation, click-to-filter.</w:t>
            </w:r>
          </w:p>
        </w:tc>
      </w:tr>
      <w:tr>
        <w:tc>
          <w:tcPr/>
          <w:p>
            <w:pPr>
              <w:pStyle w:val="Compact"/>
              <w:jc w:val="left"/>
            </w:pPr>
            <w:r>
              <w:rPr>
                <w:bCs/>
                <w:b/>
              </w:rPr>
              <w:t xml:space="preserve">Input / Filter</w:t>
            </w:r>
          </w:p>
        </w:tc>
        <w:tc>
          <w:tcPr/>
          <w:p>
            <w:pPr>
              <w:pStyle w:val="Compact"/>
              <w:jc w:val="left"/>
            </w:pPr>
            <w:r>
              <w:t xml:space="preserve">Date range picker, hierarchy picker (from AC02), segment selector, multi-select filter, search bar, toggle switch</w:t>
            </w:r>
          </w:p>
        </w:tc>
        <w:tc>
          <w:tcPr/>
          <w:p>
            <w:pPr>
              <w:pStyle w:val="Compact"/>
              <w:jc w:val="left"/>
            </w:pPr>
            <w:r>
              <w:t xml:space="preserve">Configurable: filter type, options source (static or API), default value, cross-widget binding (changing a filter updates all widgets on the screen).</w:t>
            </w:r>
          </w:p>
        </w:tc>
      </w:tr>
      <w:tr>
        <w:tc>
          <w:tcPr/>
          <w:p>
            <w:pPr>
              <w:pStyle w:val="Compact"/>
              <w:jc w:val="left"/>
            </w:pPr>
            <w:r>
              <w:rPr>
                <w:bCs/>
                <w:b/>
              </w:rPr>
              <w:t xml:space="preserve">Conversational</w:t>
            </w:r>
          </w:p>
        </w:tc>
        <w:tc>
          <w:tcPr/>
          <w:p>
            <w:pPr>
              <w:pStyle w:val="Compact"/>
              <w:jc w:val="left"/>
            </w:pPr>
            <w:r>
              <w:t xml:space="preserve">NL query input, AI response card, explanation card, recommendation card</w:t>
            </w:r>
          </w:p>
        </w:tc>
        <w:tc>
          <w:tcPr/>
          <w:p>
            <w:pPr>
              <w:pStyle w:val="Compact"/>
              <w:jc w:val="left"/>
            </w:pPr>
            <w:r>
              <w:t xml:space="preserve">Configurable: LLM model (via A05), system prompt, schema context, response format.</w:t>
            </w:r>
          </w:p>
        </w:tc>
      </w:tr>
      <w:tr>
        <w:tc>
          <w:tcPr/>
          <w:p>
            <w:pPr>
              <w:pStyle w:val="Compact"/>
              <w:jc w:val="left"/>
            </w:pPr>
            <w:r>
              <w:rPr>
                <w:bCs/>
                <w:b/>
              </w:rPr>
              <w:t xml:space="preserve">Alerts &amp; Actions</w:t>
            </w:r>
          </w:p>
        </w:tc>
        <w:tc>
          <w:tcPr/>
          <w:p>
            <w:pPr>
              <w:pStyle w:val="Compact"/>
              <w:jc w:val="left"/>
            </w:pPr>
            <w:r>
              <w:t xml:space="preserve">Alert feed, notification list, approval queue, action button group, decision confirmation</w:t>
            </w:r>
          </w:p>
        </w:tc>
        <w:tc>
          <w:tcPr/>
          <w:p>
            <w:pPr>
              <w:pStyle w:val="Compact"/>
              <w:jc w:val="left"/>
            </w:pPr>
            <w:r>
              <w:t xml:space="preserve">Configurable: alert source (O02), priority filter, action handlers, escalation display.</w:t>
            </w:r>
          </w:p>
        </w:tc>
      </w:tr>
    </w:tbl>
    <w:p>
      <w:pPr>
        <w:pStyle w:val="BodyText"/>
      </w:pPr>
      <w:r>
        <w:rPr>
          <w:bCs/>
          <w:b/>
        </w:rPr>
        <w:t xml:space="preserve">UX01-FR-012</w:t>
      </w:r>
      <w:r>
        <w:t xml:space="preserve"> </w:t>
      </w:r>
      <w:r>
        <w:t xml:space="preserve">Each widget SHALL be theme-aware: chart colours, card backgrounds, border radii, font sizes, and number formatting (IC02 locale) are derived from the tenant’s theme configuration. No widget contains hardcoded colours or locale-specific formatting.</w:t>
      </w:r>
    </w:p>
    <w:p>
      <w:pPr>
        <w:pStyle w:val="BodyText"/>
      </w:pPr>
      <w:r>
        <w:rPr>
          <w:bCs/>
          <w:b/>
        </w:rPr>
        <w:t xml:space="preserve">UX01-FR-013</w:t>
      </w:r>
      <w:r>
        <w:t xml:space="preserve"> </w:t>
      </w:r>
      <w:r>
        <w:t xml:space="preserve">Each widget SHALL carry a Data Quality Indicator derived from D04: a small confidence badge (HIGH/MEDIUM/LOW) showing the quality of the underlying data. A revenue KPI card shows</w:t>
      </w:r>
      <w:r>
        <w:t xml:space="preserve"> </w:t>
      </w:r>
      <w:r>
        <w:t xml:space="preserve">‘</w:t>
      </w:r>
      <w:r>
        <w:t xml:space="preserve">₹4.2 Cr (HIGH confidence — 98% source completeness)</w:t>
      </w:r>
      <w:r>
        <w:t xml:space="preserve">’</w:t>
      </w:r>
      <w:r>
        <w:t xml:space="preserve"> </w:t>
      </w:r>
      <w:r>
        <w:t xml:space="preserve">or</w:t>
      </w:r>
      <w:r>
        <w:t xml:space="preserve"> </w:t>
      </w:r>
      <w:r>
        <w:t xml:space="preserve">‘</w:t>
      </w:r>
      <w:r>
        <w:t xml:space="preserve">₹2.1 Cr (LOW — 67% completeness, 3 sources delayed)</w:t>
      </w:r>
      <w:r>
        <w:t xml:space="preserve">’</w:t>
      </w:r>
      <w:r>
        <w:t xml:space="preserve">. This builds trust in the analytics.</w:t>
      </w:r>
    </w:p>
    <w:bookmarkEnd w:id="262"/>
    <w:bookmarkStart w:id="263" w:name="sub-system-3-layout-engine"/>
    <w:p>
      <w:pPr>
        <w:pStyle w:val="Heading2"/>
      </w:pPr>
      <w:r>
        <w:t xml:space="preserve">1.4 Sub-System 3: Layout Engine</w:t>
      </w:r>
    </w:p>
    <w:p>
      <w:pPr>
        <w:pStyle w:val="FirstParagraph"/>
      </w:pPr>
      <w:r>
        <w:rPr>
          <w:bCs/>
          <w:b/>
        </w:rPr>
        <w:t xml:space="preserve">UX01-FR-020</w:t>
      </w:r>
      <w:r>
        <w:t xml:space="preserve"> </w:t>
      </w:r>
      <w:r>
        <w:t xml:space="preserve">Each screen’s layout SHALL be defined as a JSON configuration stored in F04: { screen_id, tenant_id (null for vertical default), layout: { rows: [{ columns: [{ widget_id, widget_config, col_span }] }] }, filters: [{ filter_widget_id, position, cross_widget_binding }], default_time_range, refresh_interval_seconds }</w:t>
      </w:r>
    </w:p>
    <w:p>
      <w:pPr>
        <w:pStyle w:val="BodyText"/>
      </w:pPr>
      <w:r>
        <w:rPr>
          <w:bCs/>
          <w:b/>
        </w:rPr>
        <w:t xml:space="preserve">UX01-FR-021</w:t>
      </w:r>
      <w:r>
        <w:t xml:space="preserve"> </w:t>
      </w:r>
      <w:r>
        <w:t xml:space="preserve">The layout grid SHALL use a 12-column responsive grid system. A widget can span 3 columns (quarter-width), 4 columns (third-width), 6 columns (half-width), or 12 columns (full-width). On mobile, all widgets stack to full-width.</w:t>
      </w:r>
    </w:p>
    <w:p>
      <w:pPr>
        <w:pStyle w:val="BodyText"/>
      </w:pPr>
      <w:r>
        <w:rPr>
          <w:bCs/>
          <w:b/>
        </w:rPr>
        <w:t xml:space="preserve">UX01-FR-022</w:t>
      </w:r>
      <w:r>
        <w:t xml:space="preserve"> </w:t>
      </w:r>
      <w:r>
        <w:t xml:space="preserve">Enterprise-tier tenants SHALL have a Dashboard Builder interface where Tenant Admins can: drag widgets from the library onto a grid, configure each widget’s data query and display options, set cross-widget filter bindings, save as a new custom screen, and share with specific roles or all users.</w:t>
      </w:r>
    </w:p>
    <w:p>
      <w:pPr>
        <w:pStyle w:val="BodyText"/>
      </w:pPr>
      <w:r>
        <w:rPr>
          <w:bCs/>
          <w:b/>
        </w:rPr>
        <w:t xml:space="preserve">UX01-FR-023</w:t>
      </w:r>
      <w:r>
        <w:t xml:space="preserve"> </w:t>
      </w:r>
      <w:r>
        <w:t xml:space="preserve">Screen refresh: widgets SHALL support three refresh modes: (a) Manual (user clicks refresh), (b) Interval (configurable: 60s, 5min, 15min, 1hr), (c) Event-driven (widget refreshes when a relevant Pub/Sub event indicates new data). Default: interval at 5 minutes for dashboards, event-driven for Alert Centre.</w:t>
      </w:r>
    </w:p>
    <w:bookmarkEnd w:id="263"/>
    <w:bookmarkStart w:id="264" w:name="acceptance-criteria-23"/>
    <w:p>
      <w:pPr>
        <w:pStyle w:val="Heading2"/>
      </w:pPr>
      <w:r>
        <w:t xml:space="preserve">1.5 Acceptance Criteria</w:t>
      </w:r>
    </w:p>
    <w:p>
      <w:pPr>
        <w:pStyle w:val="FirstParagraph"/>
      </w:pPr>
      <w:r>
        <w:t xml:space="preserve">Two tenants in different verticals (retail vs. digital signage) see completely different navigation menus, screen layouts, and widget compositions — from the same deployed frontend.</w:t>
      </w:r>
    </w:p>
    <w:p>
      <w:pPr>
        <w:pStyle w:val="BodyText"/>
      </w:pPr>
      <w:r>
        <w:t xml:space="preserve">A retail tenant’s Executive Dashboard shows footfall, conversion, basket value, and loyalty tier distribution. Adding a new KPI widget takes &lt;5 minutes via the Dashboard Builder (Enterprise tier) or Admin Console configuration (all tiers).</w:t>
      </w:r>
    </w:p>
    <w:p>
      <w:pPr>
        <w:pStyle w:val="BodyText"/>
      </w:pPr>
      <w:r>
        <w:t xml:space="preserve">Removing a data source (e.g., disconnecting inventory) automatically hides the Inventory Intelligence screen from the tenant’s navigation — no manual configuration needed.</w:t>
      </w:r>
    </w:p>
    <w:p>
      <w:pPr>
        <w:pStyle w:val="BodyText"/>
      </w:pPr>
      <w:r>
        <w:t xml:space="preserve">A widget renders correctly in both light and dark mode, with the tenant’s brand colours, and with Indian locale formatting (₹1,00,000 not $100,000).</w:t>
      </w:r>
    </w:p>
    <w:p>
      <w:pPr>
        <w:pStyle w:val="BodyText"/>
      </w:pPr>
      <w:r>
        <w:t xml:space="preserve">Every widget displays a data quality confidence badge. When source data is delayed, the badge changes from HIGH to LOW and the affected widgets show a subtle warning overlay.</w:t>
      </w:r>
    </w:p>
    <w:bookmarkEnd w:id="264"/>
    <w:bookmarkEnd w:id="265"/>
    <w:bookmarkStart w:id="266" w:name="customer-facing-analytical-screens"/>
    <w:p>
      <w:pPr>
        <w:pStyle w:val="Heading1"/>
      </w:pPr>
      <w:r>
        <w:t xml:space="preserve">Customer-Facing Analytical Screens</w:t>
      </w:r>
    </w:p>
    <w:p>
      <w:pPr>
        <w:pStyle w:val="FirstParagraph"/>
      </w:pPr>
      <w:r>
        <w:t xml:space="preserve">The following 10 screens define the complete analytical experience for the retail vertical. Each screen is composed from the UX01 Widget Library and served through the Screen Registry. For other verticals, equivalent screens will be defined in the vertical’s IC01 ontology package.</w:t>
      </w:r>
    </w:p>
    <w:bookmarkEnd w:id="266"/>
    <w:bookmarkStart w:id="269" w:name="cx-01-executive-dashboard"/>
    <w:p>
      <w:pPr>
        <w:pStyle w:val="Heading1"/>
      </w:pPr>
      <w:r>
        <w:t xml:space="preserve">CX-01 — Executive Dashboard</w:t>
      </w:r>
    </w:p>
    <w:tbl>
      <w:tblPr>
        <w:tblStyle w:val="Table"/>
        <w:tblW w:type="pct" w:w="4915"/>
        <w:tblLook w:firstRow="0" w:lastRow="0" w:firstColumn="0" w:lastColumn="0" w:noHBand="0" w:noVBand="0" w:val="0000"/>
        <w:jc w:val="start"/>
      </w:tblPr>
      <w:tblGrid>
        <w:gridCol w:w="1895"/>
        <w:gridCol w:w="5889"/>
      </w:tblGrid>
      <w:t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rPr>
                <w:bCs/>
                <w:b/>
              </w:rPr>
              <w:t xml:space="preserve">Primary Users</w:t>
            </w:r>
          </w:p>
        </w:tc>
        <w:tc>
          <w:tcPr/>
          <w:p>
            <w:pPr>
              <w:pStyle w:val="Compact"/>
              <w:jc w:val="left"/>
            </w:pPr>
            <w:r>
              <w:t xml:space="preserve">CEO, VP Retail, Regional Managers, Store Managers</w:t>
            </w:r>
          </w:p>
        </w:tc>
      </w:tr>
      <w:tr>
        <w:tc>
          <w:tcPr/>
          <w:p>
            <w:pPr>
              <w:pStyle w:val="Compact"/>
              <w:jc w:val="left"/>
            </w:pPr>
            <w:r>
              <w:rPr>
                <w:bCs/>
                <w:b/>
              </w:rPr>
              <w:t xml:space="preserve">Opening Frequency</w:t>
            </w:r>
          </w:p>
        </w:tc>
        <w:tc>
          <w:tcPr/>
          <w:p>
            <w:pPr>
              <w:pStyle w:val="Compact"/>
              <w:jc w:val="left"/>
            </w:pPr>
            <w:r>
              <w:t xml:space="preserve">Daily (first screen on login)</w:t>
            </w:r>
          </w:p>
        </w:tc>
      </w:tr>
      <w:tr>
        <w:tc>
          <w:tcPr/>
          <w:p>
            <w:pPr>
              <w:pStyle w:val="Compact"/>
              <w:jc w:val="left"/>
            </w:pPr>
            <w:r>
              <w:rPr>
                <w:bCs/>
                <w:b/>
              </w:rPr>
              <w:t xml:space="preserve">Key Question Answered</w:t>
            </w:r>
          </w:p>
        </w:tc>
        <w:tc>
          <w:tcPr/>
          <w:p>
            <w:pPr>
              <w:pStyle w:val="Compact"/>
              <w:jc w:val="left"/>
            </w:pPr>
            <w:r>
              <w:t xml:space="preserve">“</w:t>
            </w:r>
            <w:r>
              <w:t xml:space="preserve">How is the business performing right now, and what needs my attention?</w:t>
            </w:r>
            <w:r>
              <w:t xml:space="preserve">”</w:t>
            </w:r>
          </w:p>
        </w:tc>
      </w:tr>
      <w:tr>
        <w:tc>
          <w:tcPr/>
          <w:p>
            <w:pPr>
              <w:pStyle w:val="Compact"/>
              <w:jc w:val="left"/>
            </w:pPr>
            <w:r>
              <w:rPr>
                <w:bCs/>
                <w:b/>
              </w:rPr>
              <w:t xml:space="preserve">Hierarchy Scope</w:t>
            </w:r>
          </w:p>
        </w:tc>
        <w:tc>
          <w:tcPr/>
          <w:p>
            <w:pPr>
              <w:pStyle w:val="Compact"/>
              <w:jc w:val="left"/>
            </w:pPr>
            <w:r>
              <w:t xml:space="preserve">Auto-scoped to user’s hierarchy node. CEO sees chain. Store manager sees store.</w:t>
            </w:r>
          </w:p>
        </w:tc>
      </w:tr>
      <w:tr>
        <w:tc>
          <w:tcPr/>
          <w:p>
            <w:pPr>
              <w:pStyle w:val="Compact"/>
              <w:jc w:val="left"/>
            </w:pPr>
            <w:r>
              <w:rPr>
                <w:bCs/>
                <w:b/>
              </w:rPr>
              <w:t xml:space="preserve">Backend Modules</w:t>
            </w:r>
          </w:p>
        </w:tc>
        <w:tc>
          <w:tcPr/>
          <w:p>
            <w:pPr>
              <w:pStyle w:val="Compact"/>
              <w:jc w:val="left"/>
            </w:pPr>
            <w:r>
              <w:t xml:space="preserve">D01 (Gold KPIs), D04 (quality scores), O02 (alerts), AC02 (hierarchy), IC02 (locale)</w:t>
            </w:r>
          </w:p>
        </w:tc>
      </w:tr>
    </w:tbl>
    <w:bookmarkStart w:id="267" w:name="layout"/>
    <w:p>
      <w:pPr>
        <w:pStyle w:val="Heading2"/>
      </w:pPr>
      <w:r>
        <w:t xml:space="preserve">Layout</w:t>
      </w:r>
    </w:p>
    <w:p>
      <w:pPr>
        <w:pStyle w:val="FirstParagraph"/>
      </w:pPr>
      <w:r>
        <w:t xml:space="preserve">Row 1 — Global Filters (full-width): Date range picker (default: MTD) | Hierarchy picker (auto-set to user’s node, drillable) | Comparison toggle (vs. last period / vs. same period last year / vs. target).</w:t>
      </w:r>
    </w:p>
    <w:p>
      <w:pPr>
        <w:pStyle w:val="BodyText"/>
      </w:pPr>
      <w:r>
        <w:t xml:space="preserve">Row 2 — KPI Cards (4 cards, 3 columns each): Revenue (with trend sparkline and period comparison) | Transactions (count with trend) | Average Basket Value (with trend) | Conversion Rate (if footfall available, otherwise replaced by Units per Transaction).</w:t>
      </w:r>
    </w:p>
    <w:p>
      <w:pPr>
        <w:pStyle w:val="BodyText"/>
      </w:pPr>
      <w:r>
        <w:t xml:space="preserve">Row 3 — Main Visualisations (two 6-column widgets): Revenue trend chart (line/area, daily grain, with comparison overlay) | Store performance leaderboard (ranked table: top 10 and bottom 10 stores by revenue, with traffic-light indicators for KPIs).</w:t>
      </w:r>
    </w:p>
    <w:p>
      <w:pPr>
        <w:pStyle w:val="BodyText"/>
      </w:pPr>
      <w:r>
        <w:t xml:space="preserve">Row 4 — Secondary Insights (three 4-column widgets): Customer segment distribution (donut chart: high-value/active/at-risk/lapsed, with count and % of total) | Top products (bar chart: top 10 SKUs by revenue) | Active alerts feed (list of top 5 alerts by severity from O02, each with a one-click action button).</w:t>
      </w:r>
    </w:p>
    <w:p>
      <w:pPr>
        <w:pStyle w:val="BodyText"/>
      </w:pPr>
      <w:r>
        <w:t xml:space="preserve">Row 5 — Trend Summary (full-width): 4-week trend table showing week-over-week change for the 4 primary KPIs, colour-coded (green for improvement, red for decline).</w:t>
      </w:r>
    </w:p>
    <w:bookmarkEnd w:id="267"/>
    <w:bookmarkStart w:id="268" w:name="interactions"/>
    <w:p>
      <w:pPr>
        <w:pStyle w:val="Heading2"/>
      </w:pPr>
      <w:r>
        <w:t xml:space="preserve">Interactions</w:t>
      </w:r>
    </w:p>
    <w:p>
      <w:pPr>
        <w:pStyle w:val="FirstParagraph"/>
      </w:pPr>
      <w:r>
        <w:t xml:space="preserve">Click any KPI card → drills into the corresponding detailed screen (Revenue card → Store Performance, Basket Value → Product Analytics, Conversion → Store Performance).</w:t>
      </w:r>
    </w:p>
    <w:p>
      <w:pPr>
        <w:pStyle w:val="BodyText"/>
      </w:pPr>
      <w:r>
        <w:t xml:space="preserve">Click a store in the leaderboard → navigates to Store Performance pre-filtered to that store.</w:t>
      </w:r>
    </w:p>
    <w:p>
      <w:pPr>
        <w:pStyle w:val="BodyText"/>
      </w:pPr>
      <w:r>
        <w:t xml:space="preserve">Click a customer segment → navigates to Customer Segments pre-filtered to that segment.</w:t>
      </w:r>
    </w:p>
    <w:p>
      <w:pPr>
        <w:pStyle w:val="BodyText"/>
      </w:pPr>
      <w:r>
        <w:t xml:space="preserve">Click an alert → opens Alert Centre with that alert focused.</w:t>
      </w:r>
    </w:p>
    <w:p>
      <w:pPr>
        <w:pStyle w:val="BodyText"/>
      </w:pPr>
      <w:r>
        <w:t xml:space="preserve">Change hierarchy picker → all widgets on the page refresh with the new scope.</w:t>
      </w:r>
    </w:p>
    <w:p>
      <w:pPr>
        <w:pStyle w:val="BodyText"/>
      </w:pPr>
      <w:r>
        <w:t xml:space="preserve">Change date range → all widgets refresh. Comparison overlay updates.</w:t>
      </w:r>
    </w:p>
    <w:bookmarkEnd w:id="268"/>
    <w:bookmarkEnd w:id="269"/>
    <w:bookmarkStart w:id="272" w:name="cx-02-store-performance"/>
    <w:p>
      <w:pPr>
        <w:pStyle w:val="Heading1"/>
      </w:pPr>
      <w:r>
        <w:t xml:space="preserve">CX-02 — Store Performance</w:t>
      </w:r>
    </w:p>
    <w:tbl>
      <w:tblPr>
        <w:tblStyle w:val="Table"/>
        <w:tblW w:type="pct" w:w="4909"/>
        <w:tblLook w:firstRow="0" w:lastRow="0" w:firstColumn="0" w:lastColumn="0" w:noHBand="0" w:noVBand="0" w:val="0000"/>
        <w:jc w:val="start"/>
      </w:tblPr>
      <w:tblGrid>
        <w:gridCol w:w="1584"/>
        <w:gridCol w:w="6192"/>
      </w:tblGrid>
      <w:t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rPr>
                <w:bCs/>
                <w:b/>
              </w:rPr>
              <w:t xml:space="preserve">Primary Users</w:t>
            </w:r>
          </w:p>
        </w:tc>
        <w:tc>
          <w:tcPr/>
          <w:p>
            <w:pPr>
              <w:pStyle w:val="Compact"/>
              <w:jc w:val="left"/>
            </w:pPr>
            <w:r>
              <w:t xml:space="preserve">Store Managers, Regional Managers, Operations Team</w:t>
            </w:r>
          </w:p>
        </w:tc>
      </w:tr>
      <w:tr>
        <w:tc>
          <w:tcPr/>
          <w:p>
            <w:pPr>
              <w:pStyle w:val="Compact"/>
              <w:jc w:val="left"/>
            </w:pPr>
            <w:r>
              <w:rPr>
                <w:bCs/>
                <w:b/>
              </w:rPr>
              <w:t xml:space="preserve">Key Question</w:t>
            </w:r>
          </w:p>
        </w:tc>
        <w:tc>
          <w:tcPr/>
          <w:p>
            <w:pPr>
              <w:pStyle w:val="Compact"/>
              <w:jc w:val="left"/>
            </w:pPr>
            <w:r>
              <w:t xml:space="preserve">“</w:t>
            </w:r>
            <w:r>
              <w:t xml:space="preserve">How is this store/region performing and what’s driving the numbers?</w:t>
            </w:r>
            <w:r>
              <w:t xml:space="preserve">”</w:t>
            </w:r>
          </w:p>
        </w:tc>
      </w:tr>
      <w:tr>
        <w:tc>
          <w:tcPr/>
          <w:p>
            <w:pPr>
              <w:pStyle w:val="Compact"/>
              <w:jc w:val="left"/>
            </w:pPr>
            <w:r>
              <w:rPr>
                <w:bCs/>
                <w:b/>
              </w:rPr>
              <w:t xml:space="preserve">Backend Modules</w:t>
            </w:r>
          </w:p>
        </w:tc>
        <w:tc>
          <w:tcPr/>
          <w:p>
            <w:pPr>
              <w:pStyle w:val="Compact"/>
              <w:jc w:val="left"/>
            </w:pPr>
            <w:r>
              <w:t xml:space="preserve">D01 (Gold KPIs: store funnel), G04 (footfall if available), AC02 (hierarchy rollup)</w:t>
            </w:r>
          </w:p>
        </w:tc>
      </w:tr>
    </w:tbl>
    <w:bookmarkStart w:id="270" w:name="layout-1"/>
    <w:p>
      <w:pPr>
        <w:pStyle w:val="Heading2"/>
      </w:pPr>
      <w:r>
        <w:t xml:space="preserve">Layout</w:t>
      </w:r>
    </w:p>
    <w:p>
      <w:pPr>
        <w:pStyle w:val="FirstParagraph"/>
      </w:pPr>
      <w:r>
        <w:t xml:space="preserve">Row 1 — Filters: Date range | Store/region picker (hierarchy-scoped) | Compare mode (vs. last period / vs. other store).</w:t>
      </w:r>
    </w:p>
    <w:p>
      <w:pPr>
        <w:pStyle w:val="BodyText"/>
      </w:pPr>
      <w:r>
        <w:t xml:space="preserve">Row 2 — Store Funnel (full-width): Horizontal funnel visualisation: Footfall (if available) → Conversion Rate → Average Basket Size → Average Basket Value → Revenue. Each stage shows: absolute number, rate between stages, trend vs. previous period. If footfall data is unavailable, funnel starts at Transactions.</w:t>
      </w:r>
    </w:p>
    <w:p>
      <w:pPr>
        <w:pStyle w:val="BodyText"/>
      </w:pPr>
      <w:r>
        <w:t xml:space="preserve">Row 3 — Performance Grid (two 6-column widgets): Hourly performance heatmap (x=hour of day, y=day of week, colour=revenue intensity. Reveals peak trading hours.) | Revenue by category (stacked bar: category contribution to total store revenue).</w:t>
      </w:r>
    </w:p>
    <w:p>
      <w:pPr>
        <w:pStyle w:val="BodyText"/>
      </w:pPr>
      <w:r>
        <w:t xml:space="preserve">Row 4 — Zone Analytics (if G04 video active, full-width): Floor plan with zone overlays: zone dwell time (colour intensity), zone conversion (hover for detail), path analysis (most common customer path through zones). Falls back to department-level performance table if video not available.</w:t>
      </w:r>
    </w:p>
    <w:p>
      <w:pPr>
        <w:pStyle w:val="BodyText"/>
      </w:pPr>
      <w:r>
        <w:t xml:space="preserve">Row 5 — Store Comparison (full-width, regional manager view only): Side-by-side comparison of selected stores across 8 KPIs (revenue, conversion, basket, units, return rate, stock-out rate, revenue/sqft, customer satisfaction). Each KPI shows traffic-light status.</w:t>
      </w:r>
    </w:p>
    <w:bookmarkEnd w:id="270"/>
    <w:bookmarkStart w:id="271" w:name="interactions-1"/>
    <w:p>
      <w:pPr>
        <w:pStyle w:val="Heading2"/>
      </w:pPr>
      <w:r>
        <w:t xml:space="preserve">Interactions</w:t>
      </w:r>
    </w:p>
    <w:p>
      <w:pPr>
        <w:pStyle w:val="FirstParagraph"/>
      </w:pPr>
      <w:r>
        <w:t xml:space="preserve">Click a funnel stage → expands to show daily trend for that metric.</w:t>
      </w:r>
    </w:p>
    <w:p>
      <w:pPr>
        <w:pStyle w:val="BodyText"/>
      </w:pPr>
      <w:r>
        <w:t xml:space="preserve">Click a zone on the floor plan → shows zone detail panel: dwell time distribution, top products in zone, entry/exit patterns.</w:t>
      </w:r>
    </w:p>
    <w:p>
      <w:pPr>
        <w:pStyle w:val="BodyText"/>
      </w:pPr>
      <w:r>
        <w:t xml:space="preserve">Hover on the hourly heatmap cell → tooltip shows exact revenue, transactions, and staffing level for that hour.</w:t>
      </w:r>
    </w:p>
    <w:bookmarkEnd w:id="271"/>
    <w:bookmarkEnd w:id="272"/>
    <w:bookmarkStart w:id="274" w:name="cx-03-customer-360"/>
    <w:p>
      <w:pPr>
        <w:pStyle w:val="Heading1"/>
      </w:pPr>
      <w:r>
        <w:t xml:space="preserve">CX-03 — Customer 360</w:t>
      </w:r>
    </w:p>
    <w:tbl>
      <w:tblPr>
        <w:tblStyle w:val="Table"/>
        <w:tblW w:type="pct" w:w="4919"/>
        <w:tblLook w:firstRow="0" w:lastRow="0" w:firstColumn="0" w:lastColumn="0" w:noHBand="0" w:noVBand="0" w:val="0000"/>
        <w:jc w:val="start"/>
      </w:tblPr>
      <w:tblGrid>
        <w:gridCol w:w="1405"/>
        <w:gridCol w:w="6387"/>
      </w:tblGrid>
      <w:t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rPr>
                <w:bCs/>
                <w:b/>
              </w:rPr>
              <w:t xml:space="preserve">Primary Users</w:t>
            </w:r>
          </w:p>
        </w:tc>
        <w:tc>
          <w:tcPr/>
          <w:p>
            <w:pPr>
              <w:pStyle w:val="Compact"/>
              <w:jc w:val="left"/>
            </w:pPr>
            <w:r>
              <w:t xml:space="preserve">Store Staff (tablet), CRM Team, Marketing, Data Stewards</w:t>
            </w:r>
          </w:p>
        </w:tc>
      </w:tr>
      <w:tr>
        <w:tc>
          <w:tcPr/>
          <w:p>
            <w:pPr>
              <w:pStyle w:val="Compact"/>
              <w:jc w:val="left"/>
            </w:pPr>
            <w:r>
              <w:rPr>
                <w:bCs/>
                <w:b/>
              </w:rPr>
              <w:t xml:space="preserve">Key Question</w:t>
            </w:r>
          </w:p>
        </w:tc>
        <w:tc>
          <w:tcPr/>
          <w:p>
            <w:pPr>
              <w:pStyle w:val="Compact"/>
              <w:jc w:val="left"/>
            </w:pPr>
            <w:r>
              <w:t xml:space="preserve">“</w:t>
            </w:r>
            <w:r>
              <w:t xml:space="preserve">Who is this customer and what is their complete relationship with us?</w:t>
            </w:r>
            <w:r>
              <w:t xml:space="preserve">”</w:t>
            </w:r>
          </w:p>
        </w:tc>
      </w:tr>
      <w:tr>
        <w:tc>
          <w:tcPr/>
          <w:p>
            <w:pPr>
              <w:pStyle w:val="Compact"/>
              <w:jc w:val="left"/>
            </w:pPr>
            <w:r>
              <w:rPr>
                <w:bCs/>
                <w:b/>
              </w:rPr>
              <w:t xml:space="preserve">Backend Modules</w:t>
            </w:r>
          </w:p>
        </w:tc>
        <w:tc>
          <w:tcPr/>
          <w:p>
            <w:pPr>
              <w:pStyle w:val="Compact"/>
              <w:jc w:val="left"/>
            </w:pPr>
            <w:r>
              <w:t xml:space="preserve">I01 (identity), D01 (canonical), A01 (features), A07 (decisions), AC03 (consent), PR01 (purposes)</w:t>
            </w:r>
          </w:p>
        </w:tc>
      </w:tr>
    </w:tbl>
    <w:bookmarkStart w:id="273" w:name="layout-2"/>
    <w:p>
      <w:pPr>
        <w:pStyle w:val="Heading2"/>
      </w:pPr>
      <w:r>
        <w:t xml:space="preserve">Layout</w:t>
      </w:r>
    </w:p>
    <w:p>
      <w:pPr>
        <w:pStyle w:val="FirstParagraph"/>
      </w:pPr>
      <w:r>
        <w:t xml:space="preserve">Search Bar (full-width): Search by name, phone, email, or loyalty card number. Results show matched entities with confidence score. Click to load the 360 view.</w:t>
      </w:r>
    </w:p>
    <w:p>
      <w:pPr>
        <w:pStyle w:val="BodyText"/>
      </w:pPr>
      <w:r>
        <w:t xml:space="preserve">Left Column (4 columns) — Identity Card: Customer name and avatar/initials | Loyalty tier badge (Bronze/Silver/Gold/Platinum) | Contact information (RBAC-masked: store staff sees masked phone</w:t>
      </w:r>
      <w:r>
        <w:t xml:space="preserve"> </w:t>
      </w:r>
      <w:r>
        <w:t xml:space="preserve">“</w:t>
      </w:r>
      <w:r>
        <w:t xml:space="preserve">+91-XXXXX-67890</w:t>
      </w:r>
      <w:r>
        <w:t xml:space="preserve">”</w:t>
      </w:r>
      <w:r>
        <w:t xml:space="preserve">, CRM team sees full number) | Segment badge (</w:t>
      </w:r>
      <w:r>
        <w:t xml:space="preserve">“</w:t>
      </w:r>
      <w:r>
        <w:t xml:space="preserve">High Value Regular</w:t>
      </w:r>
      <w:r>
        <w:t xml:space="preserve">”</w:t>
      </w:r>
      <w:r>
        <w:t xml:space="preserve">) | Key metrics: CLV, lifetime spend, total transactions, member since, churn risk score (0-100 with colour) | Consent status per purpose (analytics: granted, marketing: granted, recognition: not granted) | Identity signals: which source systems contribute to this identity (POS, CRM, e-commerce icons).</w:t>
      </w:r>
    </w:p>
    <w:p>
      <w:pPr>
        <w:pStyle w:val="BodyText"/>
      </w:pPr>
      <w:r>
        <w:t xml:space="preserve">Right Column (8 columns) — Tabbed Detail View:</w:t>
      </w:r>
    </w:p>
    <w:p>
      <w:pPr>
        <w:pStyle w:val="BodyText"/>
      </w:pPr>
      <w:r>
        <w:t xml:space="preserve">Purchase History tab: Timeline of all transactions (in-store + online), each showing: date, store/channel, products, amount, payment method, loyalty points earned. Sortable and filterable. Click a transaction to expand line items.</w:t>
      </w:r>
    </w:p>
    <w:p>
      <w:pPr>
        <w:pStyle w:val="BodyText"/>
      </w:pPr>
      <w:r>
        <w:t xml:space="preserve">Product Affinity tab: Products purchased most frequently, product categories, brand preferences.</w:t>
      </w:r>
      <w:r>
        <w:t xml:space="preserve"> </w:t>
      </w:r>
      <w:r>
        <w:t xml:space="preserve">“</w:t>
      </w:r>
      <w:r>
        <w:t xml:space="preserve">Products this customer might like</w:t>
      </w:r>
      <w:r>
        <w:t xml:space="preserve">”</w:t>
      </w:r>
      <w:r>
        <w:t xml:space="preserve"> </w:t>
      </w:r>
      <w:r>
        <w:t xml:space="preserve">(A02 recommendation algorithm output).</w:t>
      </w:r>
    </w:p>
    <w:p>
      <w:pPr>
        <w:pStyle w:val="BodyText"/>
      </w:pPr>
      <w:r>
        <w:t xml:space="preserve">Journey tab: Visual timeline of all interactions across channels: store visits, online sessions, email opens, loyalty point events, campaign exposures. Powered by S02 cross-modal correlation.</w:t>
      </w:r>
    </w:p>
    <w:p>
      <w:pPr>
        <w:pStyle w:val="BodyText"/>
      </w:pPr>
      <w:r>
        <w:t xml:space="preserve">Loyalty tab: Points balance, points history (earned/redeemed), tier journey (timeline of tier changes with SCD Type 2 history), projected tier at next review date.</w:t>
      </w:r>
    </w:p>
    <w:p>
      <w:pPr>
        <w:pStyle w:val="BodyText"/>
      </w:pPr>
      <w:r>
        <w:t xml:space="preserve">Predictions tab: Algorithm outputs for this customer: churn risk (with explanation from A07), predicted next purchase date, predicted next purchase category, estimated CLV. Each prediction has a</w:t>
      </w:r>
      <w:r>
        <w:t xml:space="preserve"> </w:t>
      </w:r>
      <w:r>
        <w:t xml:space="preserve">“</w:t>
      </w:r>
      <w:r>
        <w:t xml:space="preserve">Why?</w:t>
      </w:r>
      <w:r>
        <w:t xml:space="preserve">”</w:t>
      </w:r>
      <w:r>
        <w:t xml:space="preserve"> </w:t>
      </w:r>
      <w:r>
        <w:t xml:space="preserve">button showing the A07 SHAP explanation.</w:t>
      </w:r>
    </w:p>
    <w:p>
      <w:pPr>
        <w:pStyle w:val="BodyText"/>
      </w:pPr>
      <w:r>
        <w:t xml:space="preserve">Decisions tab: All algorithmic decisions made about this customer (from A03 Decision Log): segment assignments, promotion offers, risk assessments. Each with date, algorithm version, outcome (if linked via FB02), and natural language explanation.</w:t>
      </w:r>
    </w:p>
    <w:p>
      <w:pPr>
        <w:pStyle w:val="BodyText"/>
      </w:pPr>
      <w:r>
        <w:t xml:space="preserve">Privacy tab (Data Steward only): Consent history, DSAR requests, data sources contributing to this entity, retention dates per data category,</w:t>
      </w:r>
      <w:r>
        <w:t xml:space="preserve"> </w:t>
      </w:r>
      <w:r>
        <w:t xml:space="preserve">“</w:t>
      </w:r>
      <w:r>
        <w:t xml:space="preserve">Initiate erasure</w:t>
      </w:r>
      <w:r>
        <w:t xml:space="preserve">”</w:t>
      </w:r>
      <w:r>
        <w:t xml:space="preserve"> </w:t>
      </w:r>
      <w:r>
        <w:t xml:space="preserve">button.</w:t>
      </w:r>
    </w:p>
    <w:bookmarkEnd w:id="273"/>
    <w:bookmarkEnd w:id="274"/>
    <w:bookmarkStart w:id="276" w:name="cx-04-alert-centre"/>
    <w:p>
      <w:pPr>
        <w:pStyle w:val="Heading1"/>
      </w:pPr>
      <w:r>
        <w:t xml:space="preserve">CX-04 — Alert Centre</w:t>
      </w:r>
    </w:p>
    <w:tbl>
      <w:tblPr>
        <w:tblStyle w:val="Table"/>
        <w:tblW w:type="pct" w:w="4912"/>
        <w:tblLook w:firstRow="0" w:lastRow="0" w:firstColumn="0" w:lastColumn="0" w:noHBand="0" w:noVBand="0" w:val="0000"/>
        <w:jc w:val="start"/>
      </w:tblPr>
      <w:tblGrid>
        <w:gridCol w:w="1541"/>
        <w:gridCol w:w="6237"/>
      </w:tblGrid>
      <w:t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rPr>
                <w:bCs/>
                <w:b/>
              </w:rPr>
              <w:t xml:space="preserve">Primary Users</w:t>
            </w:r>
          </w:p>
        </w:tc>
        <w:tc>
          <w:tcPr/>
          <w:p>
            <w:pPr>
              <w:pStyle w:val="Compact"/>
              <w:jc w:val="left"/>
            </w:pPr>
            <w:r>
              <w:t xml:space="preserve">Store Managers, Operations Team, Regional Managers</w:t>
            </w:r>
          </w:p>
        </w:tc>
      </w:tr>
      <w:tr>
        <w:tc>
          <w:tcPr/>
          <w:p>
            <w:pPr>
              <w:pStyle w:val="Compact"/>
              <w:jc w:val="left"/>
            </w:pPr>
            <w:r>
              <w:rPr>
                <w:bCs/>
                <w:b/>
              </w:rPr>
              <w:t xml:space="preserve">Key Question</w:t>
            </w:r>
          </w:p>
        </w:tc>
        <w:tc>
          <w:tcPr/>
          <w:p>
            <w:pPr>
              <w:pStyle w:val="Compact"/>
              <w:jc w:val="left"/>
            </w:pPr>
            <w:r>
              <w:t xml:space="preserve">“</w:t>
            </w:r>
            <w:r>
              <w:t xml:space="preserve">What needs my attention right now, and what should I do about it?</w:t>
            </w:r>
            <w:r>
              <w:t xml:space="preserve">”</w:t>
            </w:r>
          </w:p>
        </w:tc>
      </w:tr>
      <w:tr>
        <w:tc>
          <w:tcPr/>
          <w:p>
            <w:pPr>
              <w:pStyle w:val="Compact"/>
              <w:jc w:val="left"/>
            </w:pPr>
            <w:r>
              <w:rPr>
                <w:bCs/>
                <w:b/>
              </w:rPr>
              <w:t xml:space="preserve">Backend Modules</w:t>
            </w:r>
          </w:p>
        </w:tc>
        <w:tc>
          <w:tcPr/>
          <w:p>
            <w:pPr>
              <w:pStyle w:val="Compact"/>
              <w:jc w:val="left"/>
            </w:pPr>
            <w:r>
              <w:t xml:space="preserve">O02 (alerts), A03 (decision pipelines), AC02 (hierarchy routing), D04 (quality alerts)</w:t>
            </w:r>
          </w:p>
        </w:tc>
      </w:tr>
    </w:tbl>
    <w:bookmarkStart w:id="275" w:name="layout-3"/>
    <w:p>
      <w:pPr>
        <w:pStyle w:val="Heading2"/>
      </w:pPr>
      <w:r>
        <w:t xml:space="preserve">Layout</w:t>
      </w:r>
    </w:p>
    <w:p>
      <w:pPr>
        <w:pStyle w:val="FirstParagraph"/>
      </w:pPr>
      <w:r>
        <w:t xml:space="preserve">Row 1 — Alert Summary: 4 KPI cards showing: Critical alerts (count, red), High alerts (count, amber), Pending actions (count, blue), Resolved today (count, green).</w:t>
      </w:r>
    </w:p>
    <w:p>
      <w:pPr>
        <w:pStyle w:val="BodyText"/>
      </w:pPr>
      <w:r>
        <w:t xml:space="preserve">Row 2 — Alert Feed (full-width): Chronological list of alerts, each showing: severity badge | alert type icon (stockout, KPI breach, quality, churn spike, anomaly, system) | title (</w:t>
      </w:r>
      <w:r>
        <w:t xml:space="preserve">“</w:t>
      </w:r>
      <w:r>
        <w:t xml:space="preserve">Stockout predicted: Tea Tree Facial Wash at MUM-BKC-001 in 2 days</w:t>
      </w:r>
      <w:r>
        <w:t xml:space="preserve">”</w:t>
      </w:r>
      <w:r>
        <w:t xml:space="preserve">) | timestamp | recommended action (</w:t>
      </w:r>
      <w:r>
        <w:t xml:space="preserve">“</w:t>
      </w:r>
      <w:r>
        <w:t xml:space="preserve">Trigger replenishment order</w:t>
      </w:r>
      <w:r>
        <w:t xml:space="preserve">”</w:t>
      </w:r>
      <w:r>
        <w:t xml:space="preserve">) | action button (</w:t>
      </w:r>
      <w:r>
        <w:t xml:space="preserve">“</w:t>
      </w:r>
      <w:r>
        <w:t xml:space="preserve">Act on this</w:t>
      </w:r>
      <w:r>
        <w:t xml:space="preserve">”</w:t>
      </w:r>
      <w:r>
        <w:t xml:space="preserve"> </w:t>
      </w:r>
      <w:r>
        <w:t xml:space="preserve">triggers A03 decision pipeline or manual action) | dismiss button. Filterable by: severity, type, store/region, time range. Deduplication: repeated alerts show count (</w:t>
      </w:r>
      <w:r>
        <w:t xml:space="preserve">“</w:t>
      </w:r>
      <w:r>
        <w:t xml:space="preserve">fired 12 times in 4 hours</w:t>
      </w:r>
      <w:r>
        <w:t xml:space="preserve">”</w:t>
      </w:r>
      <w:r>
        <w:t xml:space="preserve">) not 12 separate entries.</w:t>
      </w:r>
    </w:p>
    <w:p>
      <w:pPr>
        <w:pStyle w:val="BodyText"/>
      </w:pPr>
      <w:r>
        <w:t xml:space="preserve">Row 3 — Alert Trends (6-column): Line chart showing alert volume by type over the last 30 days. Helps identify systemic issues (are stockout alerts increasing?).</w:t>
      </w:r>
    </w:p>
    <w:p>
      <w:pPr>
        <w:pStyle w:val="BodyText"/>
      </w:pPr>
      <w:r>
        <w:t xml:space="preserve">Row 3 — Resolution Metrics (6-column): Average time to acknowledge, average time to resolve, SLA compliance rate per alert type.</w:t>
      </w:r>
    </w:p>
    <w:bookmarkEnd w:id="275"/>
    <w:bookmarkEnd w:id="276"/>
    <w:bookmarkStart w:id="278" w:name="cx-05-ask-cortex-natural-language-query"/>
    <w:p>
      <w:pPr>
        <w:pStyle w:val="Heading1"/>
      </w:pPr>
      <w:r>
        <w:t xml:space="preserve">CX-05 — Ask Cortex (Natural Language Query)</w:t>
      </w:r>
    </w:p>
    <w:tbl>
      <w:tblPr>
        <w:tblStyle w:val="Table"/>
        <w:tblW w:type="pct" w:w="4927"/>
        <w:tblLook w:firstRow="0" w:lastRow="0" w:firstColumn="0" w:lastColumn="0" w:noHBand="0" w:noVBand="0" w:val="0000"/>
        <w:jc w:val="start"/>
      </w:tblPr>
      <w:tblGrid>
        <w:gridCol w:w="1271"/>
        <w:gridCol w:w="6532"/>
      </w:tblGrid>
      <w:t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rPr>
                <w:bCs/>
                <w:b/>
              </w:rPr>
              <w:t xml:space="preserve">Primary Users</w:t>
            </w:r>
          </w:p>
        </w:tc>
        <w:tc>
          <w:tcPr/>
          <w:p>
            <w:pPr>
              <w:pStyle w:val="Compact"/>
              <w:jc w:val="left"/>
            </w:pPr>
            <w:r>
              <w:t xml:space="preserve">Everyone (no SQL or analytics expertise needed)</w:t>
            </w:r>
          </w:p>
        </w:tc>
      </w:tr>
      <w:tr>
        <w:tc>
          <w:tcPr/>
          <w:p>
            <w:pPr>
              <w:pStyle w:val="Compact"/>
              <w:jc w:val="left"/>
            </w:pPr>
            <w:r>
              <w:rPr>
                <w:bCs/>
                <w:b/>
              </w:rPr>
              <w:t xml:space="preserve">Key Question</w:t>
            </w:r>
          </w:p>
        </w:tc>
        <w:tc>
          <w:tcPr/>
          <w:p>
            <w:pPr>
              <w:pStyle w:val="Compact"/>
              <w:jc w:val="left"/>
            </w:pPr>
            <w:r>
              <w:t xml:space="preserve">Any question the user can express in natural language</w:t>
            </w:r>
          </w:p>
        </w:tc>
      </w:tr>
      <w:tr>
        <w:tc>
          <w:tcPr/>
          <w:p>
            <w:pPr>
              <w:pStyle w:val="Compact"/>
              <w:jc w:val="left"/>
            </w:pPr>
            <w:r>
              <w:rPr>
                <w:bCs/>
                <w:b/>
              </w:rPr>
              <w:t xml:space="preserve">Backend Modules</w:t>
            </w:r>
          </w:p>
        </w:tc>
        <w:tc>
          <w:tcPr/>
          <w:p>
            <w:pPr>
              <w:pStyle w:val="Compact"/>
              <w:jc w:val="left"/>
            </w:pPr>
            <w:r>
              <w:t xml:space="preserve">A05 (LLM Gateway), E02 (Semantic Search), D01 (canonical schema), D06 (query execution), AC01 (RBAC filtering)</w:t>
            </w:r>
          </w:p>
        </w:tc>
      </w:tr>
    </w:tbl>
    <w:bookmarkStart w:id="277" w:name="layout-4"/>
    <w:p>
      <w:pPr>
        <w:pStyle w:val="Heading2"/>
      </w:pPr>
      <w:r>
        <w:t xml:space="preserve">Layout</w:t>
      </w:r>
    </w:p>
    <w:p>
      <w:pPr>
        <w:pStyle w:val="FirstParagraph"/>
      </w:pPr>
      <w:r>
        <w:t xml:space="preserve">Conversational interface: Large input field (</w:t>
      </w:r>
      <w:r>
        <w:t xml:space="preserve">“</w:t>
      </w:r>
      <w:r>
        <w:t xml:space="preserve">Ask Cortex anything about your business...</w:t>
      </w:r>
      <w:r>
        <w:t xml:space="preserve">”</w:t>
      </w:r>
      <w:r>
        <w:t xml:space="preserve">) | Suggested questions carousel (contextual:</w:t>
      </w:r>
      <w:r>
        <w:t xml:space="preserve"> </w:t>
      </w:r>
      <w:r>
        <w:t xml:space="preserve">“</w:t>
      </w:r>
      <w:r>
        <w:t xml:space="preserve">Top performing stores this week</w:t>
      </w:r>
      <w:r>
        <w:t xml:space="preserve">”</w:t>
      </w:r>
      <w:r>
        <w:t xml:space="preserve">,</w:t>
      </w:r>
      <w:r>
        <w:t xml:space="preserve"> </w:t>
      </w:r>
      <w:r>
        <w:t xml:space="preserve">“</w:t>
      </w:r>
      <w:r>
        <w:t xml:space="preserve">Customers at risk of churning</w:t>
      </w:r>
      <w:r>
        <w:t xml:space="preserve">”</w:t>
      </w:r>
      <w:r>
        <w:t xml:space="preserve">,</w:t>
      </w:r>
      <w:r>
        <w:t xml:space="preserve"> </w:t>
      </w:r>
      <w:r>
        <w:t xml:space="preserve">“</w:t>
      </w:r>
      <w:r>
        <w:t xml:space="preserve">Inventory status for skincare category</w:t>
      </w:r>
      <w:r>
        <w:t xml:space="preserve">”</w:t>
      </w:r>
      <w:r>
        <w:t xml:space="preserve">) | Response area: Cortex returns both a natural language answer and a supporting visualisation (auto-generated chart or table). Each response shows: the generated SQL/query (expandable, for transparency), a</w:t>
      </w:r>
      <w:r>
        <w:t xml:space="preserve"> </w:t>
      </w:r>
      <w:r>
        <w:t xml:space="preserve">“</w:t>
      </w:r>
      <w:r>
        <w:t xml:space="preserve">Save as widget</w:t>
      </w:r>
      <w:r>
        <w:t xml:space="preserve">”</w:t>
      </w:r>
      <w:r>
        <w:t xml:space="preserve"> </w:t>
      </w:r>
      <w:r>
        <w:t xml:space="preserve">button (adds this query as a widget to any dashboard), a</w:t>
      </w:r>
      <w:r>
        <w:t xml:space="preserve"> </w:t>
      </w:r>
      <w:r>
        <w:t xml:space="preserve">“</w:t>
      </w:r>
      <w:r>
        <w:t xml:space="preserve">Schedule this report</w:t>
      </w:r>
      <w:r>
        <w:t xml:space="preserve">”</w:t>
      </w:r>
      <w:r>
        <w:t xml:space="preserve"> </w:t>
      </w:r>
      <w:r>
        <w:t xml:space="preserve">button (runs this query daily/weekly and emails the result).</w:t>
      </w:r>
    </w:p>
    <w:p>
      <w:pPr>
        <w:pStyle w:val="BodyText"/>
      </w:pPr>
      <w:r>
        <w:t xml:space="preserve">The LLM prompt includes: the tenant’s canonical schema (D01), KPI definitions, hierarchy structure, and the user’s RBAC scope. This means</w:t>
      </w:r>
      <w:r>
        <w:t xml:space="preserve"> </w:t>
      </w:r>
      <w:r>
        <w:t xml:space="preserve">“</w:t>
      </w:r>
      <w:r>
        <w:t xml:space="preserve">show me revenue</w:t>
      </w:r>
      <w:r>
        <w:t xml:space="preserve">”</w:t>
      </w:r>
      <w:r>
        <w:t xml:space="preserve"> </w:t>
      </w:r>
      <w:r>
        <w:t xml:space="preserve">automatically scopes to the user’s stores and formats in the tenant’s currency.</w:t>
      </w:r>
    </w:p>
    <w:bookmarkEnd w:id="277"/>
    <w:bookmarkEnd w:id="278"/>
    <w:bookmarkStart w:id="280" w:name="cx-06-customer-segments"/>
    <w:p>
      <w:pPr>
        <w:pStyle w:val="Heading1"/>
      </w:pPr>
      <w:r>
        <w:t xml:space="preserve">CX-06 — Customer Segments</w:t>
      </w:r>
    </w:p>
    <w:tbl>
      <w:tblPr>
        <w:tblStyle w:val="Table"/>
        <w:tblW w:type="pct" w:w="4920"/>
        <w:tblLook w:firstRow="0" w:lastRow="0" w:firstColumn="0" w:lastColumn="0" w:noHBand="0" w:noVBand="0" w:val="0000"/>
        <w:jc w:val="start"/>
      </w:tblPr>
      <w:tblGrid>
        <w:gridCol w:w="1393"/>
        <w:gridCol w:w="6399"/>
      </w:tblGrid>
      <w:t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rPr>
                <w:bCs/>
                <w:b/>
              </w:rPr>
              <w:t xml:space="preserve">Primary Users</w:t>
            </w:r>
          </w:p>
        </w:tc>
        <w:tc>
          <w:tcPr/>
          <w:p>
            <w:pPr>
              <w:pStyle w:val="Compact"/>
              <w:jc w:val="left"/>
            </w:pPr>
            <w:r>
              <w:t xml:space="preserve">Marketing Team, CRM Managers, Loyalty Programme Manager</w:t>
            </w:r>
          </w:p>
        </w:tc>
      </w:tr>
      <w:tr>
        <w:tc>
          <w:tcPr/>
          <w:p>
            <w:pPr>
              <w:pStyle w:val="Compact"/>
              <w:jc w:val="left"/>
            </w:pPr>
            <w:r>
              <w:rPr>
                <w:bCs/>
                <w:b/>
              </w:rPr>
              <w:t xml:space="preserve">Key Question</w:t>
            </w:r>
          </w:p>
        </w:tc>
        <w:tc>
          <w:tcPr/>
          <w:p>
            <w:pPr>
              <w:pStyle w:val="Compact"/>
              <w:jc w:val="left"/>
            </w:pPr>
            <w:r>
              <w:t xml:space="preserve">“</w:t>
            </w:r>
            <w:r>
              <w:t xml:space="preserve">Who are our customer groups, how are they moving, and what should we do for each?</w:t>
            </w:r>
            <w:r>
              <w:t xml:space="preserve">”</w:t>
            </w:r>
          </w:p>
        </w:tc>
      </w:tr>
      <w:tr>
        <w:tc>
          <w:tcPr/>
          <w:p>
            <w:pPr>
              <w:pStyle w:val="Compact"/>
              <w:jc w:val="left"/>
            </w:pPr>
            <w:r>
              <w:rPr>
                <w:bCs/>
                <w:b/>
              </w:rPr>
              <w:t xml:space="preserve">Backend Modules</w:t>
            </w:r>
          </w:p>
        </w:tc>
        <w:tc>
          <w:tcPr/>
          <w:p>
            <w:pPr>
              <w:pStyle w:val="Compact"/>
              <w:jc w:val="left"/>
            </w:pPr>
            <w:r>
              <w:t xml:space="preserve">A02 (RFM algorithm or tenant-custom segmentation), A01 (features), I01 (identity), FB02 (outcomes)</w:t>
            </w:r>
          </w:p>
        </w:tc>
      </w:tr>
    </w:tbl>
    <w:bookmarkStart w:id="279" w:name="layout-5"/>
    <w:p>
      <w:pPr>
        <w:pStyle w:val="Heading2"/>
      </w:pPr>
      <w:r>
        <w:t xml:space="preserve">Layout</w:t>
      </w:r>
    </w:p>
    <w:p>
      <w:pPr>
        <w:pStyle w:val="FirstParagraph"/>
      </w:pPr>
      <w:r>
        <w:t xml:space="preserve">Row 1 — Segment Overview: RFM grid (or custom segment grid): 2D matrix with recency on x-axis, frequency+monetary on y-axis. Each cell is a segment (</w:t>
      </w:r>
      <w:r>
        <w:t xml:space="preserve">“</w:t>
      </w:r>
      <w:r>
        <w:t xml:space="preserve">High Value Regulars</w:t>
      </w:r>
      <w:r>
        <w:t xml:space="preserve">”</w:t>
      </w:r>
      <w:r>
        <w:t xml:space="preserve">,</w:t>
      </w:r>
      <w:r>
        <w:t xml:space="preserve"> </w:t>
      </w:r>
      <w:r>
        <w:t xml:space="preserve">“</w:t>
      </w:r>
      <w:r>
        <w:t xml:space="preserve">Promising Newcomers</w:t>
      </w:r>
      <w:r>
        <w:t xml:space="preserve">”</w:t>
      </w:r>
      <w:r>
        <w:t xml:space="preserve">,</w:t>
      </w:r>
      <w:r>
        <w:t xml:space="preserve"> </w:t>
      </w:r>
      <w:r>
        <w:t xml:space="preserve">“</w:t>
      </w:r>
      <w:r>
        <w:t xml:space="preserve">At-Risk Loyalists</w:t>
      </w:r>
      <w:r>
        <w:t xml:space="preserve">”</w:t>
      </w:r>
      <w:r>
        <w:t xml:space="preserve">,</w:t>
      </w:r>
      <w:r>
        <w:t xml:space="preserve"> </w:t>
      </w:r>
      <w:r>
        <w:t xml:space="preserve">“</w:t>
      </w:r>
      <w:r>
        <w:t xml:space="preserve">Lapsed</w:t>
      </w:r>
      <w:r>
        <w:t xml:space="preserve">”</w:t>
      </w:r>
      <w:r>
        <w:t xml:space="preserve">, etc.). Cell size proportional to customer count. Cell colour indicates trend (growing=green, shrinking=red, stable=grey).</w:t>
      </w:r>
    </w:p>
    <w:p>
      <w:pPr>
        <w:pStyle w:val="BodyText"/>
      </w:pPr>
      <w:r>
        <w:t xml:space="preserve">Row 2 — Segment Detail (appears on click): Selected segment’s profile: customer count, average CLV, average basket value, preferred channels, top products, loyalty tier distribution, churn risk distribution. Comparison vs. overall customer base.</w:t>
      </w:r>
    </w:p>
    <w:p>
      <w:pPr>
        <w:pStyle w:val="BodyText"/>
      </w:pPr>
      <w:r>
        <w:t xml:space="preserve">Row 3 — Segment Migration (full-width): Sankey diagram showing customer flow between segments over the selected time period.</w:t>
      </w:r>
      <w:r>
        <w:t xml:space="preserve"> </w:t>
      </w:r>
      <w:r>
        <w:t xml:space="preserve">“</w:t>
      </w:r>
      <w:r>
        <w:t xml:space="preserve">340 customers moved from Active to At-Risk this month.</w:t>
      </w:r>
      <w:r>
        <w:t xml:space="preserve">”</w:t>
      </w:r>
      <w:r>
        <w:t xml:space="preserve"> </w:t>
      </w:r>
      <w:r>
        <w:t xml:space="preserve">Each flow is clickable to see the list of migrating customers.</w:t>
      </w:r>
    </w:p>
    <w:p>
      <w:pPr>
        <w:pStyle w:val="BodyText"/>
      </w:pPr>
      <w:r>
        <w:t xml:space="preserve">Row 4 — Actions:</w:t>
      </w:r>
      <w:r>
        <w:t xml:space="preserve"> </w:t>
      </w:r>
      <w:r>
        <w:t xml:space="preserve">“</w:t>
      </w:r>
      <w:r>
        <w:t xml:space="preserve">Create campaign for this segment</w:t>
      </w:r>
      <w:r>
        <w:t xml:space="preserve">”</w:t>
      </w:r>
      <w:r>
        <w:t xml:space="preserve"> </w:t>
      </w:r>
      <w:r>
        <w:t xml:space="preserve">button (pre-populates campaign targeting).</w:t>
      </w:r>
      <w:r>
        <w:t xml:space="preserve"> </w:t>
      </w:r>
      <w:r>
        <w:t xml:space="preserve">“</w:t>
      </w:r>
      <w:r>
        <w:t xml:space="preserve">Export segment</w:t>
      </w:r>
      <w:r>
        <w:t xml:space="preserve">”</w:t>
      </w:r>
      <w:r>
        <w:t xml:space="preserve"> </w:t>
      </w:r>
      <w:r>
        <w:t xml:space="preserve">button (downloads customer list as CSV, RBAC-controlled).</w:t>
      </w:r>
      <w:r>
        <w:t xml:space="preserve"> </w:t>
      </w:r>
      <w:r>
        <w:t xml:space="preserve">“</w:t>
      </w:r>
      <w:r>
        <w:t xml:space="preserve">Set up alert</w:t>
      </w:r>
      <w:r>
        <w:t xml:space="preserve">”</w:t>
      </w:r>
      <w:r>
        <w:t xml:space="preserve"> </w:t>
      </w:r>
      <w:r>
        <w:t xml:space="preserve">button (notify me when this segment shrinks by &gt;10%).</w:t>
      </w:r>
    </w:p>
    <w:bookmarkEnd w:id="279"/>
    <w:bookmarkEnd w:id="280"/>
    <w:bookmarkStart w:id="282" w:name="cx-07-inventory-intelligence"/>
    <w:p>
      <w:pPr>
        <w:pStyle w:val="Heading1"/>
      </w:pPr>
      <w:r>
        <w:t xml:space="preserve">CX-07 — Inventory Intelligence</w:t>
      </w:r>
    </w:p>
    <w:tbl>
      <w:tblPr>
        <w:tblStyle w:val="Table"/>
        <w:tblW w:type="pct" w:w="4907"/>
        <w:tblLook w:firstRow="0" w:lastRow="0" w:firstColumn="0" w:lastColumn="0" w:noHBand="0" w:noVBand="0" w:val="0000"/>
        <w:jc w:val="start"/>
      </w:tblPr>
      <w:tblGrid>
        <w:gridCol w:w="2053"/>
        <w:gridCol w:w="5720"/>
      </w:tblGrid>
      <w:t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rPr>
                <w:bCs/>
                <w:b/>
              </w:rPr>
              <w:t xml:space="preserve">Primary Users</w:t>
            </w:r>
          </w:p>
        </w:tc>
        <w:tc>
          <w:tcPr/>
          <w:p>
            <w:pPr>
              <w:pStyle w:val="Compact"/>
              <w:jc w:val="left"/>
            </w:pPr>
            <w:r>
              <w:t xml:space="preserve">Inventory Managers, Store Managers, Category Managers</w:t>
            </w:r>
          </w:p>
        </w:tc>
      </w:tr>
      <w:tr>
        <w:tc>
          <w:tcPr/>
          <w:p>
            <w:pPr>
              <w:pStyle w:val="Compact"/>
              <w:jc w:val="left"/>
            </w:pPr>
            <w:r>
              <w:rPr>
                <w:bCs/>
                <w:b/>
              </w:rPr>
              <w:t xml:space="preserve">Key Question</w:t>
            </w:r>
          </w:p>
        </w:tc>
        <w:tc>
          <w:tcPr/>
          <w:p>
            <w:pPr>
              <w:pStyle w:val="Compact"/>
              <w:jc w:val="left"/>
            </w:pPr>
            <w:r>
              <w:t xml:space="preserve">“</w:t>
            </w:r>
            <w:r>
              <w:t xml:space="preserve">What’s about to run out, what’s overstocked, and what should I reorder?</w:t>
            </w:r>
            <w:r>
              <w:t xml:space="preserve">”</w:t>
            </w:r>
          </w:p>
        </w:tc>
      </w:tr>
      <w:tr>
        <w:tc>
          <w:tcPr/>
          <w:p>
            <w:pPr>
              <w:pStyle w:val="Compact"/>
              <w:jc w:val="left"/>
            </w:pPr>
            <w:r>
              <w:rPr>
                <w:bCs/>
                <w:b/>
              </w:rPr>
              <w:t xml:space="preserve">Backend Modules</w:t>
            </w:r>
          </w:p>
        </w:tc>
        <w:tc>
          <w:tcPr/>
          <w:p>
            <w:pPr>
              <w:pStyle w:val="Compact"/>
              <w:jc w:val="left"/>
            </w:pPr>
            <w:r>
              <w:t xml:space="preserve">D01 (retail.StockLevel), A02 (demand forecast), O02 (stockout alerts)</w:t>
            </w:r>
          </w:p>
        </w:tc>
      </w:tr>
      <w:tr>
        <w:tc>
          <w:tcPr/>
          <w:p>
            <w:pPr>
              <w:pStyle w:val="Compact"/>
              <w:jc w:val="left"/>
            </w:pPr>
            <w:r>
              <w:rPr>
                <w:bCs/>
                <w:b/>
              </w:rPr>
              <w:t xml:space="preserve">Required Data Sources</w:t>
            </w:r>
          </w:p>
        </w:tc>
        <w:tc>
          <w:tcPr/>
          <w:p>
            <w:pPr>
              <w:pStyle w:val="Compact"/>
              <w:jc w:val="left"/>
            </w:pPr>
            <w:r>
              <w:t xml:space="preserve">Inventory system connected (otherwise screen is hidden via Screen Registry)</w:t>
            </w:r>
          </w:p>
        </w:tc>
      </w:tr>
    </w:tbl>
    <w:bookmarkStart w:id="281" w:name="layout-6"/>
    <w:p>
      <w:pPr>
        <w:pStyle w:val="Heading2"/>
      </w:pPr>
      <w:r>
        <w:t xml:space="preserve">Layout</w:t>
      </w:r>
    </w:p>
    <w:p>
      <w:pPr>
        <w:pStyle w:val="FirstParagraph"/>
      </w:pPr>
      <w:r>
        <w:t xml:space="preserve">Row 1 — KPI Cards: Products in stock (count) | Products below reorder point (count, amber) | Predicted stockouts in 3 days (count, red) | Overstock items (count, blue) | Overall stock health score (0-100).</w:t>
      </w:r>
    </w:p>
    <w:p>
      <w:pPr>
        <w:pStyle w:val="BodyText"/>
      </w:pPr>
      <w:r>
        <w:t xml:space="preserve">Row 2 — Stockout Risk Table (full-width): Ranked list of products at risk of stockout: product name, current stock, daily velocity, days of supply remaining, predicted stockout date, recommended reorder quantity, one-click</w:t>
      </w:r>
      <w:r>
        <w:t xml:space="preserve"> </w:t>
      </w:r>
      <w:r>
        <w:t xml:space="preserve">“</w:t>
      </w:r>
      <w:r>
        <w:t xml:space="preserve">Trigger reorder</w:t>
      </w:r>
      <w:r>
        <w:t xml:space="preserve">”</w:t>
      </w:r>
      <w:r>
        <w:t xml:space="preserve"> </w:t>
      </w:r>
      <w:r>
        <w:t xml:space="preserve">button. Filterable by store, category, risk level.</w:t>
      </w:r>
    </w:p>
    <w:p>
      <w:pPr>
        <w:pStyle w:val="BodyText"/>
      </w:pPr>
      <w:r>
        <w:t xml:space="preserve">Row 3 — Category Performance (6-column): Sell-through rate by category (bar chart, ranked). Identifies fast-moving and slow-moving categories.</w:t>
      </w:r>
    </w:p>
    <w:p>
      <w:pPr>
        <w:pStyle w:val="BodyText"/>
      </w:pPr>
      <w:r>
        <w:t xml:space="preserve">Row 3 — Dead Stock (6-column): Products with zero sales in 60+ days. Ranked by inventory value tied up. Suggests markdown or removal.</w:t>
      </w:r>
    </w:p>
    <w:bookmarkEnd w:id="281"/>
    <w:bookmarkEnd w:id="282"/>
    <w:bookmarkStart w:id="284" w:name="cx-08-product-analytics"/>
    <w:p>
      <w:pPr>
        <w:pStyle w:val="Heading1"/>
      </w:pPr>
      <w:r>
        <w:t xml:space="preserve">CX-08 — Product Analytics</w:t>
      </w:r>
    </w:p>
    <w:tbl>
      <w:tblPr>
        <w:tblStyle w:val="Table"/>
        <w:tblW w:type="pct" w:w="4919"/>
        <w:tblLook w:firstRow="0" w:lastRow="0" w:firstColumn="0" w:lastColumn="0" w:noHBand="0" w:noVBand="0" w:val="0000"/>
        <w:jc w:val="start"/>
      </w:tblPr>
      <w:tblGrid>
        <w:gridCol w:w="1405"/>
        <w:gridCol w:w="6387"/>
      </w:tblGrid>
      <w:t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rPr>
                <w:bCs/>
                <w:b/>
              </w:rPr>
              <w:t xml:space="preserve">Primary Users</w:t>
            </w:r>
          </w:p>
        </w:tc>
        <w:tc>
          <w:tcPr/>
          <w:p>
            <w:pPr>
              <w:pStyle w:val="Compact"/>
              <w:jc w:val="left"/>
            </w:pPr>
            <w:r>
              <w:t xml:space="preserve">Category Managers, Buyers, Marketing</w:t>
            </w:r>
          </w:p>
        </w:tc>
      </w:tr>
      <w:tr>
        <w:tc>
          <w:tcPr/>
          <w:p>
            <w:pPr>
              <w:pStyle w:val="Compact"/>
              <w:jc w:val="left"/>
            </w:pPr>
            <w:r>
              <w:rPr>
                <w:bCs/>
                <w:b/>
              </w:rPr>
              <w:t xml:space="preserve">Key Question</w:t>
            </w:r>
          </w:p>
        </w:tc>
        <w:tc>
          <w:tcPr/>
          <w:p>
            <w:pPr>
              <w:pStyle w:val="Compact"/>
              <w:jc w:val="left"/>
            </w:pPr>
            <w:r>
              <w:t xml:space="preserve">“</w:t>
            </w:r>
            <w:r>
              <w:t xml:space="preserve">Which products are performing, which aren’t, and what drives purchases?</w:t>
            </w:r>
            <w:r>
              <w:t xml:space="preserve">”</w:t>
            </w:r>
          </w:p>
        </w:tc>
      </w:tr>
      <w:tr>
        <w:tc>
          <w:tcPr/>
          <w:p>
            <w:pPr>
              <w:pStyle w:val="Compact"/>
              <w:jc w:val="left"/>
            </w:pPr>
            <w:r>
              <w:rPr>
                <w:bCs/>
                <w:b/>
              </w:rPr>
              <w:t xml:space="preserve">Backend Modules</w:t>
            </w:r>
          </w:p>
        </w:tc>
        <w:tc>
          <w:tcPr/>
          <w:p>
            <w:pPr>
              <w:pStyle w:val="Compact"/>
              <w:jc w:val="left"/>
            </w:pPr>
            <w:r>
              <w:t xml:space="preserve">D01 (retail.Product, retail.TransactionLineItem), A02 (basket analysis), E01 (product embeddings)</w:t>
            </w:r>
          </w:p>
        </w:tc>
      </w:tr>
    </w:tbl>
    <w:bookmarkStart w:id="283" w:name="layout-7"/>
    <w:p>
      <w:pPr>
        <w:pStyle w:val="Heading2"/>
      </w:pPr>
      <w:r>
        <w:t xml:space="preserve">Layout</w:t>
      </w:r>
    </w:p>
    <w:p>
      <w:pPr>
        <w:pStyle w:val="FirstParagraph"/>
      </w:pPr>
      <w:r>
        <w:t xml:space="preserve">Row 1 — Filters: Category hierarchy picker (L1/L2/L3) | Date range | Store/region.</w:t>
      </w:r>
    </w:p>
    <w:p>
      <w:pPr>
        <w:pStyle w:val="BodyText"/>
      </w:pPr>
      <w:r>
        <w:t xml:space="preserve">Row 2 — Product Performance Table (full-width): Every SKU in the selected category: name, revenue, units sold, return rate, margin (if cost data available), sell-through, average selling price vs. MRP, trend (sparkline). Sortable by any column. Click a product to see its detail page.</w:t>
      </w:r>
    </w:p>
    <w:p>
      <w:pPr>
        <w:pStyle w:val="BodyText"/>
      </w:pPr>
      <w:r>
        <w:t xml:space="preserve">Row 3 — Product Affinity Matrix (6-column):</w:t>
      </w:r>
      <w:r>
        <w:t xml:space="preserve"> </w:t>
      </w:r>
      <w:r>
        <w:t xml:space="preserve">“</w:t>
      </w:r>
      <w:r>
        <w:t xml:space="preserve">Frequently bought together</w:t>
      </w:r>
      <w:r>
        <w:t xml:space="preserve">”</w:t>
      </w:r>
      <w:r>
        <w:t xml:space="preserve"> </w:t>
      </w:r>
      <w:r>
        <w:t xml:space="preserve">grid. Shows the top 10 product pairs by co-purchase frequency. Powered by A02 basket analysis algorithm. Useful for: bundling recommendations, store layout decisions, cross-sell campaigns.</w:t>
      </w:r>
    </w:p>
    <w:p>
      <w:pPr>
        <w:pStyle w:val="BodyText"/>
      </w:pPr>
      <w:r>
        <w:t xml:space="preserve">Row 3 — New Launch Tracker (6-column): Products launched in the last 90 days: adoption curve (daily units sold since launch), comparison to similar product launches, sales velocity indicator (faster/slower than average launch).</w:t>
      </w:r>
    </w:p>
    <w:bookmarkEnd w:id="283"/>
    <w:bookmarkEnd w:id="284"/>
    <w:bookmarkStart w:id="286" w:name="cx-09-loyalty-analytics"/>
    <w:p>
      <w:pPr>
        <w:pStyle w:val="Heading1"/>
      </w:pPr>
      <w:r>
        <w:t xml:space="preserve">CX-09 — Loyalty Analytics</w:t>
      </w:r>
    </w:p>
    <w:tbl>
      <w:tblPr>
        <w:tblStyle w:val="Table"/>
        <w:tblW w:type="pct" w:w="4907"/>
        <w:tblLook w:firstRow="0" w:lastRow="0" w:firstColumn="0" w:lastColumn="0" w:noHBand="0" w:noVBand="0" w:val="0000"/>
        <w:jc w:val="start"/>
      </w:tblPr>
      <w:tblGrid>
        <w:gridCol w:w="1613"/>
        <w:gridCol w:w="6160"/>
      </w:tblGrid>
      <w:t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rPr>
                <w:bCs/>
                <w:b/>
              </w:rPr>
              <w:t xml:space="preserve">Primary Users</w:t>
            </w:r>
          </w:p>
        </w:tc>
        <w:tc>
          <w:tcPr/>
          <w:p>
            <w:pPr>
              <w:pStyle w:val="Compact"/>
              <w:jc w:val="left"/>
            </w:pPr>
            <w:r>
              <w:t xml:space="preserve">Loyalty Programme Manager, Marketing Team</w:t>
            </w:r>
          </w:p>
        </w:tc>
      </w:tr>
      <w:tr>
        <w:tc>
          <w:tcPr/>
          <w:p>
            <w:pPr>
              <w:pStyle w:val="Compact"/>
              <w:jc w:val="left"/>
            </w:pPr>
            <w:r>
              <w:rPr>
                <w:bCs/>
                <w:b/>
              </w:rPr>
              <w:t xml:space="preserve">Key Question</w:t>
            </w:r>
          </w:p>
        </w:tc>
        <w:tc>
          <w:tcPr/>
          <w:p>
            <w:pPr>
              <w:pStyle w:val="Compact"/>
              <w:jc w:val="left"/>
            </w:pPr>
            <w:r>
              <w:t xml:space="preserve">“</w:t>
            </w:r>
            <w:r>
              <w:t xml:space="preserve">How healthy is the loyalty programme and how do members behave vs. non-members?</w:t>
            </w:r>
            <w:r>
              <w:t xml:space="preserve">”</w:t>
            </w:r>
          </w:p>
        </w:tc>
      </w:tr>
      <w:tr>
        <w:tc>
          <w:tcPr/>
          <w:p>
            <w:pPr>
              <w:pStyle w:val="Compact"/>
              <w:jc w:val="left"/>
            </w:pPr>
            <w:r>
              <w:rPr>
                <w:bCs/>
                <w:b/>
              </w:rPr>
              <w:t xml:space="preserve">Backend Modules</w:t>
            </w:r>
          </w:p>
        </w:tc>
        <w:tc>
          <w:tcPr/>
          <w:p>
            <w:pPr>
              <w:pStyle w:val="Compact"/>
              <w:jc w:val="left"/>
            </w:pPr>
            <w:r>
              <w:t xml:space="preserve">D01 (retail.LoyaltyAccount), I01 (identity), AC02 (hierarchy)</w:t>
            </w:r>
          </w:p>
        </w:tc>
      </w:tr>
    </w:tbl>
    <w:bookmarkStart w:id="285" w:name="layout-8"/>
    <w:p>
      <w:pPr>
        <w:pStyle w:val="Heading2"/>
      </w:pPr>
      <w:r>
        <w:t xml:space="preserve">Layout</w:t>
      </w:r>
    </w:p>
    <w:p>
      <w:pPr>
        <w:pStyle w:val="FirstParagraph"/>
      </w:pPr>
      <w:r>
        <w:t xml:space="preserve">Row 1 — KPI Cards: Total members | Enrollment rate (new members / new customers) | Redemption rate (points redeemed / points earned) | Member vs. non-member average spend comparison.</w:t>
      </w:r>
    </w:p>
    <w:p>
      <w:pPr>
        <w:pStyle w:val="BodyText"/>
      </w:pPr>
      <w:r>
        <w:t xml:space="preserve">Row 2 — Tier Distribution (6-column): Donut or horizontal bar: Bronze/Silver/Gold/Platinum counts and percentages. Click a tier to see its customer list.</w:t>
      </w:r>
    </w:p>
    <w:p>
      <w:pPr>
        <w:pStyle w:val="BodyText"/>
      </w:pPr>
      <w:r>
        <w:t xml:space="preserve">Row 2 — Tier Migration (6-column): Sankey flow: upgrades (Bronze→Silver, Silver→Gold) vs. downgrades, with counts and trend. Highlights</w:t>
      </w:r>
      <w:r>
        <w:t xml:space="preserve"> </w:t>
      </w:r>
      <w:r>
        <w:t xml:space="preserve">“</w:t>
      </w:r>
      <w:r>
        <w:t xml:space="preserve">near-tier</w:t>
      </w:r>
      <w:r>
        <w:t xml:space="preserve">”</w:t>
      </w:r>
      <w:r>
        <w:t xml:space="preserve"> </w:t>
      </w:r>
      <w:r>
        <w:t xml:space="preserve">customers (within 10% of the next tier threshold).</w:t>
      </w:r>
    </w:p>
    <w:p>
      <w:pPr>
        <w:pStyle w:val="BodyText"/>
      </w:pPr>
      <w:r>
        <w:t xml:space="preserve">Row 3 — Points Economy (full-width): Line chart: points earned vs. redeemed over time. Points liability (unredeemed points balance). Average time to first redemption. Top redemption categories.</w:t>
      </w:r>
    </w:p>
    <w:p>
      <w:pPr>
        <w:pStyle w:val="BodyText"/>
      </w:pPr>
      <w:r>
        <w:t xml:space="preserve">Row 4 — Member Behaviour Comparison (full-width): Side-by-side: loyalty members vs. non-members on: average basket value, purchase frequency, return rate, omnichannel rate, CLV. Quantifies the ROI of the loyalty programme.</w:t>
      </w:r>
    </w:p>
    <w:bookmarkEnd w:id="285"/>
    <w:bookmarkEnd w:id="286"/>
    <w:bookmarkStart w:id="288" w:name="X4cb8fb36802b55332d037e1c05aad5409729db9"/>
    <w:p>
      <w:pPr>
        <w:pStyle w:val="Heading1"/>
      </w:pPr>
      <w:r>
        <w:t xml:space="preserve">CX-10 — Campaign Performance &amp; Omnichannel Journeys</w:t>
      </w:r>
    </w:p>
    <w:tbl>
      <w:tblPr>
        <w:tblStyle w:val="Table"/>
        <w:tblW w:type="pct" w:w="4922"/>
        <w:tblLook w:firstRow="0" w:lastRow="0" w:firstColumn="0" w:lastColumn="0" w:noHBand="0" w:noVBand="0" w:val="0000"/>
        <w:jc w:val="start"/>
      </w:tblPr>
      <w:tblGrid>
        <w:gridCol w:w="1361"/>
        <w:gridCol w:w="6435"/>
      </w:tblGrid>
      <w:t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rPr>
                <w:bCs/>
                <w:b/>
              </w:rPr>
              <w:t xml:space="preserve">Primary Users</w:t>
            </w:r>
          </w:p>
        </w:tc>
        <w:tc>
          <w:tcPr/>
          <w:p>
            <w:pPr>
              <w:pStyle w:val="Compact"/>
              <w:jc w:val="left"/>
            </w:pPr>
            <w:r>
              <w:t xml:space="preserve">Marketing Team, CMO, Digital Team</w:t>
            </w:r>
          </w:p>
        </w:tc>
      </w:tr>
      <w:tr>
        <w:tc>
          <w:tcPr/>
          <w:p>
            <w:pPr>
              <w:pStyle w:val="Compact"/>
              <w:jc w:val="left"/>
            </w:pPr>
            <w:r>
              <w:rPr>
                <w:bCs/>
                <w:b/>
              </w:rPr>
              <w:t xml:space="preserve">Key Question</w:t>
            </w:r>
          </w:p>
        </w:tc>
        <w:tc>
          <w:tcPr/>
          <w:p>
            <w:pPr>
              <w:pStyle w:val="Compact"/>
              <w:jc w:val="left"/>
            </w:pPr>
            <w:r>
              <w:t xml:space="preserve">“</w:t>
            </w:r>
            <w:r>
              <w:t xml:space="preserve">Which campaigns worked, what’s the ROI, and how do customers move across channels?</w:t>
            </w:r>
            <w:r>
              <w:t xml:space="preserve">”</w:t>
            </w:r>
          </w:p>
        </w:tc>
      </w:tr>
      <w:tr>
        <w:tc>
          <w:tcPr/>
          <w:p>
            <w:pPr>
              <w:pStyle w:val="Compact"/>
              <w:jc w:val="left"/>
            </w:pPr>
            <w:r>
              <w:rPr>
                <w:bCs/>
                <w:b/>
              </w:rPr>
              <w:t xml:space="preserve">Backend Modules</w:t>
            </w:r>
          </w:p>
        </w:tc>
        <w:tc>
          <w:tcPr/>
          <w:p>
            <w:pPr>
              <w:pStyle w:val="Compact"/>
              <w:jc w:val="left"/>
            </w:pPr>
            <w:r>
              <w:t xml:space="preserve">D01 (Campaign entity), FB02 (decision-outcome linkage), S02 (cross-modal correlation), I01 (identity)</w:t>
            </w:r>
          </w:p>
        </w:tc>
      </w:tr>
    </w:tbl>
    <w:bookmarkStart w:id="287" w:name="layout-9"/>
    <w:p>
      <w:pPr>
        <w:pStyle w:val="Heading2"/>
      </w:pPr>
      <w:r>
        <w:t xml:space="preserve">Layout</w:t>
      </w:r>
    </w:p>
    <w:p>
      <w:pPr>
        <w:pStyle w:val="FirstParagraph"/>
      </w:pPr>
      <w:r>
        <w:t xml:space="preserve">Row 1 — Campaign Comparison Table (full-width): All campaigns in the selected period: name, type, start/end dates, reach (customers exposed), engagement rate, conversion rate, revenue attributed, cost, ROI, cost per acquisition. Sortable. Click a campaign to see detail.</w:t>
      </w:r>
    </w:p>
    <w:p>
      <w:pPr>
        <w:pStyle w:val="BodyText"/>
      </w:pPr>
      <w:r>
        <w:t xml:space="preserve">Row 2 — Attribution (6-column): Cross-channel attribution chart: what percentage of in-store purchases were preceded by an online browse session, an email open, or a social ad click? Powered by S02 cross-modal correlation and I01 identity resolution across channels.</w:t>
      </w:r>
    </w:p>
    <w:p>
      <w:pPr>
        <w:pStyle w:val="BodyText"/>
      </w:pPr>
      <w:r>
        <w:t xml:space="preserve">Row 2 — Customer Journey Patterns (6-column): Top 5 most common customer journeys (e.g.,</w:t>
      </w:r>
      <w:r>
        <w:t xml:space="preserve"> </w:t>
      </w:r>
      <w:r>
        <w:t xml:space="preserve">“</w:t>
      </w:r>
      <w:r>
        <w:t xml:space="preserve">Email → Website → In-store purchase</w:t>
      </w:r>
      <w:r>
        <w:t xml:space="preserve">”</w:t>
      </w:r>
      <w:r>
        <w:t xml:space="preserve">: 23% of conversions). Sankey diagram showing journey flow across channels.</w:t>
      </w:r>
    </w:p>
    <w:p>
      <w:pPr>
        <w:pStyle w:val="BodyText"/>
      </w:pPr>
      <w:r>
        <w:t xml:space="preserve">Row 3 — Omnichannel Overview (full-width): Omnichannel rate trend (% of customers active on 2+ channels). Channel mix pie chart. Channel-specific conversion rates. Cross-channel cannibalisation analysis (is e-commerce stealing from stores or growing the total?).</w:t>
      </w:r>
    </w:p>
    <w:bookmarkEnd w:id="287"/>
    <w:bookmarkEnd w:id="288"/>
    <w:bookmarkStart w:id="290" w:name="Xfbfc0d85948d0669d404ebe3491f8f57dd29c81"/>
    <w:p>
      <w:pPr>
        <w:pStyle w:val="Heading1"/>
      </w:pPr>
      <w:r>
        <w:t xml:space="preserve">Screen Registry — Retail Vertical Default Configuration</w:t>
      </w:r>
    </w:p>
    <w:tbl>
      <w:tblPr>
        <w:tblStyle w:val="Table"/>
        <w:tblW w:type="pct" w:w="4930"/>
        <w:tblLook w:firstRow="0" w:lastRow="0" w:firstColumn="0" w:lastColumn="0" w:noHBand="0" w:noVBand="0" w:val="0000"/>
        <w:jc w:val="start"/>
      </w:tblPr>
      <w:tblGrid>
        <w:gridCol w:w="669"/>
        <w:gridCol w:w="1394"/>
        <w:gridCol w:w="836"/>
        <w:gridCol w:w="1282"/>
        <w:gridCol w:w="780"/>
        <w:gridCol w:w="2844"/>
      </w:tblGrid>
      <w:tr>
        <w:tc>
          <w:tcPr/>
          <w:p>
            <w:pPr>
              <w:pStyle w:val="Compact"/>
              <w:jc w:val="left"/>
            </w:pPr>
            <w:r>
              <w:rPr>
                <w:bCs/>
                <w:b/>
              </w:rPr>
              <w:t xml:space="preserve">ID</w:t>
            </w:r>
          </w:p>
        </w:tc>
        <w:tc>
          <w:tcPr/>
          <w:p>
            <w:pPr>
              <w:pStyle w:val="Compact"/>
              <w:jc w:val="left"/>
            </w:pPr>
            <w:r>
              <w:rPr>
                <w:bCs/>
                <w:b/>
              </w:rPr>
              <w:t xml:space="preserve">Screen Name</w:t>
            </w:r>
          </w:p>
        </w:tc>
        <w:tc>
          <w:tcPr/>
          <w:p>
            <w:pPr>
              <w:pStyle w:val="Compact"/>
              <w:jc w:val="left"/>
            </w:pPr>
            <w:r>
              <w:rPr>
                <w:bCs/>
                <w:b/>
              </w:rPr>
              <w:t xml:space="preserve">Min Tier</w:t>
            </w:r>
          </w:p>
        </w:tc>
        <w:tc>
          <w:tcPr/>
          <w:p>
            <w:pPr>
              <w:pStyle w:val="Compact"/>
              <w:jc w:val="left"/>
            </w:pPr>
            <w:r>
              <w:rPr>
                <w:bCs/>
                <w:b/>
              </w:rPr>
              <w:t xml:space="preserve">Required Data</w:t>
            </w:r>
          </w:p>
        </w:tc>
        <w:tc>
          <w:tcPr/>
          <w:p>
            <w:pPr>
              <w:pStyle w:val="Compact"/>
              <w:jc w:val="left"/>
            </w:pPr>
            <w:r>
              <w:rPr>
                <w:bCs/>
                <w:b/>
              </w:rPr>
              <w:t xml:space="preserve">Default</w:t>
            </w:r>
          </w:p>
        </w:tc>
        <w:tc>
          <w:tcPr/>
          <w:p>
            <w:pPr>
              <w:pStyle w:val="Compact"/>
              <w:jc w:val="left"/>
            </w:pPr>
            <w:r>
              <w:rPr>
                <w:bCs/>
                <w:b/>
              </w:rPr>
              <w:t xml:space="preserve">Notes</w:t>
            </w:r>
          </w:p>
        </w:tc>
      </w:tr>
      <w:tr>
        <w:tc>
          <w:tcPr/>
          <w:p>
            <w:pPr>
              <w:pStyle w:val="Compact"/>
              <w:jc w:val="left"/>
            </w:pPr>
            <w:r>
              <w:rPr>
                <w:bCs/>
                <w:b/>
              </w:rPr>
              <w:t xml:space="preserve">CX-01</w:t>
            </w:r>
          </w:p>
        </w:tc>
        <w:tc>
          <w:tcPr/>
          <w:p>
            <w:pPr>
              <w:pStyle w:val="Compact"/>
              <w:jc w:val="left"/>
            </w:pPr>
            <w:r>
              <w:t xml:space="preserve">Executive Dashboard</w:t>
            </w:r>
          </w:p>
        </w:tc>
        <w:tc>
          <w:tcPr/>
          <w:p>
            <w:pPr>
              <w:pStyle w:val="Compact"/>
              <w:jc w:val="left"/>
            </w:pPr>
            <w:r>
              <w:t xml:space="preserve">Standard</w:t>
            </w:r>
          </w:p>
        </w:tc>
        <w:tc>
          <w:tcPr/>
          <w:p>
            <w:pPr>
              <w:pStyle w:val="Compact"/>
              <w:jc w:val="left"/>
            </w:pPr>
            <w:r>
              <w:t xml:space="preserve">POS</w:t>
            </w:r>
          </w:p>
        </w:tc>
        <w:tc>
          <w:tcPr/>
          <w:p>
            <w:pPr>
              <w:pStyle w:val="Compact"/>
              <w:jc w:val="left"/>
            </w:pPr>
            <w:r>
              <w:t xml:space="preserve">Yes (home)</w:t>
            </w:r>
          </w:p>
        </w:tc>
        <w:tc>
          <w:tcPr/>
          <w:p>
            <w:pPr>
              <w:pStyle w:val="Compact"/>
              <w:jc w:val="left"/>
            </w:pPr>
            <w:r>
              <w:t xml:space="preserve">Always visible. Widgets adapt to available data.</w:t>
            </w:r>
          </w:p>
        </w:tc>
      </w:tr>
      <w:tr>
        <w:tc>
          <w:tcPr/>
          <w:p>
            <w:pPr>
              <w:pStyle w:val="Compact"/>
              <w:jc w:val="left"/>
            </w:pPr>
            <w:r>
              <w:rPr>
                <w:bCs/>
                <w:b/>
              </w:rPr>
              <w:t xml:space="preserve">CX-02</w:t>
            </w:r>
          </w:p>
        </w:tc>
        <w:tc>
          <w:tcPr/>
          <w:p>
            <w:pPr>
              <w:pStyle w:val="Compact"/>
              <w:jc w:val="left"/>
            </w:pPr>
            <w:r>
              <w:t xml:space="preserve">Store Performance</w:t>
            </w:r>
          </w:p>
        </w:tc>
        <w:tc>
          <w:tcPr/>
          <w:p>
            <w:pPr>
              <w:pStyle w:val="Compact"/>
              <w:jc w:val="left"/>
            </w:pPr>
            <w:r>
              <w:t xml:space="preserve">Standard</w:t>
            </w:r>
          </w:p>
        </w:tc>
        <w:tc>
          <w:tcPr/>
          <w:p>
            <w:pPr>
              <w:pStyle w:val="Compact"/>
              <w:jc w:val="left"/>
            </w:pPr>
            <w:r>
              <w:t xml:space="preserve">POS</w:t>
            </w:r>
          </w:p>
        </w:tc>
        <w:tc>
          <w:tcPr/>
          <w:p>
            <w:pPr>
              <w:pStyle w:val="Compact"/>
              <w:jc w:val="left"/>
            </w:pPr>
            <w:r>
              <w:t xml:space="preserve">Yes</w:t>
            </w:r>
          </w:p>
        </w:tc>
        <w:tc>
          <w:tcPr/>
          <w:p>
            <w:pPr>
              <w:pStyle w:val="Compact"/>
              <w:jc w:val="left"/>
            </w:pPr>
            <w:r>
              <w:t xml:space="preserve">Zone analytics require G04 video.</w:t>
            </w:r>
          </w:p>
        </w:tc>
      </w:tr>
      <w:tr>
        <w:tc>
          <w:tcPr/>
          <w:p>
            <w:pPr>
              <w:pStyle w:val="Compact"/>
              <w:jc w:val="left"/>
            </w:pPr>
            <w:r>
              <w:rPr>
                <w:bCs/>
                <w:b/>
              </w:rPr>
              <w:t xml:space="preserve">CX-03</w:t>
            </w:r>
          </w:p>
        </w:tc>
        <w:tc>
          <w:tcPr/>
          <w:p>
            <w:pPr>
              <w:pStyle w:val="Compact"/>
              <w:jc w:val="left"/>
            </w:pPr>
            <w:r>
              <w:t xml:space="preserve">Customer 360</w:t>
            </w:r>
          </w:p>
        </w:tc>
        <w:tc>
          <w:tcPr/>
          <w:p>
            <w:pPr>
              <w:pStyle w:val="Compact"/>
              <w:jc w:val="left"/>
            </w:pPr>
            <w:r>
              <w:t xml:space="preserve">Standard</w:t>
            </w:r>
          </w:p>
        </w:tc>
        <w:tc>
          <w:tcPr/>
          <w:p>
            <w:pPr>
              <w:pStyle w:val="Compact"/>
              <w:jc w:val="left"/>
            </w:pPr>
            <w:r>
              <w:t xml:space="preserve">POS + CRM or Loyalty</w:t>
            </w:r>
          </w:p>
        </w:tc>
        <w:tc>
          <w:tcPr/>
          <w:p>
            <w:pPr>
              <w:pStyle w:val="Compact"/>
              <w:jc w:val="left"/>
            </w:pPr>
            <w:r>
              <w:t xml:space="preserve">Yes</w:t>
            </w:r>
          </w:p>
        </w:tc>
        <w:tc>
          <w:tcPr/>
          <w:p>
            <w:pPr>
              <w:pStyle w:val="Compact"/>
              <w:jc w:val="left"/>
            </w:pPr>
            <w:r>
              <w:t xml:space="preserve">Richness depends on connected sources.</w:t>
            </w:r>
          </w:p>
        </w:tc>
      </w:tr>
      <w:tr>
        <w:tc>
          <w:tcPr/>
          <w:p>
            <w:pPr>
              <w:pStyle w:val="Compact"/>
              <w:jc w:val="left"/>
            </w:pPr>
            <w:r>
              <w:rPr>
                <w:bCs/>
                <w:b/>
              </w:rPr>
              <w:t xml:space="preserve">CX-04</w:t>
            </w:r>
          </w:p>
        </w:tc>
        <w:tc>
          <w:tcPr/>
          <w:p>
            <w:pPr>
              <w:pStyle w:val="Compact"/>
              <w:jc w:val="left"/>
            </w:pPr>
            <w:r>
              <w:t xml:space="preserve">Alert Centre</w:t>
            </w:r>
          </w:p>
        </w:tc>
        <w:tc>
          <w:tcPr/>
          <w:p>
            <w:pPr>
              <w:pStyle w:val="Compact"/>
              <w:jc w:val="left"/>
            </w:pPr>
            <w:r>
              <w:t xml:space="preserve">Standard</w:t>
            </w:r>
          </w:p>
        </w:tc>
        <w:tc>
          <w:tcPr/>
          <w:p>
            <w:pPr>
              <w:pStyle w:val="Compact"/>
              <w:jc w:val="left"/>
            </w:pPr>
            <w:r>
              <w:t xml:space="preserve">Any</w:t>
            </w:r>
          </w:p>
        </w:tc>
        <w:tc>
          <w:tcPr/>
          <w:p>
            <w:pPr>
              <w:pStyle w:val="Compact"/>
              <w:jc w:val="left"/>
            </w:pPr>
            <w:r>
              <w:t xml:space="preserve">Yes</w:t>
            </w:r>
          </w:p>
        </w:tc>
        <w:tc>
          <w:tcPr/>
          <w:p>
            <w:pPr>
              <w:pStyle w:val="Compact"/>
              <w:jc w:val="left"/>
            </w:pPr>
            <w:r>
              <w:t xml:space="preserve">Alert types depend on active modules.</w:t>
            </w:r>
          </w:p>
        </w:tc>
      </w:tr>
      <w:tr>
        <w:tc>
          <w:tcPr/>
          <w:p>
            <w:pPr>
              <w:pStyle w:val="Compact"/>
              <w:jc w:val="left"/>
            </w:pPr>
            <w:r>
              <w:rPr>
                <w:bCs/>
                <w:b/>
              </w:rPr>
              <w:t xml:space="preserve">CX-05</w:t>
            </w:r>
          </w:p>
        </w:tc>
        <w:tc>
          <w:tcPr/>
          <w:p>
            <w:pPr>
              <w:pStyle w:val="Compact"/>
              <w:jc w:val="left"/>
            </w:pPr>
            <w:r>
              <w:t xml:space="preserve">Ask Cortex</w:t>
            </w:r>
          </w:p>
        </w:tc>
        <w:tc>
          <w:tcPr/>
          <w:p>
            <w:pPr>
              <w:pStyle w:val="Compact"/>
              <w:jc w:val="left"/>
            </w:pPr>
            <w:r>
              <w:t xml:space="preserve">Professional</w:t>
            </w:r>
          </w:p>
        </w:tc>
        <w:tc>
          <w:tcPr/>
          <w:p>
            <w:pPr>
              <w:pStyle w:val="Compact"/>
              <w:jc w:val="left"/>
            </w:pPr>
            <w:r>
              <w:t xml:space="preserve">Any</w:t>
            </w:r>
          </w:p>
        </w:tc>
        <w:tc>
          <w:tcPr/>
          <w:p>
            <w:pPr>
              <w:pStyle w:val="Compact"/>
              <w:jc w:val="left"/>
            </w:pPr>
            <w:r>
              <w:t xml:space="preserve">Yes</w:t>
            </w:r>
          </w:p>
        </w:tc>
        <w:tc>
          <w:tcPr/>
          <w:p>
            <w:pPr>
              <w:pStyle w:val="Compact"/>
              <w:jc w:val="left"/>
            </w:pPr>
            <w:r>
              <w:t xml:space="preserve">Requires A05 LLM Gateway active.</w:t>
            </w:r>
          </w:p>
        </w:tc>
      </w:tr>
      <w:tr>
        <w:tc>
          <w:tcPr/>
          <w:p>
            <w:pPr>
              <w:pStyle w:val="Compact"/>
              <w:jc w:val="left"/>
            </w:pPr>
            <w:r>
              <w:rPr>
                <w:bCs/>
                <w:b/>
              </w:rPr>
              <w:t xml:space="preserve">CX-06</w:t>
            </w:r>
          </w:p>
        </w:tc>
        <w:tc>
          <w:tcPr/>
          <w:p>
            <w:pPr>
              <w:pStyle w:val="Compact"/>
              <w:jc w:val="left"/>
            </w:pPr>
            <w:r>
              <w:t xml:space="preserve">Customer Segments</w:t>
            </w:r>
          </w:p>
        </w:tc>
        <w:tc>
          <w:tcPr/>
          <w:p>
            <w:pPr>
              <w:pStyle w:val="Compact"/>
              <w:jc w:val="left"/>
            </w:pPr>
            <w:r>
              <w:t xml:space="preserve">Standard</w:t>
            </w:r>
          </w:p>
        </w:tc>
        <w:tc>
          <w:tcPr/>
          <w:p>
            <w:pPr>
              <w:pStyle w:val="Compact"/>
              <w:jc w:val="left"/>
            </w:pPr>
            <w:r>
              <w:t xml:space="preserve">POS + CRM or Loyalty</w:t>
            </w:r>
          </w:p>
        </w:tc>
        <w:tc>
          <w:tcPr/>
          <w:p>
            <w:pPr>
              <w:pStyle w:val="Compact"/>
              <w:jc w:val="left"/>
            </w:pPr>
            <w:r>
              <w:t xml:space="preserve">Yes</w:t>
            </w:r>
          </w:p>
        </w:tc>
        <w:tc>
          <w:tcPr/>
          <w:p>
            <w:pPr>
              <w:pStyle w:val="Compact"/>
              <w:jc w:val="left"/>
            </w:pPr>
            <w:r>
              <w:t xml:space="preserve">Requires A02 segmentation algorithm.</w:t>
            </w:r>
          </w:p>
        </w:tc>
      </w:tr>
      <w:tr>
        <w:tc>
          <w:tcPr/>
          <w:p>
            <w:pPr>
              <w:pStyle w:val="Compact"/>
              <w:jc w:val="left"/>
            </w:pPr>
            <w:r>
              <w:rPr>
                <w:bCs/>
                <w:b/>
              </w:rPr>
              <w:t xml:space="preserve">CX-07</w:t>
            </w:r>
          </w:p>
        </w:tc>
        <w:tc>
          <w:tcPr/>
          <w:p>
            <w:pPr>
              <w:pStyle w:val="Compact"/>
              <w:jc w:val="left"/>
            </w:pPr>
            <w:r>
              <w:t xml:space="preserve">Inventory Intelligence</w:t>
            </w:r>
          </w:p>
        </w:tc>
        <w:tc>
          <w:tcPr/>
          <w:p>
            <w:pPr>
              <w:pStyle w:val="Compact"/>
              <w:jc w:val="left"/>
            </w:pPr>
            <w:r>
              <w:t xml:space="preserve">Standard</w:t>
            </w:r>
          </w:p>
        </w:tc>
        <w:tc>
          <w:tcPr/>
          <w:p>
            <w:pPr>
              <w:pStyle w:val="Compact"/>
              <w:jc w:val="left"/>
            </w:pPr>
            <w:r>
              <w:t xml:space="preserve">Inventory</w:t>
            </w:r>
          </w:p>
        </w:tc>
        <w:tc>
          <w:tcPr/>
          <w:p>
            <w:pPr>
              <w:pStyle w:val="Compact"/>
              <w:jc w:val="left"/>
            </w:pPr>
            <w:r>
              <w:t xml:space="preserve">Conditional</w:t>
            </w:r>
          </w:p>
        </w:tc>
        <w:tc>
          <w:tcPr/>
          <w:p>
            <w:pPr>
              <w:pStyle w:val="Compact"/>
              <w:jc w:val="left"/>
            </w:pPr>
            <w:r>
              <w:t xml:space="preserve">Hidden if no inventory data source connected.</w:t>
            </w:r>
          </w:p>
        </w:tc>
      </w:tr>
      <w:tr>
        <w:tc>
          <w:tcPr/>
          <w:p>
            <w:pPr>
              <w:pStyle w:val="Compact"/>
              <w:jc w:val="left"/>
            </w:pPr>
            <w:r>
              <w:rPr>
                <w:bCs/>
                <w:b/>
              </w:rPr>
              <w:t xml:space="preserve">CX-08</w:t>
            </w:r>
          </w:p>
        </w:tc>
        <w:tc>
          <w:tcPr/>
          <w:p>
            <w:pPr>
              <w:pStyle w:val="Compact"/>
              <w:jc w:val="left"/>
            </w:pPr>
            <w:r>
              <w:t xml:space="preserve">Product Analytics</w:t>
            </w:r>
          </w:p>
        </w:tc>
        <w:tc>
          <w:tcPr/>
          <w:p>
            <w:pPr>
              <w:pStyle w:val="Compact"/>
              <w:jc w:val="left"/>
            </w:pPr>
            <w:r>
              <w:t xml:space="preserve">Standard</w:t>
            </w:r>
          </w:p>
        </w:tc>
        <w:tc>
          <w:tcPr/>
          <w:p>
            <w:pPr>
              <w:pStyle w:val="Compact"/>
              <w:jc w:val="left"/>
            </w:pPr>
            <w:r>
              <w:t xml:space="preserve">POS</w:t>
            </w:r>
          </w:p>
        </w:tc>
        <w:tc>
          <w:tcPr/>
          <w:p>
            <w:pPr>
              <w:pStyle w:val="Compact"/>
              <w:jc w:val="left"/>
            </w:pPr>
            <w:r>
              <w:t xml:space="preserve">Yes</w:t>
            </w:r>
          </w:p>
        </w:tc>
        <w:tc>
          <w:tcPr/>
          <w:p>
            <w:pPr>
              <w:pStyle w:val="Compact"/>
              <w:jc w:val="left"/>
            </w:pPr>
            <w:r>
              <w:t xml:space="preserve">Affinity matrix needs A02 basket analysis.</w:t>
            </w:r>
          </w:p>
        </w:tc>
      </w:tr>
      <w:tr>
        <w:tc>
          <w:tcPr/>
          <w:p>
            <w:pPr>
              <w:pStyle w:val="Compact"/>
              <w:jc w:val="left"/>
            </w:pPr>
            <w:r>
              <w:rPr>
                <w:bCs/>
                <w:b/>
              </w:rPr>
              <w:t xml:space="preserve">CX-09</w:t>
            </w:r>
          </w:p>
        </w:tc>
        <w:tc>
          <w:tcPr/>
          <w:p>
            <w:pPr>
              <w:pStyle w:val="Compact"/>
              <w:jc w:val="left"/>
            </w:pPr>
            <w:r>
              <w:t xml:space="preserve">Loyalty Analytics</w:t>
            </w:r>
          </w:p>
        </w:tc>
        <w:tc>
          <w:tcPr/>
          <w:p>
            <w:pPr>
              <w:pStyle w:val="Compact"/>
              <w:jc w:val="left"/>
            </w:pPr>
            <w:r>
              <w:t xml:space="preserve">Standard</w:t>
            </w:r>
          </w:p>
        </w:tc>
        <w:tc>
          <w:tcPr/>
          <w:p>
            <w:pPr>
              <w:pStyle w:val="Compact"/>
              <w:jc w:val="left"/>
            </w:pPr>
            <w:r>
              <w:t xml:space="preserve">Loyalty</w:t>
            </w:r>
          </w:p>
        </w:tc>
        <w:tc>
          <w:tcPr/>
          <w:p>
            <w:pPr>
              <w:pStyle w:val="Compact"/>
              <w:jc w:val="left"/>
            </w:pPr>
            <w:r>
              <w:t xml:space="preserve">Conditional</w:t>
            </w:r>
          </w:p>
        </w:tc>
        <w:tc>
          <w:tcPr/>
          <w:p>
            <w:pPr>
              <w:pStyle w:val="Compact"/>
              <w:jc w:val="left"/>
            </w:pPr>
            <w:r>
              <w:t xml:space="preserve">Hidden if no loyalty data source connected.</w:t>
            </w:r>
          </w:p>
        </w:tc>
      </w:tr>
      <w:tr>
        <w:tc>
          <w:tcPr/>
          <w:p>
            <w:pPr>
              <w:pStyle w:val="Compact"/>
              <w:jc w:val="left"/>
            </w:pPr>
            <w:r>
              <w:rPr>
                <w:bCs/>
                <w:b/>
              </w:rPr>
              <w:t xml:space="preserve">CX-10</w:t>
            </w:r>
          </w:p>
        </w:tc>
        <w:tc>
          <w:tcPr/>
          <w:p>
            <w:pPr>
              <w:pStyle w:val="Compact"/>
              <w:jc w:val="left"/>
            </w:pPr>
            <w:r>
              <w:t xml:space="preserve">Campaign &amp; Journeys</w:t>
            </w:r>
          </w:p>
        </w:tc>
        <w:tc>
          <w:tcPr/>
          <w:p>
            <w:pPr>
              <w:pStyle w:val="Compact"/>
              <w:jc w:val="left"/>
            </w:pPr>
            <w:r>
              <w:t xml:space="preserve">Professional</w:t>
            </w:r>
          </w:p>
        </w:tc>
        <w:tc>
          <w:tcPr/>
          <w:p>
            <w:pPr>
              <w:pStyle w:val="Compact"/>
              <w:jc w:val="left"/>
            </w:pPr>
            <w:r>
              <w:t xml:space="preserve">POS + Campaign data</w:t>
            </w:r>
          </w:p>
        </w:tc>
        <w:tc>
          <w:tcPr/>
          <w:p>
            <w:pPr>
              <w:pStyle w:val="Compact"/>
              <w:jc w:val="left"/>
            </w:pPr>
            <w:r>
              <w:t xml:space="preserve">No (opt-in)</w:t>
            </w:r>
          </w:p>
        </w:tc>
        <w:tc>
          <w:tcPr/>
          <w:p>
            <w:pPr>
              <w:pStyle w:val="Compact"/>
              <w:jc w:val="left"/>
            </w:pPr>
            <w:r>
              <w:t xml:space="preserve">Full power with e-commerce + email data.</w:t>
            </w:r>
          </w:p>
        </w:tc>
      </w:tr>
    </w:tbl>
    <w:p>
      <w:pPr>
        <w:pStyle w:val="BodyText"/>
      </w:pPr>
      <w:r>
        <w:t xml:space="preserve">Screens marked</w:t>
      </w:r>
      <w:r>
        <w:t xml:space="preserve"> </w:t>
      </w:r>
      <w:r>
        <w:t xml:space="preserve">‘</w:t>
      </w:r>
      <w:r>
        <w:t xml:space="preserve">Conditional</w:t>
      </w:r>
      <w:r>
        <w:t xml:space="preserve">’</w:t>
      </w:r>
      <w:r>
        <w:t xml:space="preserve"> </w:t>
      </w:r>
      <w:r>
        <w:t xml:space="preserve">auto-hide when their required data source is not connected, and auto-appear when the source is onboarded. Screens marked</w:t>
      </w:r>
      <w:r>
        <w:t xml:space="preserve"> </w:t>
      </w:r>
      <w:r>
        <w:t xml:space="preserve">‘</w:t>
      </w:r>
      <w:r>
        <w:t xml:space="preserve">opt-in</w:t>
      </w:r>
      <w:r>
        <w:t xml:space="preserve">’</w:t>
      </w:r>
      <w:r>
        <w:t xml:space="preserve"> </w:t>
      </w:r>
      <w:r>
        <w:t xml:space="preserve">are available but not shown by default — Tenant Admin enables them.</w:t>
      </w:r>
    </w:p>
    <w:p>
      <w:pPr>
        <w:pStyle w:val="BodyText"/>
      </w:pPr>
      <w:r>
        <w:rPr>
          <w:bCs/>
          <w:b/>
        </w:rPr>
        <w:t xml:space="preserve">Updated module count: 61 modules (59 original + UX01)</w:t>
      </w:r>
    </w:p>
    <w:p>
      <w:pPr>
        <w:pStyle w:val="BodyText"/>
      </w:pPr>
      <w:r>
        <w:t xml:space="preserve">The Analytical Experience Layer (UX01 + 10 CX screens) is now a formal part of the Cortex specification. UX01 is Phase 0 — it must be built alongside the Admin Console, because the Admin Console and the Analytical Experience share the same frontend codebase, theme system, and authentication layer.</w:t>
      </w:r>
    </w:p>
    <w:bookmarkStart w:id="289" w:name="o04-integration-action-hub"/>
    <w:p>
      <w:pPr>
        <w:pStyle w:val="Heading2"/>
      </w:pPr>
      <w:r>
        <w:rPr>
          <w:bCs/>
          <w:b/>
        </w:rPr>
        <w:t xml:space="preserve">O04 — Integration &amp; Action Hub</w:t>
      </w:r>
    </w:p>
    <w:p>
      <w:pPr>
        <w:pStyle w:val="FirstParagraph"/>
      </w:pPr>
      <w:r>
        <w:rPr>
          <w:bCs/>
          <w:b/>
        </w:rPr>
        <w:t xml:space="preserve">Phase:</w:t>
      </w:r>
      <w:r>
        <w:t xml:space="preserve"> </w:t>
      </w:r>
      <w:r>
        <w:t xml:space="preserve">Phase 1 (core: webhook, email, CRM push) + Phase 2 (WhatsApp, dialer, SMS, marketing automation, response tracking)</w:t>
      </w:r>
    </w:p>
    <w:p>
      <w:pPr>
        <w:pStyle w:val="BodyText"/>
      </w:pPr>
      <w:r>
        <w:rPr>
          <w:bCs/>
          <w:b/>
        </w:rPr>
        <w:t xml:space="preserve">Dependencies:</w:t>
      </w:r>
      <w:r>
        <w:t xml:space="preserve"> </w:t>
      </w:r>
      <w:r>
        <w:t xml:space="preserve">O01 (API Gateway), O02 (Alert Engine), A03 (Decision Pipeline), AC03 (Consent Manager), PR01 (Purpose Registry), I01 (Identity Resolution), FB02 (Decision-Outcome Linkage)</w:t>
      </w:r>
    </w:p>
    <w:p>
      <w:pPr>
        <w:pStyle w:val="BodyText"/>
      </w:pPr>
      <w:r>
        <w:rPr>
          <w:bCs/>
          <w:b/>
        </w:rPr>
        <w:t xml:space="preserve">Purpose:</w:t>
      </w:r>
      <w:r>
        <w:t xml:space="preserve"> </w:t>
      </w:r>
      <w:r>
        <w:t xml:space="preserve">O04 is the</w:t>
      </w:r>
      <w:r>
        <w:t xml:space="preserve"> </w:t>
      </w:r>
      <w:r>
        <w:t xml:space="preserve">“</w:t>
      </w:r>
      <w:r>
        <w:t xml:space="preserve">last mile</w:t>
      </w:r>
      <w:r>
        <w:t xml:space="preserve">”</w:t>
      </w:r>
      <w:r>
        <w:t xml:space="preserve"> </w:t>
      </w:r>
      <w:r>
        <w:t xml:space="preserve">that turns Cortex intelligence into real-world action. When the platform decides that Customer X is a high-value churning customer, or that Cedant Y’s treaty is approaching renewal, or that a stockout is imminent at Store Z — O04 delivers that decision to the right person through the right channel. Without O04, Cortex produces insights that sit on dashboards. With O04, insights trigger calls, messages, tasks, and campaigns automatically. O04 also closes the feedback loop: when a WhatsApp message is delivered, read, or acted upon, that response flows back into FB02 so the platform learns which actions actually work.</w:t>
      </w:r>
    </w:p>
    <w:p>
      <w:pPr>
        <w:pStyle w:val="BodyText"/>
      </w:pPr>
      <w:r>
        <w:rPr>
          <w:bCs/>
          <w:b/>
        </w:rPr>
        <w:t xml:space="preserve">Phase 1 Requirements (Core)</w:t>
      </w:r>
    </w:p>
    <w:p>
      <w:pPr>
        <w:pStyle w:val="BodyText"/>
      </w:pPr>
      <w:r>
        <w:rPr>
          <w:bCs/>
          <w:b/>
        </w:rPr>
        <w:t xml:space="preserve">O04-FR-001 Action Dispatcher:</w:t>
      </w:r>
      <w:r>
        <w:t xml:space="preserve"> </w:t>
      </w:r>
      <w:r>
        <w:t xml:space="preserve">Receives ActionRequest events from A03 (decision output), O02 (alert actions), or O01 (orchestration steps). Each ActionRequest contains: entity_id, tenant_id, action_type, channel_preference, priority, decision_context, template_id. Dispatcher resolves the entity’s contact signals from I01 and routes to the appropriate channel connector.</w:t>
      </w:r>
    </w:p>
    <w:p>
      <w:pPr>
        <w:pStyle w:val="BodyText"/>
      </w:pPr>
      <w:r>
        <w:rPr>
          <w:bCs/>
          <w:b/>
        </w:rPr>
        <w:t xml:space="preserve">O04-FR-002 Consent Check Gate:</w:t>
      </w:r>
      <w:r>
        <w:t xml:space="preserve"> </w:t>
      </w:r>
      <w:r>
        <w:t xml:space="preserve">Before any outbound action, O04 SHALL verify that the target entity has granted consent for: (a) the channel (e.g., WhatsApp opt-in), and (b) the processing purpose (e.g., marketing, service delivery, renewal). Consent checked against AC03. If consent is missing or withdrawn, action is blocked and logged as CONSENT_BLOCKED. No override mechanism — consent is absolute.</w:t>
      </w:r>
    </w:p>
    <w:p>
      <w:pPr>
        <w:pStyle w:val="BodyText"/>
      </w:pPr>
      <w:r>
        <w:rPr>
          <w:bCs/>
          <w:b/>
        </w:rPr>
        <w:t xml:space="preserve">O04-FR-003 Channel Registry:</w:t>
      </w:r>
      <w:r>
        <w:t xml:space="preserve"> </w:t>
      </w:r>
      <w:r>
        <w:t xml:space="preserve">Tenant-configurable registry of enabled outbound channels. Each entry stores: channel_type, provider, API credentials (encrypted via KMS), rate limits, operating hours, active/inactive status. Channels can be enabled/disabled per tenant without code changes.</w:t>
      </w:r>
    </w:p>
    <w:p>
      <w:pPr>
        <w:pStyle w:val="BodyText"/>
      </w:pPr>
      <w:r>
        <w:rPr>
          <w:bCs/>
          <w:b/>
        </w:rPr>
        <w:t xml:space="preserve">O04-FR-004 Webhook-Out Connector:</w:t>
      </w:r>
      <w:r>
        <w:t xml:space="preserve"> </w:t>
      </w:r>
      <w:r>
        <w:t xml:space="preserve">Push ActionRequest payloads to any external system via configurable HTTP webhooks. Supports: POST/PUT methods, custom headers, HMAC signature, configurable retry logic (exponential backoff, max 5 retries), timeout configuration, response status tracking. This is the universal escape hatch — any system with an API can receive Cortex decisions.</w:t>
      </w:r>
    </w:p>
    <w:p>
      <w:pPr>
        <w:pStyle w:val="BodyText"/>
      </w:pPr>
      <w:r>
        <w:rPr>
          <w:bCs/>
          <w:b/>
        </w:rPr>
        <w:t xml:space="preserve">O04-FR-005 Email Connector:</w:t>
      </w:r>
      <w:r>
        <w:t xml:space="preserve"> </w:t>
      </w:r>
      <w:r>
        <w:t xml:space="preserve">Send transactional and campaign emails via configurable ESP (SendGrid, Amazon SES, or SMTP). Supports HTML and plain-text templates, variable interpolation ({{customer.name}}, {{decision.score}}), attachment support, delivery/bounce/open tracking via ESP webhooks.</w:t>
      </w:r>
    </w:p>
    <w:p>
      <w:pPr>
        <w:pStyle w:val="BodyText"/>
      </w:pPr>
      <w:r>
        <w:rPr>
          <w:bCs/>
          <w:b/>
        </w:rPr>
        <w:t xml:space="preserve">O04-FR-006 CRM Push Connector:</w:t>
      </w:r>
      <w:r>
        <w:t xml:space="preserve"> </w:t>
      </w:r>
      <w:r>
        <w:t xml:space="preserve">Create tasks, update records, and push prioritised lead/action lists to CRM systems. Supports: Salesforce (REST API), HubSpot (API), and generic CRM webhook. Actions: create_task (assigned to relationship manager), update_contact (add Cortex score/segment), create_opportunity, add_to_campaign_list.</w:t>
      </w:r>
    </w:p>
    <w:p>
      <w:pPr>
        <w:pStyle w:val="BodyText"/>
      </w:pPr>
      <w:r>
        <w:rPr>
          <w:bCs/>
          <w:b/>
        </w:rPr>
        <w:t xml:space="preserve">O04-FR-007 Action Template Engine:</w:t>
      </w:r>
      <w:r>
        <w:t xml:space="preserve"> </w:t>
      </w:r>
      <w:r>
        <w:t xml:space="preserve">Each outbound action uses a template stored in F04 (Configuration Plane). Templates are tenant-scoped, channel-specific, version-controlled (F04 immutable versioning), and variable-aware (interpolate entity attributes, decision scores, timestamps, deep links back to Cortex).</w:t>
      </w:r>
    </w:p>
    <w:p>
      <w:pPr>
        <w:pStyle w:val="BodyText"/>
      </w:pPr>
      <w:r>
        <w:rPr>
          <w:bCs/>
          <w:b/>
        </w:rPr>
        <w:t xml:space="preserve">O04-FR-008 Priority Queue:</w:t>
      </w:r>
      <w:r>
        <w:t xml:space="preserve"> </w:t>
      </w:r>
      <w:r>
        <w:t xml:space="preserve">Actions queued by priority (CRITICAL &gt; HIGH &gt; MEDIUM &gt; LOW). Separate queues per channel to prevent a slow channel from blocking others. Queue backed by Pub/Sub with dead-letter for failed deliveries.</w:t>
      </w:r>
    </w:p>
    <w:p>
      <w:pPr>
        <w:pStyle w:val="BodyText"/>
      </w:pPr>
      <w:r>
        <w:rPr>
          <w:bCs/>
          <w:b/>
        </w:rPr>
        <w:t xml:space="preserve">O04-FR-009 Action Audit Log:</w:t>
      </w:r>
      <w:r>
        <w:t xml:space="preserve"> </w:t>
      </w:r>
      <w:r>
        <w:t xml:space="preserve">Every outbound action logged immutably: action_id, entity_id, tenant_id, channel, template_id, decision_id (link to A03), consent_reference, dispatched_at, delivery_status, response_events[]. Retained for 7 years. Queryable by entity and by decision.</w:t>
      </w:r>
    </w:p>
    <w:p>
      <w:pPr>
        <w:pStyle w:val="BodyText"/>
      </w:pPr>
      <w:r>
        <w:rPr>
          <w:bCs/>
          <w:b/>
        </w:rPr>
        <w:t xml:space="preserve">Phase 2 Requirements (Full Channels + Response Tracking)</w:t>
      </w:r>
    </w:p>
    <w:p>
      <w:pPr>
        <w:pStyle w:val="BodyText"/>
      </w:pPr>
      <w:r>
        <w:rPr>
          <w:bCs/>
          <w:b/>
        </w:rPr>
        <w:t xml:space="preserve">O04-FR-010 WhatsApp Business API Connector:</w:t>
      </w:r>
      <w:r>
        <w:t xml:space="preserve"> </w:t>
      </w:r>
      <w:r>
        <w:t xml:space="preserve">Send template messages via WhatsApp Business API. Supports: pre-approved templates (required by WhatsApp policy), media messages, interactive messages (buttons, list pickers), opt-in/opt-out management synced with AC03, delivery/read receipt tracking, 24-hour session window awareness.</w:t>
      </w:r>
    </w:p>
    <w:p>
      <w:pPr>
        <w:pStyle w:val="BodyText"/>
      </w:pPr>
      <w:r>
        <w:rPr>
          <w:bCs/>
          <w:b/>
        </w:rPr>
        <w:t xml:space="preserve">O04-FR-011 Dialer/CTI Connector:</w:t>
      </w:r>
      <w:r>
        <w:t xml:space="preserve"> </w:t>
      </w:r>
      <w:r>
        <w:t xml:space="preserve">Push prioritised call lists to auto-dialer or CTI systems. Supports: lead list push ordered by priority score, click-to-call from Customer 360 screen, disposition code capture (answered, no-answer, callback, converted), call duration and recording reference. Compatible with Ameyo, Ozonetel, Exotel, Genesys.</w:t>
      </w:r>
    </w:p>
    <w:p>
      <w:pPr>
        <w:pStyle w:val="BodyText"/>
      </w:pPr>
      <w:r>
        <w:rPr>
          <w:bCs/>
          <w:b/>
        </w:rPr>
        <w:t xml:space="preserve">O04-FR-012 SMS Gateway Connector:</w:t>
      </w:r>
      <w:r>
        <w:t xml:space="preserve"> </w:t>
      </w:r>
      <w:r>
        <w:t xml:space="preserve">Send SMS via configurable providers (Twilio, MSG91, Kaleyra). Supports DLT-registered templates for India compliance, delivery status tracking, opt-out handling (STOP keyword), multilingual character encoding.</w:t>
      </w:r>
    </w:p>
    <w:p>
      <w:pPr>
        <w:pStyle w:val="BodyText"/>
      </w:pPr>
      <w:r>
        <w:rPr>
          <w:bCs/>
          <w:b/>
        </w:rPr>
        <w:t xml:space="preserve">O04-FR-013 Marketing Automation Push:</w:t>
      </w:r>
      <w:r>
        <w:t xml:space="preserve"> </w:t>
      </w:r>
      <w:r>
        <w:t xml:space="preserve">Push segments and triggered actions to marketing platforms. Supports: segment sync (push Cortex segments to CleverTap/MoEngage/WebEngage/Mailchimp as audience lists), event trigger (push decision events to trigger pre-configured journeys), attribute sync (push scores and segment labels to contact profiles). Sync: scheduled or real-time.</w:t>
      </w:r>
    </w:p>
    <w:p>
      <w:pPr>
        <w:pStyle w:val="BodyText"/>
      </w:pPr>
      <w:r>
        <w:rPr>
          <w:bCs/>
          <w:b/>
        </w:rPr>
        <w:t xml:space="preserve">O04-FR-014 Response Tracking &amp; Feedback Loop:</w:t>
      </w:r>
      <w:r>
        <w:t xml:space="preserve"> </w:t>
      </w:r>
      <w:r>
        <w:t xml:space="preserve">Every channel connector captures response events and feeds them to FB02. Response types: DELIVERED, READ, CLICKED, CONVERTED, BOUNCED, OPTED_OUT, CALL_ANSWERED, CALL_NO_ANSWER, CALL_CALLBACK, CALL_CONVERTED, TASK_COMPLETED, TASK_OVERDUE. FB02 uses these to compute action effectiveness, optimal contact time, message fatigue thresholds, and ROI per action type.</w:t>
      </w:r>
    </w:p>
    <w:p>
      <w:pPr>
        <w:pStyle w:val="BodyText"/>
      </w:pPr>
      <w:r>
        <w:rPr>
          <w:bCs/>
          <w:b/>
        </w:rPr>
        <w:t xml:space="preserve">O04-FR-015 Suppression Rules Engine:</w:t>
      </w:r>
      <w:r>
        <w:t xml:space="preserve"> </w:t>
      </w:r>
      <w:r>
        <w:t xml:space="preserve">Configurable per-tenant do-not-contact rules: frequency cap (max N messages per channel per entity per time window), time-of-day restrictions (entity timezone-aware), regulatory quiet periods (TRAI DND in India, TCPA in US), cooldown after opt-out, channel fatigue (auto-reduce frequency if entity unresponsive to last 3 messages).</w:t>
      </w:r>
    </w:p>
    <w:p>
      <w:pPr>
        <w:pStyle w:val="BodyText"/>
      </w:pPr>
      <w:r>
        <w:rPr>
          <w:bCs/>
          <w:b/>
        </w:rPr>
        <w:t xml:space="preserve">O04-FR-016 Outbound Action Dashboard:</w:t>
      </w:r>
      <w:r>
        <w:t xml:space="preserve"> </w:t>
      </w:r>
      <w:r>
        <w:t xml:space="preserve">Operational dashboard: actions dispatched per channel per day, delivery/read/conversion rates, suppression rate, queue depth and processing latency, top-performing templates by conversion rate. Registered in UX01 Screen Registry.</w:t>
      </w:r>
    </w:p>
    <w:p>
      <w:pPr>
        <w:pStyle w:val="BodyText"/>
      </w:pPr>
      <w:r>
        <w:rPr>
          <w:bCs/>
          <w:b/>
        </w:rPr>
        <w:t xml:space="preserve">Data Model</w:t>
      </w:r>
    </w:p>
    <w:p>
      <w:pPr>
        <w:pStyle w:val="BodyText"/>
      </w:pPr>
      <w:r>
        <w:rPr>
          <w:bCs/>
          <w:b/>
        </w:rPr>
        <w:t xml:space="preserve">ActionRequest:</w:t>
      </w:r>
      <w:r>
        <w:t xml:space="preserve"> </w:t>
      </w:r>
      <w:r>
        <w:t xml:space="preserve">action_id, tenant_id, entity_id, decision_id FK→A03, channel, template_id, priority, status enum (QUEUED/DISPATCHED/DELIVERED/READ/CLICKED/CONVERTED/FAILED/CONSENT_BLOCKED/SUPPRESSED), dispatched_at, delivered_at, response_events as Json, retry_count, created_at. RLS: tenant_id. Bi-temporal: txn_from, txn_to.</w:t>
      </w:r>
    </w:p>
    <w:p>
      <w:pPr>
        <w:pStyle w:val="BodyText"/>
      </w:pPr>
      <w:r>
        <w:rPr>
          <w:bCs/>
          <w:b/>
        </w:rPr>
        <w:t xml:space="preserve">ChannelConfig:</w:t>
      </w:r>
      <w:r>
        <w:t xml:space="preserve"> </w:t>
      </w:r>
      <w:r>
        <w:t xml:space="preserve">config_id, tenant_id, channel_type enum (WEBHOOK/EMAIL/SMS/WHATSAPP/DIALER/CRM/MARKETING_AUTOMATION), provider, credentials_ref encrypted, rate_limit_per_minute, rate_limit_per_day, operating_hours as Json, is_active, created_at.</w:t>
      </w:r>
    </w:p>
    <w:p>
      <w:pPr>
        <w:pStyle w:val="BodyText"/>
      </w:pPr>
      <w:r>
        <w:rPr>
          <w:bCs/>
          <w:b/>
        </w:rPr>
        <w:t xml:space="preserve">SuppressionRule:</w:t>
      </w:r>
      <w:r>
        <w:t xml:space="preserve"> </w:t>
      </w:r>
      <w:r>
        <w:t xml:space="preserve">rule_id, tenant_id, rule_type enum, channel nullable, parameters as Json, is_active, created_at.</w:t>
      </w:r>
    </w:p>
    <w:p>
      <w:pPr>
        <w:pStyle w:val="BodyText"/>
      </w:pPr>
      <w:r>
        <w:rPr>
          <w:bCs/>
          <w:b/>
        </w:rPr>
        <w:t xml:space="preserve">PART VII</w:t>
      </w:r>
    </w:p>
    <w:p>
      <w:pPr>
        <w:pStyle w:val="BodyText"/>
      </w:pPr>
      <w:r>
        <w:t xml:space="preserve">Admin Console Screens — SCR-01 through SCR-24</w:t>
      </w:r>
    </w:p>
    <w:p>
      <w:pPr>
        <w:pStyle w:val="BodyText"/>
      </w:pPr>
      <w:r>
        <w:rPr>
          <w:bCs/>
          <w:b/>
        </w:rPr>
        <w:t xml:space="preserve">The complete tenant administration layer</w:t>
      </w:r>
    </w:p>
    <w:p>
      <w:pPr>
        <w:pStyle w:val="BodyText"/>
      </w:pPr>
      <w:r>
        <w:rPr>
          <w:bCs/>
          <w:b/>
        </w:rPr>
        <w:t xml:space="preserve">Naming convention.</w:t>
      </w:r>
      <w:r>
        <w:t xml:space="preserve"> </w:t>
      </w:r>
      <w:r>
        <w:t xml:space="preserve">Admin Console screens use the prefix</w:t>
      </w:r>
      <w:r>
        <w:t xml:space="preserve"> </w:t>
      </w:r>
      <w:r>
        <w:rPr>
          <w:rStyle w:val="VerbatimChar"/>
        </w:rPr>
        <w:t xml:space="preserve">SCR-</w:t>
      </w:r>
      <w:r>
        <w:t xml:space="preserve"> </w:t>
      </w:r>
      <w:r>
        <w:t xml:space="preserve">throughout this document (SCR-01 through SCR-24). The</w:t>
      </w:r>
      <w:r>
        <w:t xml:space="preserve"> </w:t>
      </w:r>
      <w:r>
        <w:rPr>
          <w:rStyle w:val="VerbatimChar"/>
        </w:rPr>
        <w:t xml:space="preserve">S</w:t>
      </w:r>
      <w:r>
        <w:t xml:space="preserve"> </w:t>
      </w:r>
      <w:r>
        <w:t xml:space="preserve">prefix alone is reserved for backend modules with the</w:t>
      </w:r>
      <w:r>
        <w:t xml:space="preserve"> </w:t>
      </w:r>
      <w:r>
        <w:rPr>
          <w:rStyle w:val="VerbatimChar"/>
        </w:rPr>
        <w:t xml:space="preserve">S</w:t>
      </w:r>
      <w:r>
        <w:t xml:space="preserve"> </w:t>
      </w:r>
      <w:r>
        <w:t xml:space="preserve">identifier (S01 Stream Processing Engine, S02 Cross-Modal Correlation Engine). Earlier drafts of this specification used bare</w:t>
      </w:r>
      <w:r>
        <w:t xml:space="preserve"> </w:t>
      </w:r>
      <w:r>
        <w:rPr>
          <w:rStyle w:val="VerbatimChar"/>
        </w:rPr>
        <w:t xml:space="preserve">Sxx</w:t>
      </w:r>
      <w:r>
        <w:t xml:space="preserve"> </w:t>
      </w:r>
      <w:r>
        <w:t xml:space="preserve">identifiers for admin screens, producing an ambiguous namespace with the Streaming/Cross-Modal backend modules; v2.0 resolves that ambiguity by prefixing admin screens as</w:t>
      </w:r>
      <w:r>
        <w:t xml:space="preserve"> </w:t>
      </w:r>
      <w:r>
        <w:rPr>
          <w:rStyle w:val="VerbatimChar"/>
        </w:rPr>
        <w:t xml:space="preserve">SCR-xx</w:t>
      </w:r>
      <w:r>
        <w:t xml:space="preserve">. Cross-references to admin screens appearing in backend module specifications (e.g.,</w:t>
      </w:r>
      <w:r>
        <w:t xml:space="preserve"> </w:t>
      </w:r>
      <w:r>
        <w:t xml:space="preserve">“</w:t>
      </w:r>
      <w:r>
        <w:t xml:space="preserve">S08</w:t>
      </w:r>
      <w:r>
        <w:t xml:space="preserve">”</w:t>
      </w:r>
      <w:r>
        <w:t xml:space="preserve"> </w:t>
      </w:r>
      <w:r>
        <w:t xml:space="preserve">in G02-FR-011) should be read as</w:t>
      </w:r>
      <w:r>
        <w:t xml:space="preserve"> </w:t>
      </w:r>
      <w:r>
        <w:rPr>
          <w:rStyle w:val="VerbatimChar"/>
        </w:rPr>
        <w:t xml:space="preserve">SCR-08</w:t>
      </w:r>
      <w:r>
        <w:t xml:space="preserve"> </w:t>
      </w:r>
      <w:r>
        <w:t xml:space="preserve">in v2.0 terminology.</w:t>
      </w:r>
    </w:p>
    <w:p>
      <w:pPr>
        <w:pStyle w:val="BodyText"/>
      </w:pPr>
      <w:r>
        <w:t xml:space="preserve">Twenty-four screens composing the human surface of the Cortex platform. Each screen is rendered through the UX01 Widget Library, served through the Screen Registry, themed by F04 Configuration Plane, and gated by AC01 RBAC. Admin Console screens are how every tenant operates their Cortex deployment day to day.</w:t>
      </w:r>
    </w:p>
    <w:p>
      <w:pPr>
        <w:pStyle w:val="BodyText"/>
      </w:pPr>
      <w:r>
        <w:t xml:space="preserve">Screens are grouped by function: tenant foundation (SCR-01, SCR-02, SCR-04, SCR-05, SCR-06), data foundation (SCR-07, SCR-08, SCR-09, SCR-10, SCR-11), ML and decisioning (SCR-12, SCR-13, SCR-14), integrations and developer surface (SCR-17, SCR-18), operations and alerting (SCR-19, SCR-20), compliance and privacy (SCR-16, SCR-22, SCR-23), commercial operations (SCR-21), edge and platform (SCR-15, SCR-24), and one Super-Admin-only surface (SCR-03).</w:t>
      </w:r>
    </w:p>
    <w:p>
      <w:pPr>
        <w:pStyle w:val="BodyText"/>
      </w:pPr>
      <w:r>
        <w:t xml:space="preserve">Sevyn8 Cortex — v2.0 — April 2026 — CONFIDENTIAL</w:t>
      </w:r>
    </w:p>
    <w:bookmarkEnd w:id="289"/>
    <w:bookmarkEnd w:id="290"/>
    <w:bookmarkStart w:id="298" w:name="scr-01-tenant-overview-health"/>
    <w:p>
      <w:pPr>
        <w:pStyle w:val="Heading1"/>
      </w:pPr>
      <w:r>
        <w:t xml:space="preserve">SCR-01 — Tenant Overview &amp; Health</w:t>
      </w:r>
    </w:p>
    <w:tbl>
      <w:tblPr>
        <w:tblStyle w:val="Table"/>
        <w:tblW w:type="pct" w:w="4935"/>
        <w:tblLook w:firstRow="0" w:lastRow="0" w:firstColumn="0" w:lastColumn="0" w:noHBand="0" w:noVBand="0" w:val="0000"/>
        <w:jc w:val="start"/>
      </w:tblPr>
      <w:tblGrid>
        <w:gridCol w:w="1124"/>
        <w:gridCol w:w="6693"/>
      </w:tblGrid>
      <w:tr>
        <w:tc>
          <w:tcPr/>
          <w:p>
            <w:pPr>
              <w:pStyle w:val="Compact"/>
              <w:jc w:val="left"/>
            </w:pPr>
            <w:r>
              <w:rPr>
                <w:bCs/>
                <w:b/>
              </w:rPr>
              <w:t xml:space="preserve">Module ID</w:t>
            </w:r>
          </w:p>
        </w:tc>
        <w:tc>
          <w:tcPr/>
          <w:p>
            <w:pPr>
              <w:pStyle w:val="Compact"/>
              <w:jc w:val="left"/>
            </w:pPr>
            <w:r>
              <w:t xml:space="preserve">SCR-01</w:t>
            </w:r>
          </w:p>
        </w:tc>
      </w:tr>
      <w:tr>
        <w:tc>
          <w:tcPr/>
          <w:p>
            <w:pPr>
              <w:pStyle w:val="Compact"/>
              <w:jc w:val="left"/>
            </w:pPr>
            <w:r>
              <w:rPr>
                <w:bCs/>
                <w:b/>
              </w:rPr>
              <w:t xml:space="preserve">Phase</w:t>
            </w:r>
          </w:p>
        </w:tc>
        <w:tc>
          <w:tcPr/>
          <w:p>
            <w:pPr>
              <w:pStyle w:val="Compact"/>
              <w:jc w:val="left"/>
            </w:pPr>
            <w:r>
              <w:t xml:space="preserve">1 (Core Admin Experience)</w:t>
            </w:r>
          </w:p>
        </w:tc>
      </w:tr>
      <w:tr>
        <w:tc>
          <w:tcPr/>
          <w:p>
            <w:pPr>
              <w:pStyle w:val="Compact"/>
              <w:jc w:val="left"/>
            </w:pPr>
            <w:r>
              <w:rPr>
                <w:bCs/>
                <w:b/>
              </w:rPr>
              <w:t xml:space="preserve">Complexity</w:t>
            </w:r>
          </w:p>
        </w:tc>
        <w:tc>
          <w:tcPr/>
          <w:p>
            <w:pPr>
              <w:pStyle w:val="Compact"/>
              <w:jc w:val="left"/>
            </w:pPr>
            <w:r>
              <w:t xml:space="preserve">Medium</w:t>
            </w:r>
          </w:p>
        </w:tc>
      </w:tr>
      <w:tr>
        <w:tc>
          <w:tcPr/>
          <w:p>
            <w:pPr>
              <w:pStyle w:val="Compact"/>
              <w:jc w:val="left"/>
            </w:pPr>
            <w:r>
              <w:rPr>
                <w:bCs/>
                <w:b/>
              </w:rPr>
              <w:t xml:space="preserve">Dependencies</w:t>
            </w:r>
          </w:p>
        </w:tc>
        <w:tc>
          <w:tcPr/>
          <w:p>
            <w:pPr>
              <w:pStyle w:val="Compact"/>
              <w:jc w:val="left"/>
            </w:pPr>
            <w:r>
              <w:t xml:space="preserve">F02 (Tenant Lifecycle), OB01 (Observability), OB02 (FinOps), OB03 (Metering), AC02 (Hierarchy), D04 (Data Quality), O02 (Alerts)</w:t>
            </w:r>
          </w:p>
        </w:tc>
      </w:tr>
      <w:tr>
        <w:tc>
          <w:tcPr/>
          <w:p>
            <w:pPr>
              <w:pStyle w:val="Compact"/>
              <w:jc w:val="left"/>
            </w:pPr>
            <w:r>
              <w:rPr>
                <w:bCs/>
                <w:b/>
              </w:rPr>
              <w:t xml:space="preserve">Depended On By</w:t>
            </w:r>
          </w:p>
        </w:tc>
        <w:tc>
          <w:tcPr/>
          <w:p>
            <w:pPr>
              <w:pStyle w:val="Compact"/>
              <w:jc w:val="left"/>
            </w:pPr>
            <w:r>
              <w:t xml:space="preserve">Default landing experience for all tenant admins; drilled-in view from SCR-24 for Super Admins</w:t>
            </w:r>
          </w:p>
        </w:tc>
      </w:tr>
      <w:tr>
        <w:tc>
          <w:tcPr/>
          <w:p>
            <w:pPr>
              <w:pStyle w:val="Compact"/>
              <w:jc w:val="left"/>
            </w:pPr>
            <w:r>
              <w:rPr>
                <w:bCs/>
                <w:b/>
              </w:rPr>
              <w:t xml:space="preserve">Owner</w:t>
            </w:r>
          </w:p>
        </w:tc>
        <w:tc>
          <w:tcPr/>
          <w:p>
            <w:pPr>
              <w:pStyle w:val="Compact"/>
              <w:jc w:val="left"/>
            </w:pPr>
            <w:r>
              <w:t xml:space="preserve">Platform Engineering Lead</w:t>
            </w:r>
          </w:p>
        </w:tc>
      </w:tr>
    </w:tbl>
    <w:bookmarkStart w:id="291" w:name="purpose-33"/>
    <w:p>
      <w:pPr>
        <w:pStyle w:val="Heading2"/>
      </w:pPr>
      <w:r>
        <w:t xml:space="preserve">Purpose</w:t>
      </w:r>
    </w:p>
    <w:p>
      <w:pPr>
        <w:pStyle w:val="FirstParagraph"/>
      </w:pPr>
      <w:r>
        <w:t xml:space="preserve">SCR-01 is the default landing screen for the Admin Console. It gives the Tenant Admin a single-pane operational view of their tenant — platform health, data health, consent posture, usage against plan, and any item requiring attention. For Sevyn8 Super Admins operating from SCR-24, SCR-01 renders in a drilled-in mode scoped to the selected tenant.</w:t>
      </w:r>
    </w:p>
    <w:p>
      <w:pPr>
        <w:pStyle w:val="BodyText"/>
      </w:pPr>
      <w:r>
        <w:t xml:space="preserve">SCR-01 does NOT introduce new data — it is a composition of widgets sourced from OB01, OB03, D04, AC03, O02, and F02, rendered through the UX01 Widget Library.</w:t>
      </w:r>
    </w:p>
    <w:bookmarkEnd w:id="291"/>
    <w:bookmarkStart w:id="296" w:name="functional-requirements-9"/>
    <w:p>
      <w:pPr>
        <w:pStyle w:val="Heading2"/>
      </w:pPr>
      <w:r>
        <w:t xml:space="preserve">Functional Requirements</w:t>
      </w:r>
    </w:p>
    <w:bookmarkStart w:id="292" w:name="health-scorecard"/>
    <w:p>
      <w:pPr>
        <w:pStyle w:val="Heading3"/>
      </w:pPr>
      <w:r>
        <w:t xml:space="preserve">Health Scorecard</w:t>
      </w:r>
    </w:p>
    <w:p>
      <w:pPr>
        <w:pStyle w:val="FirstParagraph"/>
      </w:pPr>
      <w:r>
        <w:rPr>
          <w:bCs/>
          <w:b/>
        </w:rPr>
        <w:t xml:space="preserve">SCR-01-FR-001</w:t>
      </w:r>
      <w:r>
        <w:t xml:space="preserve"> </w:t>
      </w:r>
      <w:r>
        <w:t xml:space="preserve">The screen SHALL render a five-card health scorecard at the top: Platform Availability (SLO % over 30 days), Ingestion Freshness (worst lag across all active sources), Data Quality (tenant-weighted D04 score), Consent Coverage (percentage of active entities with valid consent for declared purposes), Usage vs Plan (peak utilisation percentage across metered resources). Each card shows current value, 7-day trend sparkline, and colour-coded status (green/amber/red) based on thresholds configured in F04.</w:t>
      </w:r>
    </w:p>
    <w:p>
      <w:pPr>
        <w:pStyle w:val="BodyText"/>
      </w:pPr>
      <w:r>
        <w:rPr>
          <w:bCs/>
          <w:b/>
        </w:rPr>
        <w:t xml:space="preserve">SCR-01-FR-002</w:t>
      </w:r>
      <w:r>
        <w:t xml:space="preserve"> </w:t>
      </w:r>
      <w:r>
        <w:t xml:space="preserve">Clicking any health card SHALL deep-link to the owning screen with the scope pre-applied: Platform → SCR-24, Ingestion → SCR-08 filtered to the lagging source, Quality → SCR-10 filtered to the failing dataset, Consent → SCR-16 filtered to the gap purpose, Usage → SCR-21 filtered to the metric approaching breach.</w:t>
      </w:r>
    </w:p>
    <w:p>
      <w:pPr>
        <w:pStyle w:val="BodyText"/>
      </w:pPr>
      <w:r>
        <w:rPr>
          <w:bCs/>
          <w:b/>
        </w:rPr>
        <w:t xml:space="preserve">SCR-01-FR-003</w:t>
      </w:r>
      <w:r>
        <w:t xml:space="preserve"> </w:t>
      </w:r>
      <w:r>
        <w:t xml:space="preserve">Health scores SHALL be derived in near-real-time via Pub/Sub events from the underlying modules; the cards refresh without page reload. Stale scores older than 15 minutes show an amber staleness indicator.</w:t>
      </w:r>
    </w:p>
    <w:bookmarkEnd w:id="292"/>
    <w:bookmarkStart w:id="293" w:name="activity-feed"/>
    <w:p>
      <w:pPr>
        <w:pStyle w:val="Heading3"/>
      </w:pPr>
      <w:r>
        <w:t xml:space="preserve">Activity Feed</w:t>
      </w:r>
    </w:p>
    <w:p>
      <w:pPr>
        <w:pStyle w:val="FirstParagraph"/>
      </w:pPr>
      <w:r>
        <w:rPr>
          <w:bCs/>
          <w:b/>
        </w:rPr>
        <w:t xml:space="preserve">SCR-01-FR-004</w:t>
      </w:r>
      <w:r>
        <w:t xml:space="preserve"> </w:t>
      </w:r>
      <w:r>
        <w:t xml:space="preserve">A chronological activity feed SHALL list the last 100 significant tenant events: data source connected, schema change promoted, DSAR received, model version promoted, user role changed, billing threshold crossed, quality alert raised, consent purpose modified, decision pipeline deployed. Each entry includes event type, actor (user or system), entity affected, timestamp in tenant locale (IC02), and a deep-link action.</w:t>
      </w:r>
    </w:p>
    <w:p>
      <w:pPr>
        <w:pStyle w:val="BodyText"/>
      </w:pPr>
      <w:r>
        <w:rPr>
          <w:bCs/>
          <w:b/>
        </w:rPr>
        <w:t xml:space="preserve">SCR-01-FR-005</w:t>
      </w:r>
      <w:r>
        <w:t xml:space="preserve"> </w:t>
      </w:r>
      <w:r>
        <w:t xml:space="preserve">Feed filters: event type, actor, severity, time range. Saved filter views persist per user via F04.</w:t>
      </w:r>
    </w:p>
    <w:bookmarkEnd w:id="293"/>
    <w:bookmarkStart w:id="294" w:name="attention-panel"/>
    <w:p>
      <w:pPr>
        <w:pStyle w:val="Heading3"/>
      </w:pPr>
      <w:r>
        <w:t xml:space="preserve">Attention Panel</w:t>
      </w:r>
    </w:p>
    <w:p>
      <w:pPr>
        <w:pStyle w:val="FirstParagraph"/>
      </w:pPr>
      <w:r>
        <w:rPr>
          <w:bCs/>
          <w:b/>
        </w:rPr>
        <w:t xml:space="preserve">SCR-01-FR-006</w:t>
      </w:r>
      <w:r>
        <w:t xml:space="preserve"> </w:t>
      </w:r>
      <w:r>
        <w:t xml:space="preserve">An Attention Panel SHALL surface items requiring admin action, grouped by severity: OVERDUE (past SLA), CRITICAL (breach imminent), ADVISORY (configuration drift, suggested optimisations from OB02). Each item carries a one-click resolution path to the relevant screen and an auto-dismiss rule when the underlying condition resolves.</w:t>
      </w:r>
    </w:p>
    <w:p>
      <w:pPr>
        <w:pStyle w:val="BodyText"/>
      </w:pPr>
      <w:r>
        <w:rPr>
          <w:bCs/>
          <w:b/>
        </w:rPr>
        <w:t xml:space="preserve">SCR-01-FR-007</w:t>
      </w:r>
      <w:r>
        <w:t xml:space="preserve"> </w:t>
      </w:r>
      <w:r>
        <w:t xml:space="preserve">The Attention Panel SHALL suppress items the user has explicitly snoozed or dismissed, with a visible 'show snoozed' toggle. Dismissal reasons are audit-logged.</w:t>
      </w:r>
    </w:p>
    <w:bookmarkEnd w:id="294"/>
    <w:bookmarkStart w:id="295" w:name="quick-links-personalisation"/>
    <w:p>
      <w:pPr>
        <w:pStyle w:val="Heading3"/>
      </w:pPr>
      <w:r>
        <w:t xml:space="preserve">Quick Links &amp; Personalisation</w:t>
      </w:r>
    </w:p>
    <w:p>
      <w:pPr>
        <w:pStyle w:val="FirstParagraph"/>
      </w:pPr>
      <w:r>
        <w:rPr>
          <w:bCs/>
          <w:b/>
        </w:rPr>
        <w:t xml:space="preserve">SCR-01-FR-008</w:t>
      </w:r>
      <w:r>
        <w:t xml:space="preserve"> </w:t>
      </w:r>
      <w:r>
        <w:t xml:space="preserve">A quick-action bar SHALL expose the five most-used admin actions for the current user, learned from F04-stored usage patterns. The default set for new tenants: Add Data Source, Invite User, View Audit Log, Configure Consent, View Billing.</w:t>
      </w:r>
    </w:p>
    <w:p>
      <w:pPr>
        <w:pStyle w:val="BodyText"/>
      </w:pPr>
      <w:r>
        <w:rPr>
          <w:bCs/>
          <w:b/>
        </w:rPr>
        <w:t xml:space="preserve">SCR-01-FR-009</w:t>
      </w:r>
      <w:r>
        <w:t xml:space="preserve"> </w:t>
      </w:r>
      <w:r>
        <w:t xml:space="preserve">The screen layout — which cards, which feed columns, which filters — SHALL be customisable by the Tenant Admin via the UX01 Dashboard Builder (Enterprise tier) or a preset template selector (all tiers).</w:t>
      </w:r>
    </w:p>
    <w:bookmarkEnd w:id="295"/>
    <w:bookmarkEnd w:id="296"/>
    <w:bookmarkStart w:id="297" w:name="acceptance-criteria-24"/>
    <w:p>
      <w:pPr>
        <w:pStyle w:val="Heading2"/>
      </w:pPr>
      <w:r>
        <w:t xml:space="preserve">Acceptance Criteria</w:t>
      </w:r>
    </w:p>
    <w:p>
      <w:pPr>
        <w:numPr>
          <w:ilvl w:val="0"/>
          <w:numId w:val="1002"/>
        </w:numPr>
      </w:pPr>
      <w:r>
        <w:t xml:space="preserve">A Tenant Admin logging in for the first time in a week can identify any outstanding issues within 10 seconds of landing on SCR-01, without consulting any other screen.</w:t>
      </w:r>
    </w:p>
    <w:p>
      <w:pPr>
        <w:numPr>
          <w:ilvl w:val="0"/>
          <w:numId w:val="1002"/>
        </w:numPr>
      </w:pPr>
      <w:r>
        <w:t xml:space="preserve">The Attention Panel produces zero false positives in a 30-day steady-state period — every item surfaced is actionable.</w:t>
      </w:r>
    </w:p>
    <w:p>
      <w:pPr>
        <w:numPr>
          <w:ilvl w:val="0"/>
          <w:numId w:val="1002"/>
        </w:numPr>
      </w:pPr>
      <w:r>
        <w:t xml:space="preserve">SCR-01 renders at p95 in under 1.5 seconds against a tenant with 500 users, 50 connected data sources, and 100,000 events/day.</w:t>
      </w:r>
    </w:p>
    <w:p>
      <w:pPr>
        <w:numPr>
          <w:ilvl w:val="0"/>
          <w:numId w:val="1002"/>
        </w:numPr>
      </w:pPr>
      <w:r>
        <w:t xml:space="preserve">Every health card updates within 60 seconds of an underlying score change; no full page refresh is required.</w:t>
      </w:r>
    </w:p>
    <w:bookmarkEnd w:id="297"/>
    <w:bookmarkEnd w:id="298"/>
    <w:bookmarkStart w:id="307" w:name="scr-02-users-teams-workspaces"/>
    <w:p>
      <w:pPr>
        <w:pStyle w:val="Heading1"/>
      </w:pPr>
      <w:r>
        <w:t xml:space="preserve">SCR-02 — Users, Teams &amp; Workspaces</w:t>
      </w:r>
    </w:p>
    <w:tbl>
      <w:tblPr>
        <w:tblStyle w:val="Table"/>
        <w:tblW w:type="pct" w:w="4912"/>
        <w:tblLook w:firstRow="0" w:lastRow="0" w:firstColumn="0" w:lastColumn="0" w:noHBand="0" w:noVBand="0" w:val="0000"/>
        <w:jc w:val="start"/>
      </w:tblPr>
      <w:tblGrid>
        <w:gridCol w:w="1528"/>
        <w:gridCol w:w="6252"/>
      </w:tblGrid>
      <w:tr>
        <w:tc>
          <w:tcPr/>
          <w:p>
            <w:pPr>
              <w:pStyle w:val="Compact"/>
              <w:jc w:val="left"/>
            </w:pPr>
            <w:r>
              <w:rPr>
                <w:bCs/>
                <w:b/>
              </w:rPr>
              <w:t xml:space="preserve">Module ID</w:t>
            </w:r>
          </w:p>
        </w:tc>
        <w:tc>
          <w:tcPr/>
          <w:p>
            <w:pPr>
              <w:pStyle w:val="Compact"/>
              <w:jc w:val="left"/>
            </w:pPr>
            <w:r>
              <w:t xml:space="preserve">SCR-02</w:t>
            </w:r>
          </w:p>
        </w:tc>
      </w:tr>
      <w:tr>
        <w:tc>
          <w:tcPr/>
          <w:p>
            <w:pPr>
              <w:pStyle w:val="Compact"/>
              <w:jc w:val="left"/>
            </w:pPr>
            <w:r>
              <w:rPr>
                <w:bCs/>
                <w:b/>
              </w:rPr>
              <w:t xml:space="preserve">Phase</w:t>
            </w:r>
          </w:p>
        </w:tc>
        <w:tc>
          <w:tcPr/>
          <w:p>
            <w:pPr>
              <w:pStyle w:val="Compact"/>
              <w:jc w:val="left"/>
            </w:pPr>
            <w:r>
              <w:t xml:space="preserve">1 (Core Admin Experience)</w:t>
            </w:r>
          </w:p>
        </w:tc>
      </w:tr>
      <w:tr>
        <w:tc>
          <w:tcPr/>
          <w:p>
            <w:pPr>
              <w:pStyle w:val="Compact"/>
              <w:jc w:val="left"/>
            </w:pPr>
            <w:r>
              <w:rPr>
                <w:bCs/>
                <w:b/>
              </w:rPr>
              <w:t xml:space="preserve">Complexity</w:t>
            </w:r>
          </w:p>
        </w:tc>
        <w:tc>
          <w:tcPr/>
          <w:p>
            <w:pPr>
              <w:pStyle w:val="Compact"/>
              <w:jc w:val="left"/>
            </w:pPr>
            <w:r>
              <w:t xml:space="preserve">Medium</w:t>
            </w:r>
          </w:p>
        </w:tc>
      </w:tr>
      <w:tr>
        <w:tc>
          <w:tcPr/>
          <w:p>
            <w:pPr>
              <w:pStyle w:val="Compact"/>
              <w:jc w:val="left"/>
            </w:pPr>
            <w:r>
              <w:rPr>
                <w:bCs/>
                <w:b/>
              </w:rPr>
              <w:t xml:space="preserve">Dependencies</w:t>
            </w:r>
          </w:p>
        </w:tc>
        <w:tc>
          <w:tcPr/>
          <w:p>
            <w:pPr>
              <w:pStyle w:val="Compact"/>
              <w:jc w:val="left"/>
            </w:pPr>
            <w:r>
              <w:t xml:space="preserve">F01 (Multi-Tenancy), F02 (Tenant Lifecycle), AC01 (RBAC), AC02 (Hierarchy), PR02 (DSAR)</w:t>
            </w:r>
          </w:p>
        </w:tc>
      </w:tr>
      <w:tr>
        <w:tc>
          <w:tcPr/>
          <w:p>
            <w:pPr>
              <w:pStyle w:val="Compact"/>
              <w:jc w:val="left"/>
            </w:pPr>
            <w:r>
              <w:rPr>
                <w:bCs/>
                <w:b/>
              </w:rPr>
              <w:t xml:space="preserve">Depended On By</w:t>
            </w:r>
          </w:p>
        </w:tc>
        <w:tc>
          <w:tcPr/>
          <w:p>
            <w:pPr>
              <w:pStyle w:val="Compact"/>
              <w:jc w:val="left"/>
            </w:pPr>
            <w:r>
              <w:t xml:space="preserve">Every RBAC-gated screen; all team-based routing in O02 and O04</w:t>
            </w:r>
          </w:p>
        </w:tc>
      </w:tr>
      <w:tr>
        <w:tc>
          <w:tcPr/>
          <w:p>
            <w:pPr>
              <w:pStyle w:val="Compact"/>
              <w:jc w:val="left"/>
            </w:pPr>
            <w:r>
              <w:rPr>
                <w:bCs/>
                <w:b/>
              </w:rPr>
              <w:t xml:space="preserve">Owner</w:t>
            </w:r>
          </w:p>
        </w:tc>
        <w:tc>
          <w:tcPr/>
          <w:p>
            <w:pPr>
              <w:pStyle w:val="Compact"/>
              <w:jc w:val="left"/>
            </w:pPr>
            <w:r>
              <w:t xml:space="preserve">Platform Engineering Lead</w:t>
            </w:r>
          </w:p>
        </w:tc>
      </w:tr>
    </w:tbl>
    <w:bookmarkStart w:id="299" w:name="purpose-34"/>
    <w:p>
      <w:pPr>
        <w:pStyle w:val="Heading2"/>
      </w:pPr>
      <w:r>
        <w:t xml:space="preserve">Purpose</w:t>
      </w:r>
    </w:p>
    <w:p>
      <w:pPr>
        <w:pStyle w:val="FirstParagraph"/>
      </w:pPr>
      <w:r>
        <w:t xml:space="preserve">SCR-02 is the single place where tenant admins manage users, assign roles, organise users into teams, and scope access via workspaces. Every access control decision in the platform flows from what SCR-02 captures. SCR-02 also handles SSO directory sync for Enterprise tenants.</w:t>
      </w:r>
    </w:p>
    <w:bookmarkEnd w:id="299"/>
    <w:bookmarkStart w:id="305" w:name="functional-requirements-10"/>
    <w:p>
      <w:pPr>
        <w:pStyle w:val="Heading2"/>
      </w:pPr>
      <w:r>
        <w:t xml:space="preserve">Functional Requirements</w:t>
      </w:r>
    </w:p>
    <w:bookmarkStart w:id="300" w:name="user-directory"/>
    <w:p>
      <w:pPr>
        <w:pStyle w:val="Heading3"/>
      </w:pPr>
      <w:r>
        <w:t xml:space="preserve">User Directory</w:t>
      </w:r>
    </w:p>
    <w:p>
      <w:pPr>
        <w:pStyle w:val="FirstParagraph"/>
      </w:pPr>
      <w:r>
        <w:rPr>
          <w:bCs/>
          <w:b/>
        </w:rPr>
        <w:t xml:space="preserve">SCR-02-FR-001</w:t>
      </w:r>
      <w:r>
        <w:t xml:space="preserve"> </w:t>
      </w:r>
      <w:r>
        <w:t xml:space="preserve">The User Directory SHALL list every user in the tenant with columns for name, email, status (Active / Invited / Disabled / Locked), assigned roles (from AC01), hierarchy scope (from AC02), last login, MFA enrollment status, and workspace memberships. Sortable, filterable, and exportable (RBAC-gated) as CSV.</w:t>
      </w:r>
    </w:p>
    <w:p>
      <w:pPr>
        <w:pStyle w:val="BodyText"/>
      </w:pPr>
      <w:r>
        <w:rPr>
          <w:bCs/>
          <w:b/>
        </w:rPr>
        <w:t xml:space="preserve">SCR-02-FR-002</w:t>
      </w:r>
      <w:r>
        <w:t xml:space="preserve"> </w:t>
      </w:r>
      <w:r>
        <w:t xml:space="preserve">Invite User workflow: admin enters email, selects one or more roles (AC01 platform-defined or tenant-custom), selects hierarchy scope (AC02 nodes), optionally assigns to teams and workspaces. System sends a branded email invite (using SCR-04 brand tokens) with a signup link valid for 7 days. Invitation events are audit-logged.</w:t>
      </w:r>
    </w:p>
    <w:p>
      <w:pPr>
        <w:pStyle w:val="BodyText"/>
      </w:pPr>
      <w:r>
        <w:rPr>
          <w:bCs/>
          <w:b/>
        </w:rPr>
        <w:t xml:space="preserve">SCR-02-FR-003</w:t>
      </w:r>
      <w:r>
        <w:t xml:space="preserve"> </w:t>
      </w:r>
      <w:r>
        <w:t xml:space="preserve">Bulk user import SHALL accept a CSV with columns: email, first_name, last_name, roles (pipe-separated), hierarchy_scope, teams, workspaces. Validator catches duplicate emails, invalid roles, and unreachable hierarchy nodes before commit.</w:t>
      </w:r>
    </w:p>
    <w:bookmarkEnd w:id="300"/>
    <w:bookmarkStart w:id="301" w:name="teams"/>
    <w:p>
      <w:pPr>
        <w:pStyle w:val="Heading3"/>
      </w:pPr>
      <w:r>
        <w:t xml:space="preserve">Teams</w:t>
      </w:r>
    </w:p>
    <w:p>
      <w:pPr>
        <w:pStyle w:val="FirstParagraph"/>
      </w:pPr>
      <w:r>
        <w:rPr>
          <w:bCs/>
          <w:b/>
        </w:rPr>
        <w:t xml:space="preserve">SCR-02-FR-004</w:t>
      </w:r>
      <w:r>
        <w:t xml:space="preserve"> </w:t>
      </w:r>
      <w:r>
        <w:t xml:space="preserve">Teams SHALL be logical groupings of users used for routing (alerts, approvals, assignments) and shared ownership (data sources, dashboards, decision pipelines). Each team has: name, description, members, default hierarchy scope, escalation chain. Teams are NOT a permissions layer — permissions flow through roles.</w:t>
      </w:r>
    </w:p>
    <w:p>
      <w:pPr>
        <w:pStyle w:val="BodyText"/>
      </w:pPr>
      <w:r>
        <w:rPr>
          <w:bCs/>
          <w:b/>
        </w:rPr>
        <w:t xml:space="preserve">SCR-02-FR-005</w:t>
      </w:r>
      <w:r>
        <w:t xml:space="preserve"> </w:t>
      </w:r>
      <w:r>
        <w:t xml:space="preserve">System-managed teams created at tenant provisioning: Admins, Data Stewards, Algorithm Managers, Analysts, End Users. Tenants MAY create additional teams without limit.</w:t>
      </w:r>
    </w:p>
    <w:bookmarkEnd w:id="301"/>
    <w:bookmarkStart w:id="302" w:name="workspaces"/>
    <w:p>
      <w:pPr>
        <w:pStyle w:val="Heading3"/>
      </w:pPr>
      <w:r>
        <w:t xml:space="preserve">Workspaces</w:t>
      </w:r>
    </w:p>
    <w:p>
      <w:pPr>
        <w:pStyle w:val="FirstParagraph"/>
      </w:pPr>
      <w:r>
        <w:rPr>
          <w:bCs/>
          <w:b/>
        </w:rPr>
        <w:t xml:space="preserve">SCR-02-FR-006</w:t>
      </w:r>
      <w:r>
        <w:t xml:space="preserve"> </w:t>
      </w:r>
      <w:r>
        <w:t xml:space="preserve">Workspaces SHALL provide sub-tenant isolation for organisations that need multiple logical boundaries within a single tenant (e.g., a retail group with multiple brands, a holding company with multiple subsidiaries). Each workspace scopes: data sources, dashboards, decision pipelines, and user membership. Cross-workspace visibility is off by default; Tenant Admin can grant specific roles cross-workspace rights.</w:t>
      </w:r>
    </w:p>
    <w:p>
      <w:pPr>
        <w:pStyle w:val="BodyText"/>
      </w:pPr>
      <w:r>
        <w:rPr>
          <w:bCs/>
          <w:b/>
        </w:rPr>
        <w:t xml:space="preserve">SCR-02-FR-007</w:t>
      </w:r>
      <w:r>
        <w:t xml:space="preserve"> </w:t>
      </w:r>
      <w:r>
        <w:t xml:space="preserve">Workspace quotas SHALL inherit from the tenant plan but be individually adjustable. Usage per workspace rolls up to tenant usage in OB03 and surfaces in SCR-21 under cost attribution.</w:t>
      </w:r>
    </w:p>
    <w:bookmarkEnd w:id="302"/>
    <w:bookmarkStart w:id="303" w:name="directory-sync-enterprise"/>
    <w:p>
      <w:pPr>
        <w:pStyle w:val="Heading3"/>
      </w:pPr>
      <w:r>
        <w:t xml:space="preserve">Directory Sync (Enterprise)</w:t>
      </w:r>
    </w:p>
    <w:p>
      <w:pPr>
        <w:pStyle w:val="FirstParagraph"/>
      </w:pPr>
      <w:r>
        <w:rPr>
          <w:bCs/>
          <w:b/>
        </w:rPr>
        <w:t xml:space="preserve">SCR-02-FR-008</w:t>
      </w:r>
      <w:r>
        <w:t xml:space="preserve"> </w:t>
      </w:r>
      <w:r>
        <w:t xml:space="preserve">Enterprise-tier tenants SHALL support SCIM 2.0 inbound provisioning from Okta, Azure AD, and Google Workspace. Group-to-role mapping is configured in SCR-02. Deprovisioning is immediate — users removed from the IdP are disabled in Cortex within 60 seconds.</w:t>
      </w:r>
    </w:p>
    <w:p>
      <w:pPr>
        <w:pStyle w:val="BodyText"/>
      </w:pPr>
      <w:r>
        <w:rPr>
          <w:bCs/>
          <w:b/>
        </w:rPr>
        <w:t xml:space="preserve">SCR-02-FR-009</w:t>
      </w:r>
      <w:r>
        <w:t xml:space="preserve"> </w:t>
      </w:r>
      <w:r>
        <w:t xml:space="preserve">SSO configuration (SAML 2.0 or OIDC) for Enterprise tenants SHALL be self-serve in SCR-02 with a guided wizard, IdP metadata upload, test-login flow, and fallback for emergency access.</w:t>
      </w:r>
    </w:p>
    <w:bookmarkEnd w:id="303"/>
    <w:bookmarkStart w:id="304" w:name="user-lifecycle-privacy"/>
    <w:p>
      <w:pPr>
        <w:pStyle w:val="Heading3"/>
      </w:pPr>
      <w:r>
        <w:t xml:space="preserve">User Lifecycle &amp; Privacy</w:t>
      </w:r>
    </w:p>
    <w:p>
      <w:pPr>
        <w:pStyle w:val="FirstParagraph"/>
      </w:pPr>
      <w:r>
        <w:rPr>
          <w:bCs/>
          <w:b/>
        </w:rPr>
        <w:t xml:space="preserve">SCR-02-FR-010</w:t>
      </w:r>
      <w:r>
        <w:t xml:space="preserve"> </w:t>
      </w:r>
      <w:r>
        <w:t xml:space="preserve">Disabling a user SHALL immediately revoke active sessions and API keys. Deleting a user SHALL route through PR02 DSAR erasure: remove identity signals, anonymise audit log entries (keep event, drop actor PII), respecting any legal-hold markers.</w:t>
      </w:r>
    </w:p>
    <w:bookmarkEnd w:id="304"/>
    <w:bookmarkEnd w:id="305"/>
    <w:bookmarkStart w:id="306" w:name="acceptance-criteria-25"/>
    <w:p>
      <w:pPr>
        <w:pStyle w:val="Heading2"/>
      </w:pPr>
      <w:r>
        <w:t xml:space="preserve">Acceptance Criteria</w:t>
      </w:r>
    </w:p>
    <w:p>
      <w:pPr>
        <w:numPr>
          <w:ilvl w:val="0"/>
          <w:numId w:val="1003"/>
        </w:numPr>
      </w:pPr>
      <w:r>
        <w:t xml:space="preserve">Inviting a user, assigning role(s), and scoping hierarchy takes under 60 seconds end-to-end.</w:t>
      </w:r>
    </w:p>
    <w:p>
      <w:pPr>
        <w:numPr>
          <w:ilvl w:val="0"/>
          <w:numId w:val="1003"/>
        </w:numPr>
      </w:pPr>
      <w:r>
        <w:t xml:space="preserve">A user removed from the tenant's Okta or Azure AD loses Cortex access within 60 seconds.</w:t>
      </w:r>
    </w:p>
    <w:p>
      <w:pPr>
        <w:numPr>
          <w:ilvl w:val="0"/>
          <w:numId w:val="1003"/>
        </w:numPr>
      </w:pPr>
      <w:r>
        <w:t xml:space="preserve">A tenant can create a workspace and populate it with 50 users via bulk CSV import in under 5 minutes.</w:t>
      </w:r>
    </w:p>
    <w:p>
      <w:pPr>
        <w:numPr>
          <w:ilvl w:val="0"/>
          <w:numId w:val="1003"/>
        </w:numPr>
      </w:pPr>
      <w:r>
        <w:t xml:space="preserve">Deleting a user triggers the PR02 DSAR erasure workflow automatically, with any active legal holds respected.</w:t>
      </w:r>
    </w:p>
    <w:bookmarkEnd w:id="306"/>
    <w:bookmarkEnd w:id="307"/>
    <w:bookmarkStart w:id="316" w:name="scr-04-tenant-configuration-theme"/>
    <w:p>
      <w:pPr>
        <w:pStyle w:val="Heading1"/>
      </w:pPr>
      <w:r>
        <w:t xml:space="preserve">SCR-04 — Tenant Configuration &amp; Theme</w:t>
      </w:r>
    </w:p>
    <w:tbl>
      <w:tblPr>
        <w:tblStyle w:val="Table"/>
        <w:tblW w:type="pct" w:w="4908"/>
        <w:tblLook w:firstRow="0" w:lastRow="0" w:firstColumn="0" w:lastColumn="0" w:noHBand="0" w:noVBand="0" w:val="0000"/>
        <w:jc w:val="start"/>
      </w:tblPr>
      <w:tblGrid>
        <w:gridCol w:w="1598"/>
        <w:gridCol w:w="6176"/>
      </w:tblGrid>
      <w:tr>
        <w:tc>
          <w:tcPr/>
          <w:p>
            <w:pPr>
              <w:pStyle w:val="Compact"/>
              <w:jc w:val="left"/>
            </w:pPr>
            <w:r>
              <w:rPr>
                <w:bCs/>
                <w:b/>
              </w:rPr>
              <w:t xml:space="preserve">Module ID</w:t>
            </w:r>
          </w:p>
        </w:tc>
        <w:tc>
          <w:tcPr/>
          <w:p>
            <w:pPr>
              <w:pStyle w:val="Compact"/>
              <w:jc w:val="left"/>
            </w:pPr>
            <w:r>
              <w:t xml:space="preserve">SCR-04</w:t>
            </w:r>
          </w:p>
        </w:tc>
      </w:tr>
      <w:tr>
        <w:tc>
          <w:tcPr/>
          <w:p>
            <w:pPr>
              <w:pStyle w:val="Compact"/>
              <w:jc w:val="left"/>
            </w:pPr>
            <w:r>
              <w:rPr>
                <w:bCs/>
                <w:b/>
              </w:rPr>
              <w:t xml:space="preserve">Phase</w:t>
            </w:r>
          </w:p>
        </w:tc>
        <w:tc>
          <w:tcPr/>
          <w:p>
            <w:pPr>
              <w:pStyle w:val="Compact"/>
              <w:jc w:val="left"/>
            </w:pPr>
            <w:r>
              <w:t xml:space="preserve">1 (Core Admin Experience)</w:t>
            </w:r>
          </w:p>
        </w:tc>
      </w:tr>
      <w:tr>
        <w:tc>
          <w:tcPr/>
          <w:p>
            <w:pPr>
              <w:pStyle w:val="Compact"/>
              <w:jc w:val="left"/>
            </w:pPr>
            <w:r>
              <w:rPr>
                <w:bCs/>
                <w:b/>
              </w:rPr>
              <w:t xml:space="preserve">Complexity</w:t>
            </w:r>
          </w:p>
        </w:tc>
        <w:tc>
          <w:tcPr/>
          <w:p>
            <w:pPr>
              <w:pStyle w:val="Compact"/>
              <w:jc w:val="left"/>
            </w:pPr>
            <w:r>
              <w:t xml:space="preserve">Medium</w:t>
            </w:r>
          </w:p>
        </w:tc>
      </w:tr>
      <w:tr>
        <w:tc>
          <w:tcPr/>
          <w:p>
            <w:pPr>
              <w:pStyle w:val="Compact"/>
              <w:jc w:val="left"/>
            </w:pPr>
            <w:r>
              <w:rPr>
                <w:bCs/>
                <w:b/>
              </w:rPr>
              <w:t xml:space="preserve">Dependencies</w:t>
            </w:r>
          </w:p>
        </w:tc>
        <w:tc>
          <w:tcPr/>
          <w:p>
            <w:pPr>
              <w:pStyle w:val="Compact"/>
              <w:jc w:val="left"/>
            </w:pPr>
            <w:r>
              <w:t xml:space="preserve">F04 (Configuration Plane), IC02 (Localization), UX01 (Screen Composition)</w:t>
            </w:r>
          </w:p>
        </w:tc>
      </w:tr>
      <w:tr>
        <w:tc>
          <w:tcPr/>
          <w:p>
            <w:pPr>
              <w:pStyle w:val="Compact"/>
              <w:jc w:val="left"/>
            </w:pPr>
            <w:r>
              <w:rPr>
                <w:bCs/>
                <w:b/>
              </w:rPr>
              <w:t xml:space="preserve">Depended On By</w:t>
            </w:r>
          </w:p>
        </w:tc>
        <w:tc>
          <w:tcPr/>
          <w:p>
            <w:pPr>
              <w:pStyle w:val="Compact"/>
              <w:jc w:val="left"/>
            </w:pPr>
            <w:r>
              <w:t xml:space="preserve">Every user-facing surface in Cortex; every outbound email, notification, or report</w:t>
            </w:r>
          </w:p>
        </w:tc>
      </w:tr>
      <w:tr>
        <w:tc>
          <w:tcPr/>
          <w:p>
            <w:pPr>
              <w:pStyle w:val="Compact"/>
              <w:jc w:val="left"/>
            </w:pPr>
            <w:r>
              <w:rPr>
                <w:bCs/>
                <w:b/>
              </w:rPr>
              <w:t xml:space="preserve">Owner</w:t>
            </w:r>
          </w:p>
        </w:tc>
        <w:tc>
          <w:tcPr/>
          <w:p>
            <w:pPr>
              <w:pStyle w:val="Compact"/>
              <w:jc w:val="left"/>
            </w:pPr>
            <w:r>
              <w:t xml:space="preserve">Platform Engineering Lead</w:t>
            </w:r>
          </w:p>
        </w:tc>
      </w:tr>
    </w:tbl>
    <w:bookmarkStart w:id="308" w:name="purpose-35"/>
    <w:p>
      <w:pPr>
        <w:pStyle w:val="Heading2"/>
      </w:pPr>
      <w:r>
        <w:t xml:space="preserve">Purpose</w:t>
      </w:r>
    </w:p>
    <w:p>
      <w:pPr>
        <w:pStyle w:val="FirstParagraph"/>
      </w:pPr>
      <w:r>
        <w:t xml:space="preserve">SCR-04 is where tenants configure every customer-visible aspect of Cortex: branding, theme, locale, timezone, currency, custom domain, email from-address, screen availability, and feature flags. SCR-04 is the primary human interface to F04 Configuration Plane for tenant-scoped settings.</w:t>
      </w:r>
    </w:p>
    <w:p>
      <w:pPr>
        <w:pStyle w:val="BodyText"/>
      </w:pPr>
      <w:r>
        <w:t xml:space="preserve">For white-label deployments (the Body Shop, Ithina, and Swiss Re under Ensuredit branding), SCR-04 is the single tool that transforms a deployment into a branded product.</w:t>
      </w:r>
    </w:p>
    <w:bookmarkEnd w:id="308"/>
    <w:bookmarkStart w:id="314" w:name="functional-requirements-11"/>
    <w:p>
      <w:pPr>
        <w:pStyle w:val="Heading2"/>
      </w:pPr>
      <w:r>
        <w:t xml:space="preserve">Functional Requirements</w:t>
      </w:r>
    </w:p>
    <w:bookmarkStart w:id="309" w:name="brand-theme-editor"/>
    <w:p>
      <w:pPr>
        <w:pStyle w:val="Heading3"/>
      </w:pPr>
      <w:r>
        <w:t xml:space="preserve">Brand &amp; Theme Editor</w:t>
      </w:r>
    </w:p>
    <w:p>
      <w:pPr>
        <w:pStyle w:val="FirstParagraph"/>
      </w:pPr>
      <w:r>
        <w:rPr>
          <w:bCs/>
          <w:b/>
        </w:rPr>
        <w:t xml:space="preserve">SCR-04-FR-001</w:t>
      </w:r>
      <w:r>
        <w:t xml:space="preserve"> </w:t>
      </w:r>
      <w:r>
        <w:t xml:space="preserve">The Brand editor SHALL accept: organisation name, logo (light mode and dark mode variants, minimum 500x500 SVG or PNG), favicon, primary colour, accent colour, neutral palette override, font family from a curated list (Inter, IBM Plex, Noto Sans, system default). A live preview pane renders a sample screen (Executive Dashboard by default) that updates as the admin edits.</w:t>
      </w:r>
    </w:p>
    <w:p>
      <w:pPr>
        <w:pStyle w:val="BodyText"/>
      </w:pPr>
      <w:r>
        <w:rPr>
          <w:bCs/>
          <w:b/>
        </w:rPr>
        <w:t xml:space="preserve">SCR-04-FR-002</w:t>
      </w:r>
      <w:r>
        <w:t xml:space="preserve"> </w:t>
      </w:r>
      <w:r>
        <w:t xml:space="preserve">Theme tokens SHALL be stored as CSS custom properties in F04 and emitted to every screen render. Widgets in the UX01 library consume only tokens — never hardcoded values. This ensures any tenant rebrand propagates instantly without code deployment.</w:t>
      </w:r>
    </w:p>
    <w:p>
      <w:pPr>
        <w:pStyle w:val="BodyText"/>
      </w:pPr>
      <w:r>
        <w:rPr>
          <w:bCs/>
          <w:b/>
        </w:rPr>
        <w:t xml:space="preserve">SCR-04-FR-003</w:t>
      </w:r>
      <w:r>
        <w:t xml:space="preserve"> </w:t>
      </w:r>
      <w:r>
        <w:t xml:space="preserve">Accessibility validator SHALL check that any proposed colour combination meets WCAG 2.1 AA contrast ratios on all surface types (body text, headers, badges, alerts). Non-compliant choices warn the admin and offer a closest-compliant alternative.</w:t>
      </w:r>
    </w:p>
    <w:bookmarkEnd w:id="309"/>
    <w:bookmarkStart w:id="310" w:name="locale-regional-settings"/>
    <w:p>
      <w:pPr>
        <w:pStyle w:val="Heading3"/>
      </w:pPr>
      <w:r>
        <w:t xml:space="preserve">Locale &amp; Regional Settings</w:t>
      </w:r>
    </w:p>
    <w:p>
      <w:pPr>
        <w:pStyle w:val="FirstParagraph"/>
      </w:pPr>
      <w:r>
        <w:rPr>
          <w:bCs/>
          <w:b/>
        </w:rPr>
        <w:t xml:space="preserve">SCR-04-FR-004</w:t>
      </w:r>
      <w:r>
        <w:t xml:space="preserve"> </w:t>
      </w:r>
      <w:r>
        <w:t xml:space="preserve">Locale editor SHALL accept: primary language (en-IN and en-US at launch; framework ready for hi-IN, ta-IN, and regional Indian languages), timezone (IANA identifier), currency (ISO 4217), number format (Indian lakh/crore vs Western thousands/millions), date format, first-day-of-week. These flow to IC02 for rendering across all screens and outbound communications.</w:t>
      </w:r>
    </w:p>
    <w:p>
      <w:pPr>
        <w:pStyle w:val="BodyText"/>
      </w:pPr>
      <w:r>
        <w:rPr>
          <w:bCs/>
          <w:b/>
        </w:rPr>
        <w:t xml:space="preserve">SCR-04-FR-005</w:t>
      </w:r>
      <w:r>
        <w:t xml:space="preserve"> </w:t>
      </w:r>
      <w:r>
        <w:t xml:space="preserve">Multi-locale support: Enterprise tenants MAY declare additional supported locales. End users then choose their personal locale in Profile settings, and every widget renders in that locale automatically.</w:t>
      </w:r>
    </w:p>
    <w:bookmarkEnd w:id="310"/>
    <w:bookmarkStart w:id="311" w:name="custom-domain-email"/>
    <w:p>
      <w:pPr>
        <w:pStyle w:val="Heading3"/>
      </w:pPr>
      <w:r>
        <w:t xml:space="preserve">Custom Domain &amp; Email</w:t>
      </w:r>
    </w:p>
    <w:p>
      <w:pPr>
        <w:pStyle w:val="FirstParagraph"/>
      </w:pPr>
      <w:r>
        <w:rPr>
          <w:bCs/>
          <w:b/>
        </w:rPr>
        <w:t xml:space="preserve">SCR-04-FR-006</w:t>
      </w:r>
      <w:r>
        <w:t xml:space="preserve"> </w:t>
      </w:r>
      <w:r>
        <w:t xml:space="preserve">Enterprise tenants SHALL be able to configure a custom domain (e.g., insights.ithina.com) mapped to Cortex via CNAME, with automatic TLS provisioning via Google-managed certificates. Setup wizard validates DNS and confirms provisioning within 10 minutes.</w:t>
      </w:r>
    </w:p>
    <w:p>
      <w:pPr>
        <w:pStyle w:val="BodyText"/>
      </w:pPr>
      <w:r>
        <w:rPr>
          <w:bCs/>
          <w:b/>
        </w:rPr>
        <w:t xml:space="preserve">SCR-04-FR-007</w:t>
      </w:r>
      <w:r>
        <w:t xml:space="preserve"> </w:t>
      </w:r>
      <w:r>
        <w:t xml:space="preserve">Email from-address SHALL be configurable per tenant with an SPF/DKIM verification wizard. All outbound platform emails (invites, alerts, reports, DSAR confirmations) use this address. Unverified domains fall back to a platform-neutral default with a visible sender alias.</w:t>
      </w:r>
    </w:p>
    <w:bookmarkEnd w:id="311"/>
    <w:bookmarkStart w:id="312" w:name="screen-feature-configuration"/>
    <w:p>
      <w:pPr>
        <w:pStyle w:val="Heading3"/>
      </w:pPr>
      <w:r>
        <w:t xml:space="preserve">Screen &amp; Feature Configuration</w:t>
      </w:r>
    </w:p>
    <w:p>
      <w:pPr>
        <w:pStyle w:val="FirstParagraph"/>
      </w:pPr>
      <w:r>
        <w:rPr>
          <w:bCs/>
          <w:b/>
        </w:rPr>
        <w:t xml:space="preserve">SCR-04-FR-008</w:t>
      </w:r>
      <w:r>
        <w:t xml:space="preserve"> </w:t>
      </w:r>
      <w:r>
        <w:t xml:space="preserve">Screen availability toggle SHALL expose, per the tenant's Screen Registry resolution (UX01-FR-002), every optional screen. Tenant Admin can hide screens technically available to their tier (e.g., hide Loyalty Analytics if not relevant). Hidden screens remain unreachable including by direct URL — navigation AND route guards respect the setting.</w:t>
      </w:r>
    </w:p>
    <w:p>
      <w:pPr>
        <w:pStyle w:val="BodyText"/>
      </w:pPr>
      <w:r>
        <w:rPr>
          <w:bCs/>
          <w:b/>
        </w:rPr>
        <w:t xml:space="preserve">SCR-04-FR-009</w:t>
      </w:r>
      <w:r>
        <w:t xml:space="preserve"> </w:t>
      </w:r>
      <w:r>
        <w:t xml:space="preserve">Feature flags SHALL expose tenant-scoped toggles for beta features the tenant has opted into (via Sevyn8 CSM or via self-serve for eligible features). Changes are audit-logged and instantly reversible.</w:t>
      </w:r>
    </w:p>
    <w:bookmarkEnd w:id="312"/>
    <w:bookmarkStart w:id="313" w:name="change-management"/>
    <w:p>
      <w:pPr>
        <w:pStyle w:val="Heading3"/>
      </w:pPr>
      <w:r>
        <w:t xml:space="preserve">Change Management</w:t>
      </w:r>
    </w:p>
    <w:p>
      <w:pPr>
        <w:pStyle w:val="FirstParagraph"/>
      </w:pPr>
      <w:r>
        <w:rPr>
          <w:bCs/>
          <w:b/>
        </w:rPr>
        <w:t xml:space="preserve">SCR-04-FR-010</w:t>
      </w:r>
      <w:r>
        <w:t xml:space="preserve"> </w:t>
      </w:r>
      <w:r>
        <w:t xml:space="preserve">Every SCR-04 change SHALL pass through F04's draft → validate → promote → rollback lifecycle. Drafts are visible only to the authoring admin; promotion to live requires confirmation; rollback to any prior version is one click. Configuration change events are published to the audit log and notification stream for OB01 and SCR-20.</w:t>
      </w:r>
    </w:p>
    <w:bookmarkEnd w:id="313"/>
    <w:bookmarkEnd w:id="314"/>
    <w:bookmarkStart w:id="315" w:name="acceptance-criteria-26"/>
    <w:p>
      <w:pPr>
        <w:pStyle w:val="Heading2"/>
      </w:pPr>
      <w:r>
        <w:t xml:space="preserve">Acceptance Criteria</w:t>
      </w:r>
    </w:p>
    <w:p>
      <w:pPr>
        <w:numPr>
          <w:ilvl w:val="0"/>
          <w:numId w:val="1004"/>
        </w:numPr>
      </w:pPr>
      <w:r>
        <w:t xml:space="preserve">A tenant admin can rebrand the entire console (logo, colours, fonts, locale, email sender) in under 10 minutes, with a live preview at every step.</w:t>
      </w:r>
    </w:p>
    <w:p>
      <w:pPr>
        <w:numPr>
          <w:ilvl w:val="0"/>
          <w:numId w:val="1004"/>
        </w:numPr>
      </w:pPr>
      <w:r>
        <w:t xml:space="preserve">A configuration change can be drafted, previewed, validated, promoted, and rolled back entirely in SCR-04 without engineering involvement.</w:t>
      </w:r>
    </w:p>
    <w:p>
      <w:pPr>
        <w:numPr>
          <w:ilvl w:val="0"/>
          <w:numId w:val="1004"/>
        </w:numPr>
      </w:pPr>
      <w:r>
        <w:t xml:space="preserve">Enterprise custom domain setup completes end-to-end in under 15 minutes including DNS verification and TLS provisioning.</w:t>
      </w:r>
    </w:p>
    <w:p>
      <w:pPr>
        <w:numPr>
          <w:ilvl w:val="0"/>
          <w:numId w:val="1004"/>
        </w:numPr>
      </w:pPr>
      <w:r>
        <w:t xml:space="preserve">Any colour combination failing WCAG 2.1 AA is blocked at save time with a specific failure message and a suggested compliant alternative.</w:t>
      </w:r>
    </w:p>
    <w:bookmarkEnd w:id="315"/>
    <w:bookmarkEnd w:id="316"/>
    <w:bookmarkStart w:id="324" w:name="scr-05-hierarchy-manager"/>
    <w:p>
      <w:pPr>
        <w:pStyle w:val="Heading1"/>
      </w:pPr>
      <w:r>
        <w:t xml:space="preserve">SCR-05 — Hierarchy Manager</w:t>
      </w:r>
    </w:p>
    <w:tbl>
      <w:tblPr>
        <w:tblStyle w:val="Table"/>
        <w:tblW w:type="pct" w:w="4928"/>
        <w:tblLook w:firstRow="0" w:lastRow="0" w:firstColumn="0" w:lastColumn="0" w:noHBand="0" w:noVBand="0" w:val="0000"/>
        <w:jc w:val="start"/>
      </w:tblPr>
      <w:tblGrid>
        <w:gridCol w:w="1262"/>
        <w:gridCol w:w="6542"/>
      </w:tblGrid>
      <w:tr>
        <w:tc>
          <w:tcPr/>
          <w:p>
            <w:pPr>
              <w:pStyle w:val="Compact"/>
              <w:jc w:val="left"/>
            </w:pPr>
            <w:r>
              <w:rPr>
                <w:bCs/>
                <w:b/>
              </w:rPr>
              <w:t xml:space="preserve">Module ID</w:t>
            </w:r>
          </w:p>
        </w:tc>
        <w:tc>
          <w:tcPr/>
          <w:p>
            <w:pPr>
              <w:pStyle w:val="Compact"/>
              <w:jc w:val="left"/>
            </w:pPr>
            <w:r>
              <w:t xml:space="preserve">SCR-05</w:t>
            </w:r>
          </w:p>
        </w:tc>
      </w:tr>
      <w:tr>
        <w:tc>
          <w:tcPr/>
          <w:p>
            <w:pPr>
              <w:pStyle w:val="Compact"/>
              <w:jc w:val="left"/>
            </w:pPr>
            <w:r>
              <w:rPr>
                <w:bCs/>
                <w:b/>
              </w:rPr>
              <w:t xml:space="preserve">Phase</w:t>
            </w:r>
          </w:p>
        </w:tc>
        <w:tc>
          <w:tcPr/>
          <w:p>
            <w:pPr>
              <w:pStyle w:val="Compact"/>
              <w:jc w:val="left"/>
            </w:pPr>
            <w:r>
              <w:t xml:space="preserve">1 (Core Admin Experience)</w:t>
            </w:r>
          </w:p>
        </w:tc>
      </w:tr>
      <w:tr>
        <w:tc>
          <w:tcPr/>
          <w:p>
            <w:pPr>
              <w:pStyle w:val="Compact"/>
              <w:jc w:val="left"/>
            </w:pPr>
            <w:r>
              <w:rPr>
                <w:bCs/>
                <w:b/>
              </w:rPr>
              <w:t xml:space="preserve">Complexity</w:t>
            </w:r>
          </w:p>
        </w:tc>
        <w:tc>
          <w:tcPr/>
          <w:p>
            <w:pPr>
              <w:pStyle w:val="Compact"/>
              <w:jc w:val="left"/>
            </w:pPr>
            <w:r>
              <w:t xml:space="preserve">Medium</w:t>
            </w:r>
          </w:p>
        </w:tc>
      </w:tr>
      <w:tr>
        <w:tc>
          <w:tcPr/>
          <w:p>
            <w:pPr>
              <w:pStyle w:val="Compact"/>
              <w:jc w:val="left"/>
            </w:pPr>
            <w:r>
              <w:rPr>
                <w:bCs/>
                <w:b/>
              </w:rPr>
              <w:t xml:space="preserve">Dependencies</w:t>
            </w:r>
          </w:p>
        </w:tc>
        <w:tc>
          <w:tcPr/>
          <w:p>
            <w:pPr>
              <w:pStyle w:val="Compact"/>
              <w:jc w:val="left"/>
            </w:pPr>
            <w:r>
              <w:t xml:space="preserve">AC02 (Hierarchy Engine), F03 (Temporal Data Engine), F04, AC01 (RBAC)</w:t>
            </w:r>
          </w:p>
        </w:tc>
      </w:tr>
      <w:tr>
        <w:tc>
          <w:tcPr/>
          <w:p>
            <w:pPr>
              <w:pStyle w:val="Compact"/>
              <w:jc w:val="left"/>
            </w:pPr>
            <w:r>
              <w:rPr>
                <w:bCs/>
                <w:b/>
              </w:rPr>
              <w:t xml:space="preserve">Depended On By</w:t>
            </w:r>
          </w:p>
        </w:tc>
        <w:tc>
          <w:tcPr/>
          <w:p>
            <w:pPr>
              <w:pStyle w:val="Compact"/>
              <w:jc w:val="left"/>
            </w:pPr>
            <w:r>
              <w:t xml:space="preserve">SCR-02 (user scoping), CX-01 through CX-10 (hierarchy-scoped analytics), O02 (alert routing), O04 (action routing)</w:t>
            </w:r>
          </w:p>
        </w:tc>
      </w:tr>
      <w:tr>
        <w:tc>
          <w:tcPr/>
          <w:p>
            <w:pPr>
              <w:pStyle w:val="Compact"/>
              <w:jc w:val="left"/>
            </w:pPr>
            <w:r>
              <w:rPr>
                <w:bCs/>
                <w:b/>
              </w:rPr>
              <w:t xml:space="preserve">Owner</w:t>
            </w:r>
          </w:p>
        </w:tc>
        <w:tc>
          <w:tcPr/>
          <w:p>
            <w:pPr>
              <w:pStyle w:val="Compact"/>
              <w:jc w:val="left"/>
            </w:pPr>
            <w:r>
              <w:t xml:space="preserve">Platform Engineering Lead</w:t>
            </w:r>
          </w:p>
        </w:tc>
      </w:tr>
    </w:tbl>
    <w:bookmarkStart w:id="317" w:name="purpose-36"/>
    <w:p>
      <w:pPr>
        <w:pStyle w:val="Heading2"/>
      </w:pPr>
      <w:r>
        <w:t xml:space="preserve">Purpose</w:t>
      </w:r>
    </w:p>
    <w:p>
      <w:pPr>
        <w:pStyle w:val="FirstParagraph"/>
      </w:pPr>
      <w:r>
        <w:t xml:space="preserve">SCR-05 is the human interface to AC02 for managing the organisational hierarchies that scope access, aggregate metrics, and route alerts and actions. Retail tenants default to the 5-level hierarchy: Chain → Region → City → Store → Zone/Department. Non-retail tenants define their own structures via IC01 vertical configuration.</w:t>
      </w:r>
    </w:p>
    <w:p>
      <w:pPr>
        <w:pStyle w:val="BodyText"/>
      </w:pPr>
      <w:r>
        <w:t xml:space="preserve">SCR-05 is critical because hierarchy changes are continuous in real organisations — stores open, close, move between regions, reorganise. The platform must handle change without breaking historical reports.</w:t>
      </w:r>
    </w:p>
    <w:bookmarkEnd w:id="317"/>
    <w:bookmarkStart w:id="322" w:name="functional-requirements-12"/>
    <w:p>
      <w:pPr>
        <w:pStyle w:val="Heading2"/>
      </w:pPr>
      <w:r>
        <w:t xml:space="preserve">Functional Requirements</w:t>
      </w:r>
    </w:p>
    <w:bookmarkStart w:id="318" w:name="hierarchy-visualisation-editing"/>
    <w:p>
      <w:pPr>
        <w:pStyle w:val="Heading3"/>
      </w:pPr>
      <w:r>
        <w:t xml:space="preserve">Hierarchy Visualisation &amp; Editing</w:t>
      </w:r>
    </w:p>
    <w:p>
      <w:pPr>
        <w:pStyle w:val="FirstParagraph"/>
      </w:pPr>
      <w:r>
        <w:rPr>
          <w:bCs/>
          <w:b/>
        </w:rPr>
        <w:t xml:space="preserve">SCR-05-FR-001</w:t>
      </w:r>
      <w:r>
        <w:t xml:space="preserve"> </w:t>
      </w:r>
      <w:r>
        <w:t xml:space="preserve">The hierarchy SHALL render as an interactive tree with expand/collapse, drag-to-reparent, inline rename, and right-click context actions (add child, move, archive, merge). Each node displays: name, code, type (level label), entity count (e.g., '347 stores'), status (Active / Archived / Planned), owner.</w:t>
      </w:r>
    </w:p>
    <w:p>
      <w:pPr>
        <w:pStyle w:val="BodyText"/>
      </w:pPr>
      <w:r>
        <w:rPr>
          <w:bCs/>
          <w:b/>
        </w:rPr>
        <w:t xml:space="preserve">SCR-05-FR-002</w:t>
      </w:r>
      <w:r>
        <w:t xml:space="preserve"> </w:t>
      </w:r>
      <w:r>
        <w:t xml:space="preserve">Bulk import SHALL accept a CSV with columns: node_code, parent_code, node_type, name, metadata_json. Validator catches cycles, orphans, type mismatches, and missing parent references before commit.</w:t>
      </w:r>
    </w:p>
    <w:p>
      <w:pPr>
        <w:pStyle w:val="BodyText"/>
      </w:pPr>
      <w:r>
        <w:rPr>
          <w:bCs/>
          <w:b/>
        </w:rPr>
        <w:t xml:space="preserve">SCR-05-FR-003</w:t>
      </w:r>
      <w:r>
        <w:t xml:space="preserve"> </w:t>
      </w:r>
      <w:r>
        <w:t xml:space="preserve">Search SHALL support name, code, and free-text on node metadata. Results show the node with a breadcrumb trail to root.</w:t>
      </w:r>
    </w:p>
    <w:bookmarkEnd w:id="318"/>
    <w:bookmarkStart w:id="319" w:name="hierarchy-versioning"/>
    <w:p>
      <w:pPr>
        <w:pStyle w:val="Heading3"/>
      </w:pPr>
      <w:r>
        <w:t xml:space="preserve">Hierarchy Versioning</w:t>
      </w:r>
    </w:p>
    <w:p>
      <w:pPr>
        <w:pStyle w:val="FirstParagraph"/>
      </w:pPr>
      <w:r>
        <w:rPr>
          <w:bCs/>
          <w:b/>
        </w:rPr>
        <w:t xml:space="preserve">SCR-05-FR-004</w:t>
      </w:r>
      <w:r>
        <w:t xml:space="preserve"> </w:t>
      </w:r>
      <w:r>
        <w:t xml:space="preserve">Hierarchy SHALL be version-controlled using F03 bi-temporal semantics. Every change produces a new version with valid-from and valid-to dates. Historical reports (e.g., 'Q3 revenue by region as organised in Q3') resolve against the version valid at the report's reference date, not the current version.</w:t>
      </w:r>
    </w:p>
    <w:p>
      <w:pPr>
        <w:pStyle w:val="BodyText"/>
      </w:pPr>
      <w:r>
        <w:rPr>
          <w:bCs/>
          <w:b/>
        </w:rPr>
        <w:t xml:space="preserve">SCR-05-FR-005</w:t>
      </w:r>
      <w:r>
        <w:t xml:space="preserve"> </w:t>
      </w:r>
      <w:r>
        <w:t xml:space="preserve">Reorganisations SHALL be schedulable: admin authors a reorg draft (stores moving between regions), sets effective date, validates (no orphaned entities, all nodes reachable), and commits. Draft reorgs do not affect live reports until the effective date is reached. Multiple concurrent drafts are supported with conflict detection.</w:t>
      </w:r>
    </w:p>
    <w:p>
      <w:pPr>
        <w:pStyle w:val="BodyText"/>
      </w:pPr>
      <w:r>
        <w:rPr>
          <w:bCs/>
          <w:b/>
        </w:rPr>
        <w:t xml:space="preserve">SCR-05-FR-006</w:t>
      </w:r>
      <w:r>
        <w:t xml:space="preserve"> </w:t>
      </w:r>
      <w:r>
        <w:t xml:space="preserve">Version diff view SHALL render two hierarchy versions side-by-side with colour-coded changes (added / removed / reparented / renamed). Exportable as CSV for change approval workflows outside the platform.</w:t>
      </w:r>
    </w:p>
    <w:bookmarkEnd w:id="319"/>
    <w:bookmarkStart w:id="320" w:name="multi-hierarchy-support"/>
    <w:p>
      <w:pPr>
        <w:pStyle w:val="Heading3"/>
      </w:pPr>
      <w:r>
        <w:t xml:space="preserve">Multi-Hierarchy Support</w:t>
      </w:r>
    </w:p>
    <w:p>
      <w:pPr>
        <w:pStyle w:val="FirstParagraph"/>
      </w:pPr>
      <w:r>
        <w:rPr>
          <w:bCs/>
          <w:b/>
        </w:rPr>
        <w:t xml:space="preserve">SCR-05-FR-007</w:t>
      </w:r>
      <w:r>
        <w:t xml:space="preserve"> </w:t>
      </w:r>
      <w:r>
        <w:t xml:space="preserve">A tenant MAY maintain multiple hierarchies concurrently (e.g., Operations hierarchy vs Reporting hierarchy vs Logistics hierarchy). Each is independently versioned. Users, scopes, reports, and alert routes explicitly declare which hierarchy they operate against.</w:t>
      </w:r>
    </w:p>
    <w:p>
      <w:pPr>
        <w:pStyle w:val="BodyText"/>
      </w:pPr>
      <w:r>
        <w:rPr>
          <w:bCs/>
          <w:b/>
        </w:rPr>
        <w:t xml:space="preserve">SCR-05-FR-008</w:t>
      </w:r>
      <w:r>
        <w:t xml:space="preserve"> </w:t>
      </w:r>
      <w:r>
        <w:t xml:space="preserve">Cross-hierarchy mappings SHALL be supported: a single physical store might be a leaf in both Operations and Logistics hierarchies under different parents. SCR-05 visualises these overlays without duplicating entities.</w:t>
      </w:r>
    </w:p>
    <w:bookmarkEnd w:id="320"/>
    <w:bookmarkStart w:id="321" w:name="node-metadata-attributes"/>
    <w:p>
      <w:pPr>
        <w:pStyle w:val="Heading3"/>
      </w:pPr>
      <w:r>
        <w:t xml:space="preserve">Node Metadata &amp; Attributes</w:t>
      </w:r>
    </w:p>
    <w:p>
      <w:pPr>
        <w:pStyle w:val="FirstParagraph"/>
      </w:pPr>
      <w:r>
        <w:rPr>
          <w:bCs/>
          <w:b/>
        </w:rPr>
        <w:t xml:space="preserve">SCR-05-FR-009</w:t>
      </w:r>
      <w:r>
        <w:t xml:space="preserve"> </w:t>
      </w:r>
      <w:r>
        <w:t xml:space="preserve">Each node MAY carry extensible metadata: geo coordinates, operating hours, manager assignment, channel type, size/capacity, store format. Schema for metadata per node type is defined in IC01 vertical config.</w:t>
      </w:r>
    </w:p>
    <w:bookmarkEnd w:id="321"/>
    <w:bookmarkEnd w:id="322"/>
    <w:bookmarkStart w:id="323" w:name="acceptance-criteria-27"/>
    <w:p>
      <w:pPr>
        <w:pStyle w:val="Heading2"/>
      </w:pPr>
      <w:r>
        <w:t xml:space="preserve">Acceptance Criteria</w:t>
      </w:r>
    </w:p>
    <w:p>
      <w:pPr>
        <w:numPr>
          <w:ilvl w:val="0"/>
          <w:numId w:val="1005"/>
        </w:numPr>
      </w:pPr>
      <w:r>
        <w:t xml:space="preserve">A retail tenant with 500 stores across 40 cities and 8 regions can be modelled in under an hour via bulk import.</w:t>
      </w:r>
    </w:p>
    <w:p>
      <w:pPr>
        <w:numPr>
          <w:ilvl w:val="0"/>
          <w:numId w:val="1005"/>
        </w:numPr>
      </w:pPr>
      <w:r>
        <w:t xml:space="preserve">A mid-quarter reorganisation of 30 stores moving between regions can be drafted, validated, scheduled, and committed without affecting live reports until the effective date.</w:t>
      </w:r>
    </w:p>
    <w:p>
      <w:pPr>
        <w:numPr>
          <w:ilvl w:val="0"/>
          <w:numId w:val="1005"/>
        </w:numPr>
      </w:pPr>
      <w:r>
        <w:t xml:space="preserve">Historical reports correctly resolve against the hierarchy version valid at the reporting date — a Q2 2025 revenue-by-region query returns Q2 2025's regional structure even if stores have since been reassigned.</w:t>
      </w:r>
    </w:p>
    <w:p>
      <w:pPr>
        <w:numPr>
          <w:ilvl w:val="0"/>
          <w:numId w:val="1005"/>
        </w:numPr>
      </w:pPr>
      <w:r>
        <w:t xml:space="preserve">Moving 10 stores to a new region completes in under 30 seconds including propagation to all dependent scopes and alert routes.</w:t>
      </w:r>
    </w:p>
    <w:bookmarkEnd w:id="323"/>
    <w:bookmarkEnd w:id="324"/>
    <w:bookmarkStart w:id="333" w:name="scr-07-canonical-schema-browser"/>
    <w:p>
      <w:pPr>
        <w:pStyle w:val="Heading1"/>
      </w:pPr>
      <w:r>
        <w:t xml:space="preserve">SCR-07 — Canonical Schema Browser</w:t>
      </w:r>
    </w:p>
    <w:tbl>
      <w:tblPr>
        <w:tblStyle w:val="Table"/>
        <w:tblW w:type="pct" w:w="4929"/>
        <w:tblLook w:firstRow="0" w:lastRow="0" w:firstColumn="0" w:lastColumn="0" w:noHBand="0" w:noVBand="0" w:val="0000"/>
        <w:jc w:val="start"/>
      </w:tblPr>
      <w:tblGrid>
        <w:gridCol w:w="1235"/>
        <w:gridCol w:w="6571"/>
      </w:tblGrid>
      <w:tr>
        <w:tc>
          <w:tcPr/>
          <w:p>
            <w:pPr>
              <w:pStyle w:val="Compact"/>
              <w:jc w:val="left"/>
            </w:pPr>
            <w:r>
              <w:rPr>
                <w:bCs/>
                <w:b/>
              </w:rPr>
              <w:t xml:space="preserve">Module ID</w:t>
            </w:r>
          </w:p>
        </w:tc>
        <w:tc>
          <w:tcPr/>
          <w:p>
            <w:pPr>
              <w:pStyle w:val="Compact"/>
              <w:jc w:val="left"/>
            </w:pPr>
            <w:r>
              <w:t xml:space="preserve">SCR-07</w:t>
            </w:r>
          </w:p>
        </w:tc>
      </w:tr>
      <w:tr>
        <w:tc>
          <w:tcPr/>
          <w:p>
            <w:pPr>
              <w:pStyle w:val="Compact"/>
              <w:jc w:val="left"/>
            </w:pPr>
            <w:r>
              <w:rPr>
                <w:bCs/>
                <w:b/>
              </w:rPr>
              <w:t xml:space="preserve">Phase</w:t>
            </w:r>
          </w:p>
        </w:tc>
        <w:tc>
          <w:tcPr/>
          <w:p>
            <w:pPr>
              <w:pStyle w:val="Compact"/>
              <w:jc w:val="left"/>
            </w:pPr>
            <w:r>
              <w:t xml:space="preserve">1 (Core Admin Experience)</w:t>
            </w:r>
          </w:p>
        </w:tc>
      </w:tr>
      <w:tr>
        <w:tc>
          <w:tcPr/>
          <w:p>
            <w:pPr>
              <w:pStyle w:val="Compact"/>
              <w:jc w:val="left"/>
            </w:pPr>
            <w:r>
              <w:rPr>
                <w:bCs/>
                <w:b/>
              </w:rPr>
              <w:t xml:space="preserve">Complexity</w:t>
            </w:r>
          </w:p>
        </w:tc>
        <w:tc>
          <w:tcPr/>
          <w:p>
            <w:pPr>
              <w:pStyle w:val="Compact"/>
              <w:jc w:val="left"/>
            </w:pPr>
            <w:r>
              <w:t xml:space="preserve">Medium</w:t>
            </w:r>
          </w:p>
        </w:tc>
      </w:tr>
      <w:tr>
        <w:tc>
          <w:tcPr/>
          <w:p>
            <w:pPr>
              <w:pStyle w:val="Compact"/>
              <w:jc w:val="left"/>
            </w:pPr>
            <w:r>
              <w:rPr>
                <w:bCs/>
                <w:b/>
              </w:rPr>
              <w:t xml:space="preserve">Dependencies</w:t>
            </w:r>
          </w:p>
        </w:tc>
        <w:tc>
          <w:tcPr/>
          <w:p>
            <w:pPr>
              <w:pStyle w:val="Compact"/>
              <w:jc w:val="left"/>
            </w:pPr>
            <w:r>
              <w:t xml:space="preserve">D01 (Canonical Data Model), D03 (Data Contracts), F05 (Schema Evolution), D05 (Lineage), IC01 (Industry Ontology)</w:t>
            </w:r>
          </w:p>
        </w:tc>
      </w:tr>
      <w:tr>
        <w:tc>
          <w:tcPr/>
          <w:p>
            <w:pPr>
              <w:pStyle w:val="Compact"/>
              <w:jc w:val="left"/>
            </w:pPr>
            <w:r>
              <w:rPr>
                <w:bCs/>
                <w:b/>
              </w:rPr>
              <w:t xml:space="preserve">Depended On By</w:t>
            </w:r>
          </w:p>
        </w:tc>
        <w:tc>
          <w:tcPr/>
          <w:p>
            <w:pPr>
              <w:pStyle w:val="Compact"/>
              <w:jc w:val="left"/>
            </w:pPr>
            <w:r>
              <w:t xml:space="preserve">SCR-09 (Mapping Studio), SCR-10 (Data Quality), SCR-14 (Feature Store), SCR-12 (Decision Pipeline Builder), CX-05 (Ask Cortex)</w:t>
            </w:r>
          </w:p>
        </w:tc>
      </w:tr>
      <w:tr>
        <w:tc>
          <w:tcPr/>
          <w:p>
            <w:pPr>
              <w:pStyle w:val="Compact"/>
              <w:jc w:val="left"/>
            </w:pPr>
            <w:r>
              <w:rPr>
                <w:bCs/>
                <w:b/>
              </w:rPr>
              <w:t xml:space="preserve">Owner</w:t>
            </w:r>
          </w:p>
        </w:tc>
        <w:tc>
          <w:tcPr/>
          <w:p>
            <w:pPr>
              <w:pStyle w:val="Compact"/>
              <w:jc w:val="left"/>
            </w:pPr>
            <w:r>
              <w:t xml:space="preserve">Data Platform Lead</w:t>
            </w:r>
          </w:p>
        </w:tc>
      </w:tr>
    </w:tbl>
    <w:bookmarkStart w:id="325" w:name="purpose-37"/>
    <w:p>
      <w:pPr>
        <w:pStyle w:val="Heading2"/>
      </w:pPr>
      <w:r>
        <w:t xml:space="preserve">Purpose</w:t>
      </w:r>
    </w:p>
    <w:p>
      <w:pPr>
        <w:pStyle w:val="FirstParagraph"/>
      </w:pPr>
      <w:r>
        <w:t xml:space="preserve">SCR-07 is the human-readable interface to D01. It is how data stewards, engineers, and analysts understand what entities exist, what attributes they carry, what the semantics are, and how entities relate. SCR-07 is read-only for Standard tenants; Enterprise tenants with tenant-extension rights can propose additions via a controlled workflow.</w:t>
      </w:r>
    </w:p>
    <w:p>
      <w:pPr>
        <w:pStyle w:val="BodyText"/>
      </w:pPr>
      <w:r>
        <w:t xml:space="preserve">SCR-07 is also the foundation for CX-05 Ask Cortex: the LLM prompt context is built from SCR-07's structured ontology, ensuring natural-language queries resolve to canonical schema without hallucination.</w:t>
      </w:r>
    </w:p>
    <w:bookmarkEnd w:id="325"/>
    <w:bookmarkStart w:id="331" w:name="functional-requirements-13"/>
    <w:p>
      <w:pPr>
        <w:pStyle w:val="Heading2"/>
      </w:pPr>
      <w:r>
        <w:t xml:space="preserve">Functional Requirements</w:t>
      </w:r>
    </w:p>
    <w:bookmarkStart w:id="326" w:name="ontology-browser"/>
    <w:p>
      <w:pPr>
        <w:pStyle w:val="Heading3"/>
      </w:pPr>
      <w:r>
        <w:t xml:space="preserve">Ontology Browser</w:t>
      </w:r>
    </w:p>
    <w:p>
      <w:pPr>
        <w:pStyle w:val="FirstParagraph"/>
      </w:pPr>
      <w:r>
        <w:rPr>
          <w:bCs/>
          <w:b/>
        </w:rPr>
        <w:t xml:space="preserve">SCR-07-FR-001</w:t>
      </w:r>
      <w:r>
        <w:t xml:space="preserve"> </w:t>
      </w:r>
      <w:r>
        <w:t xml:space="preserve">SCR-07 SHALL render the three-tier ontology from D01 as a navigable tree: Core (Tier 1) → Vertical Extension (Tier 2, e.g., retail.*) → Tenant Extension (Tier 3). Each entity type page shows: canonical name, namespace, description, parent entity, attributes table, relationships diagram, example values.</w:t>
      </w:r>
    </w:p>
    <w:p>
      <w:pPr>
        <w:pStyle w:val="BodyText"/>
      </w:pPr>
      <w:r>
        <w:rPr>
          <w:bCs/>
          <w:b/>
        </w:rPr>
        <w:t xml:space="preserve">SCR-07-FR-002</w:t>
      </w:r>
      <w:r>
        <w:t xml:space="preserve"> </w:t>
      </w:r>
      <w:r>
        <w:t xml:space="preserve">Each attribute row shows: name, type, required/optional, PII classification, description, example value, source mappings (which connected sources currently map to this attribute, from D02), downstream usage (which KPIs, features, algorithms, and dashboards reference it).</w:t>
      </w:r>
    </w:p>
    <w:p>
      <w:pPr>
        <w:pStyle w:val="BodyText"/>
      </w:pPr>
      <w:r>
        <w:rPr>
          <w:bCs/>
          <w:b/>
        </w:rPr>
        <w:t xml:space="preserve">SCR-07-FR-003</w:t>
      </w:r>
      <w:r>
        <w:t xml:space="preserve"> </w:t>
      </w:r>
      <w:r>
        <w:t xml:space="preserve">Search SHALL support attribute name, entity name, description text, and semantic tag search. Results rank by closeness of match and by usage frequency in the tenant.</w:t>
      </w:r>
    </w:p>
    <w:bookmarkEnd w:id="326"/>
    <w:bookmarkStart w:id="327" w:name="relationship-graph"/>
    <w:p>
      <w:pPr>
        <w:pStyle w:val="Heading3"/>
      </w:pPr>
      <w:r>
        <w:t xml:space="preserve">Relationship Graph</w:t>
      </w:r>
    </w:p>
    <w:p>
      <w:pPr>
        <w:pStyle w:val="FirstParagraph"/>
      </w:pPr>
      <w:r>
        <w:rPr>
          <w:bCs/>
          <w:b/>
        </w:rPr>
        <w:t xml:space="preserve">SCR-07-FR-004</w:t>
      </w:r>
      <w:r>
        <w:t xml:space="preserve"> </w:t>
      </w:r>
      <w:r>
        <w:t xml:space="preserve">Entity relationships SHALL render as an interactive graph (nodes = entities, edges = relationships with cardinality annotations). Clicking an edge shows the relationship definition. The graph supports focus mode: selecting an entity dims everything more than 2 hops away.</w:t>
      </w:r>
    </w:p>
    <w:p>
      <w:pPr>
        <w:pStyle w:val="BodyText"/>
      </w:pPr>
      <w:r>
        <w:rPr>
          <w:bCs/>
          <w:b/>
        </w:rPr>
        <w:t xml:space="preserve">SCR-07-FR-005</w:t>
      </w:r>
      <w:r>
        <w:t xml:space="preserve"> </w:t>
      </w:r>
      <w:r>
        <w:t xml:space="preserve">Graph export: rendered graph can be exported as SVG or PNG for inclusion in tenant documentation and architecture reviews.</w:t>
      </w:r>
    </w:p>
    <w:bookmarkEnd w:id="327"/>
    <w:bookmarkStart w:id="328" w:name="kpi-metric-glossary"/>
    <w:p>
      <w:pPr>
        <w:pStyle w:val="Heading3"/>
      </w:pPr>
      <w:r>
        <w:t xml:space="preserve">KPI &amp; Metric Glossary</w:t>
      </w:r>
    </w:p>
    <w:p>
      <w:pPr>
        <w:pStyle w:val="FirstParagraph"/>
      </w:pPr>
      <w:r>
        <w:rPr>
          <w:bCs/>
          <w:b/>
        </w:rPr>
        <w:t xml:space="preserve">SCR-07-FR-006</w:t>
      </w:r>
      <w:r>
        <w:t xml:space="preserve"> </w:t>
      </w:r>
      <w:r>
        <w:t xml:space="preserve">Gold Layer KPIs (from D01 §1.6) SHALL be browsable with full definitions: formula, grain, dimensions, owner, freshness SLO, data source dependencies. Each KPI is linkable from any dashboard widget for inline 'what does this mean?' lookup.</w:t>
      </w:r>
    </w:p>
    <w:p>
      <w:pPr>
        <w:pStyle w:val="BodyText"/>
      </w:pPr>
      <w:r>
        <w:rPr>
          <w:bCs/>
          <w:b/>
        </w:rPr>
        <w:t xml:space="preserve">SCR-07-FR-007</w:t>
      </w:r>
      <w:r>
        <w:t xml:space="preserve"> </w:t>
      </w:r>
      <w:r>
        <w:t xml:space="preserve">Tenant-custom KPIs (authored via UX01 Dashboard Builder) SHALL also appear here with a clear 'tenant-custom' badge, distinguishing them from platform-standard KPIs.</w:t>
      </w:r>
    </w:p>
    <w:bookmarkEnd w:id="328"/>
    <w:bookmarkStart w:id="329" w:name="schema-evolution-timeline"/>
    <w:p>
      <w:pPr>
        <w:pStyle w:val="Heading3"/>
      </w:pPr>
      <w:r>
        <w:t xml:space="preserve">Schema Evolution Timeline</w:t>
      </w:r>
    </w:p>
    <w:p>
      <w:pPr>
        <w:pStyle w:val="FirstParagraph"/>
      </w:pPr>
      <w:r>
        <w:rPr>
          <w:bCs/>
          <w:b/>
        </w:rPr>
        <w:t xml:space="preserve">SCR-07-FR-008</w:t>
      </w:r>
      <w:r>
        <w:t xml:space="preserve"> </w:t>
      </w:r>
      <w:r>
        <w:t xml:space="preserve">Schema changes SHALL surface as a timeline per entity type, showing every version with classification (additive / breaking / deprecation) from F05, diff view, and the tenant's adoption status per change (adopted, pending migration, blocked).</w:t>
      </w:r>
    </w:p>
    <w:p>
      <w:pPr>
        <w:pStyle w:val="BodyText"/>
      </w:pPr>
      <w:r>
        <w:rPr>
          <w:bCs/>
          <w:b/>
        </w:rPr>
        <w:t xml:space="preserve">SCR-07-FR-009</w:t>
      </w:r>
      <w:r>
        <w:t xml:space="preserve"> </w:t>
      </w:r>
      <w:r>
        <w:t xml:space="preserve">Deprecation warnings SHALL be visible prominently on any attribute scheduled for removal, with: deprecation date, replacement attribute (if any), list of consumers that must migrate.</w:t>
      </w:r>
    </w:p>
    <w:bookmarkEnd w:id="329"/>
    <w:bookmarkStart w:id="330" w:name="tenant-extensions-enterprise"/>
    <w:p>
      <w:pPr>
        <w:pStyle w:val="Heading3"/>
      </w:pPr>
      <w:r>
        <w:t xml:space="preserve">Tenant Extensions (Enterprise)</w:t>
      </w:r>
    </w:p>
    <w:p>
      <w:pPr>
        <w:pStyle w:val="FirstParagraph"/>
      </w:pPr>
      <w:r>
        <w:rPr>
          <w:bCs/>
          <w:b/>
        </w:rPr>
        <w:t xml:space="preserve">SCR-07-FR-010</w:t>
      </w:r>
      <w:r>
        <w:t xml:space="preserve"> </w:t>
      </w:r>
      <w:r>
        <w:t xml:space="preserve">Enterprise-tier tenants MAY draft a tenant-scoped attribute via SCR-07, submit for platform validation, and receive automated impact analysis (downstream breakage, lineage conflicts, D04 rule gaps) before commit. Platform team reviews and approves the extension through an internal workflow visible in SCR-24.</w:t>
      </w:r>
    </w:p>
    <w:bookmarkEnd w:id="330"/>
    <w:bookmarkEnd w:id="331"/>
    <w:bookmarkStart w:id="332" w:name="acceptance-criteria-28"/>
    <w:p>
      <w:pPr>
        <w:pStyle w:val="Heading2"/>
      </w:pPr>
      <w:r>
        <w:t xml:space="preserve">Acceptance Criteria</w:t>
      </w:r>
    </w:p>
    <w:p>
      <w:pPr>
        <w:numPr>
          <w:ilvl w:val="0"/>
          <w:numId w:val="1006"/>
        </w:numPr>
      </w:pPr>
      <w:r>
        <w:t xml:space="preserve">A new data steward joining a tenant can self-onboard on the canonical model in under 2 hours using only SCR-07 and its linked resources.</w:t>
      </w:r>
    </w:p>
    <w:p>
      <w:pPr>
        <w:numPr>
          <w:ilvl w:val="0"/>
          <w:numId w:val="1006"/>
        </w:numPr>
      </w:pPr>
      <w:r>
        <w:t xml:space="preserve">Every attribute in the browser has at least a one-sentence semantic description; no 'TBD' entries reach production.</w:t>
      </w:r>
    </w:p>
    <w:p>
      <w:pPr>
        <w:numPr>
          <w:ilvl w:val="0"/>
          <w:numId w:val="1006"/>
        </w:numPr>
      </w:pPr>
      <w:r>
        <w:t xml:space="preserve">Impact of a schema deprecation is visible before the deprecation lands — all downstream KPIs, features, and dashboards affected are enumerated.</w:t>
      </w:r>
    </w:p>
    <w:p>
      <w:pPr>
        <w:numPr>
          <w:ilvl w:val="0"/>
          <w:numId w:val="1006"/>
        </w:numPr>
      </w:pPr>
      <w:r>
        <w:t xml:space="preserve">A tenant-custom attribute extension, once approved, appears in the ontology and is available in SCR-09 Mapping Studio within 10 minutes.</w:t>
      </w:r>
    </w:p>
    <w:bookmarkEnd w:id="332"/>
    <w:bookmarkEnd w:id="333"/>
    <w:bookmarkStart w:id="341" w:name="scr-09-mapping-studio"/>
    <w:p>
      <w:pPr>
        <w:pStyle w:val="Heading1"/>
      </w:pPr>
      <w:r>
        <w:t xml:space="preserve">SCR-09 — Mapping Studio</w:t>
      </w:r>
    </w:p>
    <w:tbl>
      <w:tblPr>
        <w:tblStyle w:val="Table"/>
        <w:tblW w:type="pct" w:w="4952"/>
        <w:tblLook w:firstRow="0" w:lastRow="0" w:firstColumn="0" w:lastColumn="0" w:noHBand="0" w:noVBand="0" w:val="0000"/>
        <w:jc w:val="start"/>
      </w:tblPr>
      <w:tblGrid>
        <w:gridCol w:w="837"/>
        <w:gridCol w:w="7006"/>
      </w:tblGrid>
      <w:tr>
        <w:tc>
          <w:tcPr/>
          <w:p>
            <w:pPr>
              <w:pStyle w:val="Compact"/>
              <w:jc w:val="left"/>
            </w:pPr>
            <w:r>
              <w:rPr>
                <w:bCs/>
                <w:b/>
              </w:rPr>
              <w:t xml:space="preserve">Module ID</w:t>
            </w:r>
          </w:p>
        </w:tc>
        <w:tc>
          <w:tcPr/>
          <w:p>
            <w:pPr>
              <w:pStyle w:val="Compact"/>
              <w:jc w:val="left"/>
            </w:pPr>
            <w:r>
              <w:t xml:space="preserve">SCR-09</w:t>
            </w:r>
          </w:p>
        </w:tc>
      </w:tr>
      <w:tr>
        <w:tc>
          <w:tcPr/>
          <w:p>
            <w:pPr>
              <w:pStyle w:val="Compact"/>
              <w:jc w:val="left"/>
            </w:pPr>
            <w:r>
              <w:rPr>
                <w:bCs/>
                <w:b/>
              </w:rPr>
              <w:t xml:space="preserve">Phase</w:t>
            </w:r>
          </w:p>
        </w:tc>
        <w:tc>
          <w:tcPr/>
          <w:p>
            <w:pPr>
              <w:pStyle w:val="Compact"/>
              <w:jc w:val="left"/>
            </w:pPr>
            <w:r>
              <w:t xml:space="preserve">1 (Core Admin Experience)</w:t>
            </w:r>
          </w:p>
        </w:tc>
      </w:tr>
      <w:tr>
        <w:tc>
          <w:tcPr/>
          <w:p>
            <w:pPr>
              <w:pStyle w:val="Compact"/>
              <w:jc w:val="left"/>
            </w:pPr>
            <w:r>
              <w:rPr>
                <w:bCs/>
                <w:b/>
              </w:rPr>
              <w:t xml:space="preserve">Complexity</w:t>
            </w:r>
          </w:p>
        </w:tc>
        <w:tc>
          <w:tcPr/>
          <w:p>
            <w:pPr>
              <w:pStyle w:val="Compact"/>
              <w:jc w:val="left"/>
            </w:pPr>
            <w:r>
              <w:t xml:space="preserve">High</w:t>
            </w:r>
          </w:p>
        </w:tc>
      </w:tr>
      <w:tr>
        <w:tc>
          <w:tcPr/>
          <w:p>
            <w:pPr>
              <w:pStyle w:val="Compact"/>
              <w:jc w:val="left"/>
            </w:pPr>
            <w:r>
              <w:rPr>
                <w:bCs/>
                <w:b/>
              </w:rPr>
              <w:t xml:space="preserve">Dependencies</w:t>
            </w:r>
          </w:p>
        </w:tc>
        <w:tc>
          <w:tcPr/>
          <w:p>
            <w:pPr>
              <w:pStyle w:val="Compact"/>
              <w:jc w:val="left"/>
            </w:pPr>
            <w:r>
              <w:t xml:space="preserve">D02 (Canonical Mapping Engine), D03 (Data Contracts), G01 (Universal Ingestion Gateway), G02 (Structured Data Pipeline), D01 (Canonical Model), A05 (LLM Gateway for agent proposals)</w:t>
            </w:r>
          </w:p>
        </w:tc>
      </w:tr>
      <w:tr>
        <w:tc>
          <w:tcPr/>
          <w:p>
            <w:pPr>
              <w:pStyle w:val="Compact"/>
              <w:jc w:val="left"/>
            </w:pPr>
            <w:r>
              <w:rPr>
                <w:bCs/>
                <w:b/>
              </w:rPr>
              <w:t xml:space="preserve">Depended On By</w:t>
            </w:r>
          </w:p>
        </w:tc>
        <w:tc>
          <w:tcPr/>
          <w:p>
            <w:pPr>
              <w:pStyle w:val="Compact"/>
              <w:jc w:val="left"/>
            </w:pPr>
            <w:r>
              <w:t xml:space="preserve">SCR-08 Ingestion Health, SCR-10 Data Quality (rule authoring informed by mapping context), every Silver-layer dataset</w:t>
            </w:r>
          </w:p>
        </w:tc>
      </w:tr>
      <w:tr>
        <w:tc>
          <w:tcPr/>
          <w:p>
            <w:pPr>
              <w:pStyle w:val="Compact"/>
              <w:jc w:val="left"/>
            </w:pPr>
            <w:r>
              <w:rPr>
                <w:bCs/>
                <w:b/>
              </w:rPr>
              <w:t xml:space="preserve">Owner</w:t>
            </w:r>
          </w:p>
        </w:tc>
        <w:tc>
          <w:tcPr/>
          <w:p>
            <w:pPr>
              <w:pStyle w:val="Compact"/>
              <w:jc w:val="left"/>
            </w:pPr>
            <w:r>
              <w:t xml:space="preserve">Data Platform Lead</w:t>
            </w:r>
          </w:p>
        </w:tc>
      </w:tr>
    </w:tbl>
    <w:bookmarkStart w:id="334" w:name="purpose-38"/>
    <w:p>
      <w:pPr>
        <w:pStyle w:val="Heading2"/>
      </w:pPr>
      <w:r>
        <w:t xml:space="preserve">Purpose</w:t>
      </w:r>
    </w:p>
    <w:p>
      <w:pPr>
        <w:pStyle w:val="FirstParagraph"/>
      </w:pPr>
      <w:r>
        <w:t xml:space="preserve">SCR-09 is where source-system schemas are mapped to the canonical model. It is the single highest-leverage screen in the Admin Console — a well-authored mapping produces Gold-quality data, a poor one pollutes everything downstream.</w:t>
      </w:r>
    </w:p>
    <w:p>
      <w:pPr>
        <w:pStyle w:val="BodyText"/>
      </w:pPr>
      <w:r>
        <w:t xml:space="preserve">SCR-09 supports three authoring modes: agent-proposed mappings (from D02 auto-mapping and the Universal CSV Ingestion Agent), human-authored mappings, and collaborative refinement of agent proposals. Every mapping commit is a versioned D03 data contract.</w:t>
      </w:r>
    </w:p>
    <w:bookmarkEnd w:id="334"/>
    <w:bookmarkStart w:id="339" w:name="functional-requirements-14"/>
    <w:p>
      <w:pPr>
        <w:pStyle w:val="Heading2"/>
      </w:pPr>
      <w:r>
        <w:t xml:space="preserve">Functional Requirements</w:t>
      </w:r>
    </w:p>
    <w:bookmarkStart w:id="335" w:name="mapping-workspace"/>
    <w:p>
      <w:pPr>
        <w:pStyle w:val="Heading3"/>
      </w:pPr>
      <w:r>
        <w:t xml:space="preserve">Mapping Workspace</w:t>
      </w:r>
    </w:p>
    <w:p>
      <w:pPr>
        <w:pStyle w:val="FirstParagraph"/>
      </w:pPr>
      <w:r>
        <w:rPr>
          <w:bCs/>
          <w:b/>
        </w:rPr>
        <w:t xml:space="preserve">SCR-09-FR-001</w:t>
      </w:r>
      <w:r>
        <w:t xml:space="preserve"> </w:t>
      </w:r>
      <w:r>
        <w:t xml:space="preserve">The Mapping Studio SHALL render side-by-side: source schema (left panel, derived from G01 introspection or sample-file schema inference) and canonical schema (right panel, from D01). Between them, a rules canvas shows field-to-field mappings as connecting lines with type and transform indicators.</w:t>
      </w:r>
    </w:p>
    <w:p>
      <w:pPr>
        <w:pStyle w:val="BodyText"/>
      </w:pPr>
      <w:r>
        <w:rPr>
          <w:bCs/>
          <w:b/>
        </w:rPr>
        <w:t xml:space="preserve">SCR-09-FR-002</w:t>
      </w:r>
      <w:r>
        <w:t xml:space="preserve"> </w:t>
      </w:r>
      <w:r>
        <w:t xml:space="preserve">Each rule SHALL support: field rename, type coercion, value transformation (expression), conditional mapping (if-then-else), split (one source field to multiple canonical fields), combine (multiple source fields to one canonical field), constant injection, enum translation, pass-through with optional default.</w:t>
      </w:r>
    </w:p>
    <w:p>
      <w:pPr>
        <w:pStyle w:val="BodyText"/>
      </w:pPr>
      <w:r>
        <w:rPr>
          <w:bCs/>
          <w:b/>
        </w:rPr>
        <w:t xml:space="preserve">SCR-09-FR-003</w:t>
      </w:r>
      <w:r>
        <w:t xml:space="preserve"> </w:t>
      </w:r>
      <w:r>
        <w:t xml:space="preserve">Unmapped fields on both sides are flagged visually: source fields with no canonical destination prompt the admin to confirm 'ignore' or 'extend schema'; canonical fields with no source mapping surface in downstream D04 completeness checks.</w:t>
      </w:r>
    </w:p>
    <w:bookmarkEnd w:id="335"/>
    <w:bookmarkStart w:id="336" w:name="transformation-language"/>
    <w:p>
      <w:pPr>
        <w:pStyle w:val="Heading3"/>
      </w:pPr>
      <w:r>
        <w:t xml:space="preserve">Transformation Language</w:t>
      </w:r>
    </w:p>
    <w:p>
      <w:pPr>
        <w:pStyle w:val="FirstParagraph"/>
      </w:pPr>
      <w:r>
        <w:rPr>
          <w:bCs/>
          <w:b/>
        </w:rPr>
        <w:t xml:space="preserve">SCR-09-FR-004</w:t>
      </w:r>
      <w:r>
        <w:t xml:space="preserve"> </w:t>
      </w:r>
      <w:r>
        <w:t xml:space="preserve">The transformation expression language SHALL be a restricted, sandboxed subset — no I/O, no network calls, no dynamic code, no unbounded loops. Syntax is JavaScript-like for familiarity. All transformations are deterministic and testable.</w:t>
      </w:r>
    </w:p>
    <w:p>
      <w:pPr>
        <w:pStyle w:val="BodyText"/>
      </w:pPr>
      <w:r>
        <w:rPr>
          <w:bCs/>
          <w:b/>
        </w:rPr>
        <w:t xml:space="preserve">SCR-09-FR-005</w:t>
      </w:r>
      <w:r>
        <w:t xml:space="preserve"> </w:t>
      </w:r>
      <w:r>
        <w:t xml:space="preserve">Common utilities exposed as standard library: date.parse, date.format, string.trim, string.titleCase, string.slug, number.toFixed, currency.convert (uses IC02 exchange rates), phone.normalize (E.164), email.normalize, gtin.validate, lookup.table, hash.sha256.</w:t>
      </w:r>
    </w:p>
    <w:p>
      <w:pPr>
        <w:pStyle w:val="BodyText"/>
      </w:pPr>
      <w:r>
        <w:rPr>
          <w:bCs/>
          <w:b/>
        </w:rPr>
        <w:t xml:space="preserve">SCR-09-FR-006</w:t>
      </w:r>
      <w:r>
        <w:t xml:space="preserve"> </w:t>
      </w:r>
      <w:r>
        <w:t xml:space="preserve">Expression editor SHALL include a live preview: paste a sample source row, see the mapped canonical output row including any validation errors, execution time, and intermediate computation steps.</w:t>
      </w:r>
    </w:p>
    <w:bookmarkEnd w:id="336"/>
    <w:bookmarkStart w:id="337" w:name="agent-proposed-mappings"/>
    <w:p>
      <w:pPr>
        <w:pStyle w:val="Heading3"/>
      </w:pPr>
      <w:r>
        <w:t xml:space="preserve">Agent-Proposed Mappings</w:t>
      </w:r>
    </w:p>
    <w:p>
      <w:pPr>
        <w:pStyle w:val="FirstParagraph"/>
      </w:pPr>
      <w:r>
        <w:rPr>
          <w:bCs/>
          <w:b/>
        </w:rPr>
        <w:t xml:space="preserve">SCR-09-FR-007</w:t>
      </w:r>
      <w:r>
        <w:t xml:space="preserve"> </w:t>
      </w:r>
      <w:r>
        <w:t xml:space="preserve">On every new source connection, the D02 auto-mapping engine SHALL propose an initial mapping set. Proposals land in the Mapping Studio as drafts with confidence scores per field (HIGH greater than or equal to 0.9, MEDIUM 0.7 to 0.9, LOW less than 0.7). Data stewards accept, reject, or edit each proposal.</w:t>
      </w:r>
    </w:p>
    <w:p>
      <w:pPr>
        <w:pStyle w:val="BodyText"/>
      </w:pPr>
      <w:r>
        <w:rPr>
          <w:bCs/>
          <w:b/>
        </w:rPr>
        <w:t xml:space="preserve">SCR-09-FR-008</w:t>
      </w:r>
      <w:r>
        <w:t xml:space="preserve"> </w:t>
      </w:r>
      <w:r>
        <w:t xml:space="preserve">The Universal CSV Ingestion Agent (agent ID agent_011Ca2AxDuF5UDLWSAac5tGM) SHALL surface here for uploaded CSV sources: the agent's profiling and mapping output streams into the rules canvas as it runs, with the agent's reasoning viewable in an expandable side panel. Accepting an agent proposal commits it as a human-authored rule — the agent's output is the draft, never the committed version.</w:t>
      </w:r>
    </w:p>
    <w:p>
      <w:pPr>
        <w:pStyle w:val="BodyText"/>
      </w:pPr>
      <w:r>
        <w:rPr>
          <w:bCs/>
          <w:b/>
        </w:rPr>
        <w:t xml:space="preserve">SCR-09-FR-009</w:t>
      </w:r>
      <w:r>
        <w:t xml:space="preserve"> </w:t>
      </w:r>
      <w:r>
        <w:t xml:space="preserve">Every agent proposal SHALL carry attribution: which agent authored it, which model version, session ID, timestamp. Rejected proposals flow back to the agent's feedback signal for improvement.</w:t>
      </w:r>
    </w:p>
    <w:bookmarkEnd w:id="337"/>
    <w:bookmarkStart w:id="338" w:name="contract-versioning-safety"/>
    <w:p>
      <w:pPr>
        <w:pStyle w:val="Heading3"/>
      </w:pPr>
      <w:r>
        <w:t xml:space="preserve">Contract Versioning &amp; Safety</w:t>
      </w:r>
    </w:p>
    <w:p>
      <w:pPr>
        <w:pStyle w:val="FirstParagraph"/>
      </w:pPr>
      <w:r>
        <w:rPr>
          <w:bCs/>
          <w:b/>
        </w:rPr>
        <w:t xml:space="preserve">SCR-09-FR-010</w:t>
      </w:r>
      <w:r>
        <w:t xml:space="preserve"> </w:t>
      </w:r>
      <w:r>
        <w:t xml:space="preserve">Every mapping set SHALL be versioned as a D03 data contract. Committing a mapping creates a new contract version with: author, commit message, diff vs previous version, affected downstream consumers (from D05 lineage). Breaking changes require an explicit reviewer approval (second admin sign-off).</w:t>
      </w:r>
    </w:p>
    <w:p>
      <w:pPr>
        <w:pStyle w:val="BodyText"/>
      </w:pPr>
      <w:r>
        <w:rPr>
          <w:bCs/>
          <w:b/>
        </w:rPr>
        <w:t xml:space="preserve">SCR-09-FR-011</w:t>
      </w:r>
      <w:r>
        <w:t xml:space="preserve"> </w:t>
      </w:r>
      <w:r>
        <w:t xml:space="preserve">Mapping test harness SHALL run the proposed contract against the last 1,000 ingested records before commit; any record that would fail under the new mapping is surfaced with failure reason. Commit is blocked if failure rate exceeds a configurable threshold (default 1%).</w:t>
      </w:r>
    </w:p>
    <w:p>
      <w:pPr>
        <w:pStyle w:val="BodyText"/>
      </w:pPr>
      <w:r>
        <w:rPr>
          <w:bCs/>
          <w:b/>
        </w:rPr>
        <w:t xml:space="preserve">SCR-09-FR-012</w:t>
      </w:r>
      <w:r>
        <w:t xml:space="preserve"> </w:t>
      </w:r>
      <w:r>
        <w:t xml:space="preserve">Rollback SHALL be single-click to any previous contract version. Rollback is itself a versioned event, audit-logged in SCR-20.</w:t>
      </w:r>
    </w:p>
    <w:bookmarkEnd w:id="338"/>
    <w:bookmarkEnd w:id="339"/>
    <w:bookmarkStart w:id="340" w:name="acceptance-criteria-29"/>
    <w:p>
      <w:pPr>
        <w:pStyle w:val="Heading2"/>
      </w:pPr>
      <w:r>
        <w:t xml:space="preserve">Acceptance Criteria</w:t>
      </w:r>
    </w:p>
    <w:p>
      <w:pPr>
        <w:numPr>
          <w:ilvl w:val="0"/>
          <w:numId w:val="1007"/>
        </w:numPr>
      </w:pPr>
      <w:r>
        <w:t xml:space="preserve">A new CSV source with 30 columns is mappable to canonical in under 15 minutes with agent assistance, with over 90% of fields correctly auto-proposed at HIGH or MEDIUM confidence.</w:t>
      </w:r>
    </w:p>
    <w:p>
      <w:pPr>
        <w:numPr>
          <w:ilvl w:val="0"/>
          <w:numId w:val="1007"/>
        </w:numPr>
      </w:pPr>
      <w:r>
        <w:t xml:space="preserve">A contract change that would break 5% of historical records is blocked at commit with a clear, itemised failure explanation.</w:t>
      </w:r>
    </w:p>
    <w:p>
      <w:pPr>
        <w:numPr>
          <w:ilvl w:val="0"/>
          <w:numId w:val="1007"/>
        </w:numPr>
      </w:pPr>
      <w:r>
        <w:t xml:space="preserve">Rolling back a mapping to the previous contract version takes under 30 seconds, including Bronze-to-Silver reprocessing initiation.</w:t>
      </w:r>
    </w:p>
    <w:p>
      <w:pPr>
        <w:numPr>
          <w:ilvl w:val="0"/>
          <w:numId w:val="1007"/>
        </w:numPr>
      </w:pPr>
      <w:r>
        <w:t xml:space="preserve">The reasoning trace from an agent-proposed mapping is inspectable by the data steward — no agent proposal is opaque.</w:t>
      </w:r>
    </w:p>
    <w:bookmarkEnd w:id="340"/>
    <w:bookmarkEnd w:id="341"/>
    <w:bookmarkStart w:id="350" w:name="scr-10-data-quality-console"/>
    <w:p>
      <w:pPr>
        <w:pStyle w:val="Heading1"/>
      </w:pPr>
      <w:r>
        <w:t xml:space="preserve">SCR-10 — Data Quality Console</w:t>
      </w:r>
    </w:p>
    <w:tbl>
      <w:tblPr>
        <w:tblStyle w:val="Table"/>
        <w:tblW w:type="pct" w:w="4922"/>
        <w:tblLook w:firstRow="0" w:lastRow="0" w:firstColumn="0" w:lastColumn="0" w:noHBand="0" w:noVBand="0" w:val="0000"/>
        <w:jc w:val="start"/>
      </w:tblPr>
      <w:tblGrid>
        <w:gridCol w:w="1361"/>
        <w:gridCol w:w="6435"/>
      </w:tblGrid>
      <w:tr>
        <w:tc>
          <w:tcPr/>
          <w:p>
            <w:pPr>
              <w:pStyle w:val="Compact"/>
              <w:jc w:val="left"/>
            </w:pPr>
            <w:r>
              <w:rPr>
                <w:bCs/>
                <w:b/>
              </w:rPr>
              <w:t xml:space="preserve">Module ID</w:t>
            </w:r>
          </w:p>
        </w:tc>
        <w:tc>
          <w:tcPr/>
          <w:p>
            <w:pPr>
              <w:pStyle w:val="Compact"/>
              <w:jc w:val="left"/>
            </w:pPr>
            <w:r>
              <w:t xml:space="preserve">SCR-10</w:t>
            </w:r>
          </w:p>
        </w:tc>
      </w:tr>
      <w:tr>
        <w:tc>
          <w:tcPr/>
          <w:p>
            <w:pPr>
              <w:pStyle w:val="Compact"/>
              <w:jc w:val="left"/>
            </w:pPr>
            <w:r>
              <w:rPr>
                <w:bCs/>
                <w:b/>
              </w:rPr>
              <w:t xml:space="preserve">Phase</w:t>
            </w:r>
          </w:p>
        </w:tc>
        <w:tc>
          <w:tcPr/>
          <w:p>
            <w:pPr>
              <w:pStyle w:val="Compact"/>
              <w:jc w:val="left"/>
            </w:pPr>
            <w:r>
              <w:t xml:space="preserve">1 (Core Admin Experience)</w:t>
            </w:r>
          </w:p>
        </w:tc>
      </w:tr>
      <w:tr>
        <w:tc>
          <w:tcPr/>
          <w:p>
            <w:pPr>
              <w:pStyle w:val="Compact"/>
              <w:jc w:val="left"/>
            </w:pPr>
            <w:r>
              <w:rPr>
                <w:bCs/>
                <w:b/>
              </w:rPr>
              <w:t xml:space="preserve">Complexity</w:t>
            </w:r>
          </w:p>
        </w:tc>
        <w:tc>
          <w:tcPr/>
          <w:p>
            <w:pPr>
              <w:pStyle w:val="Compact"/>
              <w:jc w:val="left"/>
            </w:pPr>
            <w:r>
              <w:t xml:space="preserve">High</w:t>
            </w:r>
          </w:p>
        </w:tc>
      </w:tr>
      <w:tr>
        <w:tc>
          <w:tcPr/>
          <w:p>
            <w:pPr>
              <w:pStyle w:val="Compact"/>
              <w:jc w:val="left"/>
            </w:pPr>
            <w:r>
              <w:rPr>
                <w:bCs/>
                <w:b/>
              </w:rPr>
              <w:t xml:space="preserve">Dependencies</w:t>
            </w:r>
          </w:p>
        </w:tc>
        <w:tc>
          <w:tcPr/>
          <w:p>
            <w:pPr>
              <w:pStyle w:val="Compact"/>
              <w:jc w:val="left"/>
            </w:pPr>
            <w:r>
              <w:t xml:space="preserve">D04 (Data Quality Engine), D05 (Lineage), O02 (Alerts), SCR-09 (Mapping), A05 (LLM Gateway for DQ agent)</w:t>
            </w:r>
          </w:p>
        </w:tc>
      </w:tr>
      <w:tr>
        <w:tc>
          <w:tcPr/>
          <w:p>
            <w:pPr>
              <w:pStyle w:val="Compact"/>
              <w:jc w:val="left"/>
            </w:pPr>
            <w:r>
              <w:rPr>
                <w:bCs/>
                <w:b/>
              </w:rPr>
              <w:t xml:space="preserve">Depended On By</w:t>
            </w:r>
          </w:p>
        </w:tc>
        <w:tc>
          <w:tcPr/>
          <w:p>
            <w:pPr>
              <w:pStyle w:val="Compact"/>
              <w:jc w:val="left"/>
            </w:pPr>
            <w:r>
              <w:t xml:space="preserve">Every widget that displays data (UX01-FR-013 confidence badges), SCR-20 Audit Log, CX-04 Alert Centre</w:t>
            </w:r>
          </w:p>
        </w:tc>
      </w:tr>
      <w:tr>
        <w:tc>
          <w:tcPr/>
          <w:p>
            <w:pPr>
              <w:pStyle w:val="Compact"/>
              <w:jc w:val="left"/>
            </w:pPr>
            <w:r>
              <w:rPr>
                <w:bCs/>
                <w:b/>
              </w:rPr>
              <w:t xml:space="preserve">Owner</w:t>
            </w:r>
          </w:p>
        </w:tc>
        <w:tc>
          <w:tcPr/>
          <w:p>
            <w:pPr>
              <w:pStyle w:val="Compact"/>
              <w:jc w:val="left"/>
            </w:pPr>
            <w:r>
              <w:t xml:space="preserve">Data Platform Lead</w:t>
            </w:r>
          </w:p>
        </w:tc>
      </w:tr>
    </w:tbl>
    <w:bookmarkStart w:id="342" w:name="purpose-39"/>
    <w:p>
      <w:pPr>
        <w:pStyle w:val="Heading2"/>
      </w:pPr>
      <w:r>
        <w:t xml:space="preserve">Purpose</w:t>
      </w:r>
    </w:p>
    <w:p>
      <w:pPr>
        <w:pStyle w:val="FirstParagraph"/>
      </w:pPr>
      <w:r>
        <w:t xml:space="preserve">SCR-10 is the operational home for data quality: the rules library, the incident stream, quality scoring, promotion gates between medallion tiers, and the approval surface for DQ-Agent-proposed rules. The platform's 'never silent' principle is enforced here — every rejection has a reason, every incident has a path to resolution.</w:t>
      </w:r>
    </w:p>
    <w:bookmarkEnd w:id="342"/>
    <w:bookmarkStart w:id="348" w:name="functional-requirements-15"/>
    <w:p>
      <w:pPr>
        <w:pStyle w:val="Heading2"/>
      </w:pPr>
      <w:r>
        <w:t xml:space="preserve">Functional Requirements</w:t>
      </w:r>
    </w:p>
    <w:bookmarkStart w:id="343" w:name="quality-scorecard"/>
    <w:p>
      <w:pPr>
        <w:pStyle w:val="Heading3"/>
      </w:pPr>
      <w:r>
        <w:t xml:space="preserve">Quality Scorecard</w:t>
      </w:r>
    </w:p>
    <w:p>
      <w:pPr>
        <w:pStyle w:val="FirstParagraph"/>
      </w:pPr>
      <w:r>
        <w:rPr>
          <w:bCs/>
          <w:b/>
        </w:rPr>
        <w:t xml:space="preserve">SCR-10-FR-001</w:t>
      </w:r>
      <w:r>
        <w:t xml:space="preserve"> </w:t>
      </w:r>
      <w:r>
        <w:t xml:space="preserve">The top of SCR-10 SHALL render a quality scorecard per dataset: overall score (0-100), dimension scores (freshness, completeness, uniqueness, validity, consistency, timeliness), trend over the last 30 days, and promotion eligibility (Silver → Gold gates passed or failed, with reason).</w:t>
      </w:r>
    </w:p>
    <w:p>
      <w:pPr>
        <w:pStyle w:val="BodyText"/>
      </w:pPr>
      <w:r>
        <w:rPr>
          <w:bCs/>
          <w:b/>
        </w:rPr>
        <w:t xml:space="preserve">SCR-10-FR-002</w:t>
      </w:r>
      <w:r>
        <w:t xml:space="preserve"> </w:t>
      </w:r>
      <w:r>
        <w:t xml:space="preserve">Tenant-level rollup: a single overall data quality score and tier distribution (percentage of datasets at Gold, Silver, Bronze) visible at the top of the screen and in SCR-01 health cards.</w:t>
      </w:r>
    </w:p>
    <w:bookmarkEnd w:id="343"/>
    <w:bookmarkStart w:id="344" w:name="rules-library"/>
    <w:p>
      <w:pPr>
        <w:pStyle w:val="Heading3"/>
      </w:pPr>
      <w:r>
        <w:t xml:space="preserve">Rules Library</w:t>
      </w:r>
    </w:p>
    <w:p>
      <w:pPr>
        <w:pStyle w:val="FirstParagraph"/>
      </w:pPr>
      <w:r>
        <w:rPr>
          <w:bCs/>
          <w:b/>
        </w:rPr>
        <w:t xml:space="preserve">SCR-10-FR-003</w:t>
      </w:r>
      <w:r>
        <w:t xml:space="preserve"> </w:t>
      </w:r>
      <w:r>
        <w:t xml:space="preserve">Rules SHALL be authored as: rule_id, name, description, dataset scope, rule type (not-null / unique / range / regex / referential integrity / custom SQL / statistical anomaly), severity (INFO / WARN / ERROR / BLOCK), owner, enabled flag, effective date.</w:t>
      </w:r>
    </w:p>
    <w:p>
      <w:pPr>
        <w:pStyle w:val="BodyText"/>
      </w:pPr>
      <w:r>
        <w:rPr>
          <w:bCs/>
          <w:b/>
        </w:rPr>
        <w:t xml:space="preserve">SCR-10-FR-004</w:t>
      </w:r>
      <w:r>
        <w:t xml:space="preserve"> </w:t>
      </w:r>
      <w:r>
        <w:t xml:space="preserve">Rule authoring UI SHALL provide templates for common checks (not-null on required fields, uniqueness on identifiers, email/phone format validation, referential integrity across canonical entities) and a custom SQL editor for advanced rules. Every rule includes a test-run against the current Silver layer before commit, showing pass/fail counts and sample failing records.</w:t>
      </w:r>
    </w:p>
    <w:p>
      <w:pPr>
        <w:pStyle w:val="BodyText"/>
      </w:pPr>
      <w:r>
        <w:rPr>
          <w:bCs/>
          <w:b/>
        </w:rPr>
        <w:t xml:space="preserve">SCR-10-FR-005</w:t>
      </w:r>
      <w:r>
        <w:t xml:space="preserve"> </w:t>
      </w:r>
      <w:r>
        <w:t xml:space="preserve">Rule severity controls medallion behaviour: INFO rules log only; WARN rules flag records but promote them; ERROR rules quarantine records to the Bronze DLQ; BLOCK rules halt the entire pipeline for the affected dataset until the violation is resolved. Severity can be changed without redeploying the rule.</w:t>
      </w:r>
    </w:p>
    <w:bookmarkEnd w:id="344"/>
    <w:bookmarkStart w:id="345" w:name="incident-stream"/>
    <w:p>
      <w:pPr>
        <w:pStyle w:val="Heading3"/>
      </w:pPr>
      <w:r>
        <w:t xml:space="preserve">Incident Stream</w:t>
      </w:r>
    </w:p>
    <w:p>
      <w:pPr>
        <w:pStyle w:val="FirstParagraph"/>
      </w:pPr>
      <w:r>
        <w:rPr>
          <w:bCs/>
          <w:b/>
        </w:rPr>
        <w:t xml:space="preserve">SCR-10-FR-006</w:t>
      </w:r>
      <w:r>
        <w:t xml:space="preserve"> </w:t>
      </w:r>
      <w:r>
        <w:t xml:space="preserve">Every DQ violation SHALL produce an incident with: rule, dataset, record count affected, first seen, last seen, root-cause hypothesis from the DQ Agent (e.g., 'Source crm_exports began emitting null customer_email on 14 Apr — upstream schema change suspected'), recommended action, one-click 'View affected records' and 'Open related mapping in SCR-09'.</w:t>
      </w:r>
    </w:p>
    <w:p>
      <w:pPr>
        <w:pStyle w:val="BodyText"/>
      </w:pPr>
      <w:r>
        <w:rPr>
          <w:bCs/>
          <w:b/>
        </w:rPr>
        <w:t xml:space="preserve">SCR-10-FR-007</w:t>
      </w:r>
      <w:r>
        <w:t xml:space="preserve"> </w:t>
      </w:r>
      <w:r>
        <w:t xml:space="preserve">Incidents SHALL deduplicate: recurring violations aggregate rather than spawning new incidents. Acknowledged incidents track acknowledgement time, resolver, resolution notes, and time-to-resolve for SLO measurement. Unacknowledged critical incidents escalate via O02.</w:t>
      </w:r>
    </w:p>
    <w:p>
      <w:pPr>
        <w:pStyle w:val="BodyText"/>
      </w:pPr>
      <w:r>
        <w:rPr>
          <w:bCs/>
          <w:b/>
        </w:rPr>
        <w:t xml:space="preserve">SCR-10-FR-008</w:t>
      </w:r>
      <w:r>
        <w:t xml:space="preserve"> </w:t>
      </w:r>
      <w:r>
        <w:t xml:space="preserve">Incident-to-root-cause navigation SHALL be deterministic: every incident carries lineage pointers (D05) back to the originating source and mapping. The user reaches the responsible mapping rule in SCR-09 in at most 2 clicks from the incident.</w:t>
      </w:r>
    </w:p>
    <w:bookmarkEnd w:id="345"/>
    <w:bookmarkStart w:id="346" w:name="dq-agent-proposals"/>
    <w:p>
      <w:pPr>
        <w:pStyle w:val="Heading3"/>
      </w:pPr>
      <w:r>
        <w:t xml:space="preserve">DQ Agent Proposals</w:t>
      </w:r>
    </w:p>
    <w:p>
      <w:pPr>
        <w:pStyle w:val="FirstParagraph"/>
      </w:pPr>
      <w:r>
        <w:rPr>
          <w:bCs/>
          <w:b/>
        </w:rPr>
        <w:t xml:space="preserve">SCR-10-FR-009</w:t>
      </w:r>
      <w:r>
        <w:t xml:space="preserve"> </w:t>
      </w:r>
      <w:r>
        <w:t xml:space="preserve">The DQ Agent SHALL analyse incident patterns weekly and propose new rules (e.g., '5 of 12 incidents on retail.Product involve missing GTIN — propose not-null rule on gtin?'). Proposals land in a review queue in SCR-10 and require human approval before activation. Rejected proposals inform agent improvement.</w:t>
      </w:r>
    </w:p>
    <w:bookmarkEnd w:id="346"/>
    <w:bookmarkStart w:id="347" w:name="promotion-gates"/>
    <w:p>
      <w:pPr>
        <w:pStyle w:val="Heading3"/>
      </w:pPr>
      <w:r>
        <w:t xml:space="preserve">Promotion Gates</w:t>
      </w:r>
    </w:p>
    <w:p>
      <w:pPr>
        <w:pStyle w:val="FirstParagraph"/>
      </w:pPr>
      <w:r>
        <w:rPr>
          <w:bCs/>
          <w:b/>
        </w:rPr>
        <w:t xml:space="preserve">SCR-10-FR-010</w:t>
      </w:r>
      <w:r>
        <w:t xml:space="preserve"> </w:t>
      </w:r>
      <w:r>
        <w:t xml:space="preserve">Bronze → Silver → Gold promotion SHALL be gated by configurable quality thresholds per dataset. The gate configuration UI shows: current thresholds per dimension, last 30 days' pass rate per gate, records currently held (with reason codes), and a forward-projection of what would need to change for held records to promote.</w:t>
      </w:r>
    </w:p>
    <w:p>
      <w:pPr>
        <w:pStyle w:val="BodyText"/>
      </w:pPr>
      <w:r>
        <w:rPr>
          <w:bCs/>
          <w:b/>
        </w:rPr>
        <w:t xml:space="preserve">SCR-10-FR-011</w:t>
      </w:r>
      <w:r>
        <w:t xml:space="preserve"> </w:t>
      </w:r>
      <w:r>
        <w:t xml:space="preserve">Manual override: an authorised admin MAY force-promote held records with mandatory justification text and audit log entry. Force-promotion events are flagged in SCR-01 Attention Panel and escalate to SCR-22 Compliance Operations.</w:t>
      </w:r>
    </w:p>
    <w:bookmarkEnd w:id="347"/>
    <w:bookmarkEnd w:id="348"/>
    <w:bookmarkStart w:id="349" w:name="acceptance-criteria-30"/>
    <w:p>
      <w:pPr>
        <w:pStyle w:val="Heading2"/>
      </w:pPr>
      <w:r>
        <w:t xml:space="preserve">Acceptance Criteria</w:t>
      </w:r>
    </w:p>
    <w:p>
      <w:pPr>
        <w:numPr>
          <w:ilvl w:val="0"/>
          <w:numId w:val="1008"/>
        </w:numPr>
      </w:pPr>
      <w:r>
        <w:t xml:space="preserve">A DQ incident reveals its root cause and a one-click path to the responsible mapping rule within 3 clicks of landing on SCR-10.</w:t>
      </w:r>
    </w:p>
    <w:p>
      <w:pPr>
        <w:numPr>
          <w:ilvl w:val="0"/>
          <w:numId w:val="1008"/>
        </w:numPr>
      </w:pPr>
      <w:r>
        <w:t xml:space="preserve">No record reaches Gold without passing its dataset's configured quality gates; held records are enumerable, exportable, and explainable.</w:t>
      </w:r>
    </w:p>
    <w:p>
      <w:pPr>
        <w:numPr>
          <w:ilvl w:val="0"/>
          <w:numId w:val="1008"/>
        </w:numPr>
      </w:pPr>
      <w:r>
        <w:t xml:space="preserve">A new quality rule is authored, tested against live Silver data, and committed in under 10 minutes.</w:t>
      </w:r>
    </w:p>
    <w:p>
      <w:pPr>
        <w:numPr>
          <w:ilvl w:val="0"/>
          <w:numId w:val="1008"/>
        </w:numPr>
      </w:pPr>
      <w:r>
        <w:t xml:space="preserve">DQ agent proposals achieve at least 70% acceptance rate once the tenant has 90 days of operational history, indicating agent proposals are useful in practice.</w:t>
      </w:r>
    </w:p>
    <w:bookmarkEnd w:id="349"/>
    <w:bookmarkEnd w:id="350"/>
    <w:bookmarkStart w:id="358" w:name="scr-14-feature-store-browser"/>
    <w:p>
      <w:pPr>
        <w:pStyle w:val="Heading1"/>
      </w:pPr>
      <w:r>
        <w:t xml:space="preserve">SCR-14 — Feature Store Browser</w:t>
      </w:r>
    </w:p>
    <w:tbl>
      <w:tblPr>
        <w:tblStyle w:val="Table"/>
        <w:tblW w:type="pct" w:w="4928"/>
        <w:tblLook w:firstRow="0" w:lastRow="0" w:firstColumn="0" w:lastColumn="0" w:noHBand="0" w:noVBand="0" w:val="0000"/>
        <w:jc w:val="start"/>
      </w:tblPr>
      <w:tblGrid>
        <w:gridCol w:w="1262"/>
        <w:gridCol w:w="6542"/>
      </w:tblGrid>
      <w:tr>
        <w:tc>
          <w:tcPr/>
          <w:p>
            <w:pPr>
              <w:pStyle w:val="Compact"/>
              <w:jc w:val="left"/>
            </w:pPr>
            <w:r>
              <w:rPr>
                <w:bCs/>
                <w:b/>
              </w:rPr>
              <w:t xml:space="preserve">Module ID</w:t>
            </w:r>
          </w:p>
        </w:tc>
        <w:tc>
          <w:tcPr/>
          <w:p>
            <w:pPr>
              <w:pStyle w:val="Compact"/>
              <w:jc w:val="left"/>
            </w:pPr>
            <w:r>
              <w:t xml:space="preserve">SCR-14</w:t>
            </w:r>
          </w:p>
        </w:tc>
      </w:tr>
      <w:tr>
        <w:tc>
          <w:tcPr/>
          <w:p>
            <w:pPr>
              <w:pStyle w:val="Compact"/>
              <w:jc w:val="left"/>
            </w:pPr>
            <w:r>
              <w:rPr>
                <w:bCs/>
                <w:b/>
              </w:rPr>
              <w:t xml:space="preserve">Phase</w:t>
            </w:r>
          </w:p>
        </w:tc>
        <w:tc>
          <w:tcPr/>
          <w:p>
            <w:pPr>
              <w:pStyle w:val="Compact"/>
              <w:jc w:val="left"/>
            </w:pPr>
            <w:r>
              <w:t xml:space="preserve">2 (ML Acceleration)</w:t>
            </w:r>
          </w:p>
        </w:tc>
      </w:tr>
      <w:tr>
        <w:tc>
          <w:tcPr/>
          <w:p>
            <w:pPr>
              <w:pStyle w:val="Compact"/>
              <w:jc w:val="left"/>
            </w:pPr>
            <w:r>
              <w:rPr>
                <w:bCs/>
                <w:b/>
              </w:rPr>
              <w:t xml:space="preserve">Complexity</w:t>
            </w:r>
          </w:p>
        </w:tc>
        <w:tc>
          <w:tcPr/>
          <w:p>
            <w:pPr>
              <w:pStyle w:val="Compact"/>
              <w:jc w:val="left"/>
            </w:pPr>
            <w:r>
              <w:t xml:space="preserve">Medium</w:t>
            </w:r>
          </w:p>
        </w:tc>
      </w:tr>
      <w:tr>
        <w:tc>
          <w:tcPr/>
          <w:p>
            <w:pPr>
              <w:pStyle w:val="Compact"/>
              <w:jc w:val="left"/>
            </w:pPr>
            <w:r>
              <w:rPr>
                <w:bCs/>
                <w:b/>
              </w:rPr>
              <w:t xml:space="preserve">Dependencies</w:t>
            </w:r>
          </w:p>
        </w:tc>
        <w:tc>
          <w:tcPr/>
          <w:p>
            <w:pPr>
              <w:pStyle w:val="Compact"/>
              <w:jc w:val="left"/>
            </w:pPr>
            <w:r>
              <w:t xml:space="preserve">A01 (Feature Store), E01 (Embedding Pipeline), D01 (Canonical), AC01 (RBAC)</w:t>
            </w:r>
          </w:p>
        </w:tc>
      </w:tr>
      <w:tr>
        <w:tc>
          <w:tcPr/>
          <w:p>
            <w:pPr>
              <w:pStyle w:val="Compact"/>
              <w:jc w:val="left"/>
            </w:pPr>
            <w:r>
              <w:rPr>
                <w:bCs/>
                <w:b/>
              </w:rPr>
              <w:t xml:space="preserve">Depended On By</w:t>
            </w:r>
          </w:p>
        </w:tc>
        <w:tc>
          <w:tcPr/>
          <w:p>
            <w:pPr>
              <w:pStyle w:val="Compact"/>
              <w:jc w:val="left"/>
            </w:pPr>
            <w:r>
              <w:t xml:space="preserve">SCR-12 (Decision Pipeline Builder), CX-03 (Customer 360 predictions), CX-05 (Ask Cortex), A02/A04 (model training)</w:t>
            </w:r>
          </w:p>
        </w:tc>
      </w:tr>
      <w:tr>
        <w:tc>
          <w:tcPr/>
          <w:p>
            <w:pPr>
              <w:pStyle w:val="Compact"/>
              <w:jc w:val="left"/>
            </w:pPr>
            <w:r>
              <w:rPr>
                <w:bCs/>
                <w:b/>
              </w:rPr>
              <w:t xml:space="preserve">Owner</w:t>
            </w:r>
          </w:p>
        </w:tc>
        <w:tc>
          <w:tcPr/>
          <w:p>
            <w:pPr>
              <w:pStyle w:val="Compact"/>
              <w:jc w:val="left"/>
            </w:pPr>
            <w:r>
              <w:t xml:space="preserve">ML Platform Lead</w:t>
            </w:r>
          </w:p>
        </w:tc>
      </w:tr>
    </w:tbl>
    <w:bookmarkStart w:id="351" w:name="purpose-40"/>
    <w:p>
      <w:pPr>
        <w:pStyle w:val="Heading2"/>
      </w:pPr>
      <w:r>
        <w:t xml:space="preserve">Purpose</w:t>
      </w:r>
    </w:p>
    <w:p>
      <w:pPr>
        <w:pStyle w:val="FirstParagraph"/>
      </w:pPr>
      <w:r>
        <w:t xml:space="preserve">SCR-14 is the discovery and governance layer over A01 Feature Store. Analysts find features; algorithm managers publish and monitor features; governance tracks feature lineage, usage, and drift.</w:t>
      </w:r>
    </w:p>
    <w:bookmarkEnd w:id="351"/>
    <w:bookmarkStart w:id="356" w:name="functional-requirements-16"/>
    <w:p>
      <w:pPr>
        <w:pStyle w:val="Heading2"/>
      </w:pPr>
      <w:r>
        <w:t xml:space="preserve">Functional Requirements</w:t>
      </w:r>
    </w:p>
    <w:bookmarkStart w:id="352" w:name="feature-catalog"/>
    <w:p>
      <w:pPr>
        <w:pStyle w:val="Heading3"/>
      </w:pPr>
      <w:r>
        <w:t xml:space="preserve">Feature Catalog</w:t>
      </w:r>
    </w:p>
    <w:p>
      <w:pPr>
        <w:pStyle w:val="FirstParagraph"/>
      </w:pPr>
      <w:r>
        <w:rPr>
          <w:bCs/>
          <w:b/>
        </w:rPr>
        <w:t xml:space="preserve">SCR-14-FR-001</w:t>
      </w:r>
      <w:r>
        <w:t xml:space="preserve"> </w:t>
      </w:r>
      <w:r>
        <w:t xml:space="preserve">Browsable catalog of all features in the tenant's feature store, with columns: feature name, entity type (retail.Customer, retail.Product, etc.), description, type (numeric / categorical / boolean / embedding / temporal), computation mode (batch / online), freshness SLO, owner, tags, usage count, last updated.</w:t>
      </w:r>
    </w:p>
    <w:p>
      <w:pPr>
        <w:pStyle w:val="BodyText"/>
      </w:pPr>
      <w:r>
        <w:rPr>
          <w:bCs/>
          <w:b/>
        </w:rPr>
        <w:t xml:space="preserve">SCR-14-FR-002</w:t>
      </w:r>
      <w:r>
        <w:t xml:space="preserve"> </w:t>
      </w:r>
      <w:r>
        <w:t xml:space="preserve">Each feature detail page shows: full definition (source tables, computation SQL or Python), upstream dependencies, downstream consumers (models, decision pipelines, dashboards referencing this feature), distribution chart over last 30 days, drift score.</w:t>
      </w:r>
    </w:p>
    <w:p>
      <w:pPr>
        <w:pStyle w:val="BodyText"/>
      </w:pPr>
      <w:r>
        <w:rPr>
          <w:bCs/>
          <w:b/>
        </w:rPr>
        <w:t xml:space="preserve">SCR-14-FR-003</w:t>
      </w:r>
      <w:r>
        <w:t xml:space="preserve"> </w:t>
      </w:r>
      <w:r>
        <w:t xml:space="preserve">Search SHALL support name, description, tag, entity, and downstream-consumer search. Tag-based filtering supports governance workflows (e.g., 'show all features marked PII-derived').</w:t>
      </w:r>
    </w:p>
    <w:bookmarkEnd w:id="352"/>
    <w:bookmarkStart w:id="353" w:name="feature-authoring"/>
    <w:p>
      <w:pPr>
        <w:pStyle w:val="Heading3"/>
      </w:pPr>
      <w:r>
        <w:t xml:space="preserve">Feature Authoring</w:t>
      </w:r>
    </w:p>
    <w:p>
      <w:pPr>
        <w:pStyle w:val="FirstParagraph"/>
      </w:pPr>
      <w:r>
        <w:rPr>
          <w:bCs/>
          <w:b/>
        </w:rPr>
        <w:t xml:space="preserve">SCR-14-FR-004</w:t>
      </w:r>
      <w:r>
        <w:t xml:space="preserve"> </w:t>
      </w:r>
      <w:r>
        <w:t xml:space="preserve">New features MAY be authored via SCR-14 by users with Algorithm Manager role: name, definition (SQL against Silver or Gold, or Python on A01 runtime), computation mode (batch schedule or online streaming), refresh schedule, entity grain, test data preview. Commit triggers A01 pipeline to register, validate, and begin computation.</w:t>
      </w:r>
    </w:p>
    <w:p>
      <w:pPr>
        <w:pStyle w:val="BodyText"/>
      </w:pPr>
      <w:r>
        <w:rPr>
          <w:bCs/>
          <w:b/>
        </w:rPr>
        <w:t xml:space="preserve">SCR-14-FR-005</w:t>
      </w:r>
      <w:r>
        <w:t xml:space="preserve"> </w:t>
      </w:r>
      <w:r>
        <w:t xml:space="preserve">Feature definitions SHALL be version-controlled. Every change produces a new version; consuming models can pin to a specific version or auto-update. Breaking changes (type change, definition change) require downstream consumer migration.</w:t>
      </w:r>
    </w:p>
    <w:bookmarkEnd w:id="353"/>
    <w:bookmarkStart w:id="354" w:name="embeddings-from-e01"/>
    <w:p>
      <w:pPr>
        <w:pStyle w:val="Heading3"/>
      </w:pPr>
      <w:r>
        <w:t xml:space="preserve">Embeddings (from E01)</w:t>
      </w:r>
    </w:p>
    <w:p>
      <w:pPr>
        <w:pStyle w:val="FirstParagraph"/>
      </w:pPr>
      <w:r>
        <w:rPr>
          <w:bCs/>
          <w:b/>
        </w:rPr>
        <w:t xml:space="preserve">SCR-14-FR-006</w:t>
      </w:r>
      <w:r>
        <w:t xml:space="preserve"> </w:t>
      </w:r>
      <w:r>
        <w:t xml:space="preserve">Vector embedding features SHALL render with additional UI: dimension count, embedding model used, nearest-neighbour preview ('show the 10 products most similar to this one'), and a 2D UMAP projection of the embedding space for visual exploration.</w:t>
      </w:r>
    </w:p>
    <w:p>
      <w:pPr>
        <w:pStyle w:val="BodyText"/>
      </w:pPr>
      <w:r>
        <w:rPr>
          <w:bCs/>
          <w:b/>
        </w:rPr>
        <w:t xml:space="preserve">SCR-14-FR-007</w:t>
      </w:r>
      <w:r>
        <w:t xml:space="preserve"> </w:t>
      </w:r>
      <w:r>
        <w:t xml:space="preserve">Embedding governance: when the underlying embedding model is updated, SCR-14 surfaces a migration prompt with impact analysis — which features change, which consumers are affected, expected retraining cost.</w:t>
      </w:r>
    </w:p>
    <w:bookmarkEnd w:id="354"/>
    <w:bookmarkStart w:id="355" w:name="feature-monitoring"/>
    <w:p>
      <w:pPr>
        <w:pStyle w:val="Heading3"/>
      </w:pPr>
      <w:r>
        <w:t xml:space="preserve">Feature Monitoring</w:t>
      </w:r>
    </w:p>
    <w:p>
      <w:pPr>
        <w:pStyle w:val="FirstParagraph"/>
      </w:pPr>
      <w:r>
        <w:rPr>
          <w:bCs/>
          <w:b/>
        </w:rPr>
        <w:t xml:space="preserve">SCR-14-FR-008</w:t>
      </w:r>
      <w:r>
        <w:t xml:space="preserve"> </w:t>
      </w:r>
      <w:r>
        <w:t xml:space="preserve">Drift detection: each feature SHALL be monitored for distribution shift. When drift exceeds configurable threshold (default: KL divergence greater than 0.2 vs 30-day reference), an incident appears in SCR-10 and SCR-14 with a visual diff of current vs reference distribution.</w:t>
      </w:r>
    </w:p>
    <w:p>
      <w:pPr>
        <w:pStyle w:val="BodyText"/>
      </w:pPr>
      <w:r>
        <w:rPr>
          <w:bCs/>
          <w:b/>
        </w:rPr>
        <w:t xml:space="preserve">SCR-14-FR-009</w:t>
      </w:r>
      <w:r>
        <w:t xml:space="preserve"> </w:t>
      </w:r>
      <w:r>
        <w:t xml:space="preserve">Usage telemetry: features unused by any model or pipeline for over 60 days are flagged as deprecation candidates. Algorithm Manager reviews and confirms retirement.</w:t>
      </w:r>
    </w:p>
    <w:bookmarkEnd w:id="355"/>
    <w:bookmarkEnd w:id="356"/>
    <w:bookmarkStart w:id="357" w:name="acceptance-criteria-31"/>
    <w:p>
      <w:pPr>
        <w:pStyle w:val="Heading2"/>
      </w:pPr>
      <w:r>
        <w:t xml:space="preserve">Acceptance Criteria</w:t>
      </w:r>
    </w:p>
    <w:p>
      <w:pPr>
        <w:numPr>
          <w:ilvl w:val="0"/>
          <w:numId w:val="1009"/>
        </w:numPr>
      </w:pPr>
      <w:r>
        <w:t xml:space="preserve">An algorithm manager can find any feature in the tenant by name, entity, or tag in under 30 seconds.</w:t>
      </w:r>
    </w:p>
    <w:p>
      <w:pPr>
        <w:numPr>
          <w:ilvl w:val="0"/>
          <w:numId w:val="1009"/>
        </w:numPr>
      </w:pPr>
      <w:r>
        <w:t xml:space="preserve">Every feature shows its downstream consumers explicitly — deprecation impact is visible before any feature is retired.</w:t>
      </w:r>
    </w:p>
    <w:p>
      <w:pPr>
        <w:numPr>
          <w:ilvl w:val="0"/>
          <w:numId w:val="1009"/>
        </w:numPr>
      </w:pPr>
      <w:r>
        <w:t xml:space="preserve">Feature drift incidents produce an actionable, linked artifact in SCR-10 within 1 hour of detection.</w:t>
      </w:r>
    </w:p>
    <w:p>
      <w:pPr>
        <w:numPr>
          <w:ilvl w:val="0"/>
          <w:numId w:val="1009"/>
        </w:numPr>
      </w:pPr>
      <w:r>
        <w:t xml:space="preserve">A new feature goes from authoring to first value in the feature store in under 15 minutes for batch features, under 2 minutes for online features.</w:t>
      </w:r>
    </w:p>
    <w:bookmarkEnd w:id="357"/>
    <w:bookmarkEnd w:id="358"/>
    <w:bookmarkStart w:id="366" w:name="scr-17-integration-action-hub-console"/>
    <w:p>
      <w:pPr>
        <w:pStyle w:val="Heading1"/>
      </w:pPr>
      <w:r>
        <w:t xml:space="preserve">SCR-17 — Integration &amp; Action Hub Console</w:t>
      </w:r>
    </w:p>
    <w:tbl>
      <w:tblPr>
        <w:tblStyle w:val="Table"/>
        <w:tblW w:type="pct" w:w="4917"/>
        <w:tblLook w:firstRow="0" w:lastRow="0" w:firstColumn="0" w:lastColumn="0" w:noHBand="0" w:noVBand="0" w:val="0000"/>
        <w:jc w:val="start"/>
      </w:tblPr>
      <w:tblGrid>
        <w:gridCol w:w="1440"/>
        <w:gridCol w:w="6349"/>
      </w:tblGrid>
      <w:tr>
        <w:tc>
          <w:tcPr/>
          <w:p>
            <w:pPr>
              <w:pStyle w:val="Compact"/>
              <w:jc w:val="left"/>
            </w:pPr>
            <w:r>
              <w:rPr>
                <w:bCs/>
                <w:b/>
              </w:rPr>
              <w:t xml:space="preserve">Module ID</w:t>
            </w:r>
          </w:p>
        </w:tc>
        <w:tc>
          <w:tcPr/>
          <w:p>
            <w:pPr>
              <w:pStyle w:val="Compact"/>
              <w:jc w:val="left"/>
            </w:pPr>
            <w:r>
              <w:t xml:space="preserve">SCR-17</w:t>
            </w:r>
          </w:p>
        </w:tc>
      </w:tr>
      <w:tr>
        <w:tc>
          <w:tcPr/>
          <w:p>
            <w:pPr>
              <w:pStyle w:val="Compact"/>
              <w:jc w:val="left"/>
            </w:pPr>
            <w:r>
              <w:rPr>
                <w:bCs/>
                <w:b/>
              </w:rPr>
              <w:t xml:space="preserve">Phase</w:t>
            </w:r>
          </w:p>
        </w:tc>
        <w:tc>
          <w:tcPr/>
          <w:p>
            <w:pPr>
              <w:pStyle w:val="Compact"/>
              <w:jc w:val="left"/>
            </w:pPr>
            <w:r>
              <w:t xml:space="preserve">1 (core channels) + Phase 2 (full expansion)</w:t>
            </w:r>
          </w:p>
        </w:tc>
      </w:tr>
      <w:tr>
        <w:tc>
          <w:tcPr/>
          <w:p>
            <w:pPr>
              <w:pStyle w:val="Compact"/>
              <w:jc w:val="left"/>
            </w:pPr>
            <w:r>
              <w:rPr>
                <w:bCs/>
                <w:b/>
              </w:rPr>
              <w:t xml:space="preserve">Complexity</w:t>
            </w:r>
          </w:p>
        </w:tc>
        <w:tc>
          <w:tcPr/>
          <w:p>
            <w:pPr>
              <w:pStyle w:val="Compact"/>
              <w:jc w:val="left"/>
            </w:pPr>
            <w:r>
              <w:t xml:space="preserve">Medium</w:t>
            </w:r>
          </w:p>
        </w:tc>
      </w:tr>
      <w:tr>
        <w:tc>
          <w:tcPr/>
          <w:p>
            <w:pPr>
              <w:pStyle w:val="Compact"/>
              <w:jc w:val="left"/>
            </w:pPr>
            <w:r>
              <w:rPr>
                <w:bCs/>
                <w:b/>
              </w:rPr>
              <w:t xml:space="preserve">Dependencies</w:t>
            </w:r>
          </w:p>
        </w:tc>
        <w:tc>
          <w:tcPr/>
          <w:p>
            <w:pPr>
              <w:pStyle w:val="Compact"/>
              <w:jc w:val="left"/>
            </w:pPr>
            <w:r>
              <w:t xml:space="preserve">O04 (Integration &amp; Action Hub), O02 (Alerts), AC03 (Consent), PR01 (Purposes), FB02 (Outcomes)</w:t>
            </w:r>
          </w:p>
        </w:tc>
      </w:tr>
      <w:tr>
        <w:tc>
          <w:tcPr/>
          <w:p>
            <w:pPr>
              <w:pStyle w:val="Compact"/>
              <w:jc w:val="left"/>
            </w:pPr>
            <w:r>
              <w:rPr>
                <w:bCs/>
                <w:b/>
              </w:rPr>
              <w:t xml:space="preserve">Depended On By</w:t>
            </w:r>
          </w:p>
        </w:tc>
        <w:tc>
          <w:tcPr/>
          <w:p>
            <w:pPr>
              <w:pStyle w:val="Compact"/>
              <w:jc w:val="left"/>
            </w:pPr>
            <w:r>
              <w:t xml:space="preserve">A03 decision pipelines, O02 alert actions, all outbound customer communications</w:t>
            </w:r>
          </w:p>
        </w:tc>
      </w:tr>
      <w:tr>
        <w:tc>
          <w:tcPr/>
          <w:p>
            <w:pPr>
              <w:pStyle w:val="Compact"/>
              <w:jc w:val="left"/>
            </w:pPr>
            <w:r>
              <w:rPr>
                <w:bCs/>
                <w:b/>
              </w:rPr>
              <w:t xml:space="preserve">Owner</w:t>
            </w:r>
          </w:p>
        </w:tc>
        <w:tc>
          <w:tcPr/>
          <w:p>
            <w:pPr>
              <w:pStyle w:val="Compact"/>
              <w:jc w:val="left"/>
            </w:pPr>
            <w:r>
              <w:t xml:space="preserve">Platform Engineering Lead</w:t>
            </w:r>
          </w:p>
        </w:tc>
      </w:tr>
    </w:tbl>
    <w:bookmarkStart w:id="359" w:name="purpose-41"/>
    <w:p>
      <w:pPr>
        <w:pStyle w:val="Heading2"/>
      </w:pPr>
      <w:r>
        <w:t xml:space="preserve">Purpose</w:t>
      </w:r>
    </w:p>
    <w:p>
      <w:pPr>
        <w:pStyle w:val="FirstParagraph"/>
      </w:pPr>
      <w:r>
        <w:t xml:space="preserve">SCR-17 is the configuration and observability layer for O04. Tenants connect outbound channels here (email, SMS, WhatsApp, webhooks, CRM push, dialer integrations), author templates, monitor delivery, and close the feedback loop with response tracking into FB02.</w:t>
      </w:r>
    </w:p>
    <w:bookmarkEnd w:id="359"/>
    <w:bookmarkStart w:id="364" w:name="functional-requirements-17"/>
    <w:p>
      <w:pPr>
        <w:pStyle w:val="Heading2"/>
      </w:pPr>
      <w:r>
        <w:t xml:space="preserve">Functional Requirements</w:t>
      </w:r>
    </w:p>
    <w:bookmarkStart w:id="360" w:name="channel-registry"/>
    <w:p>
      <w:pPr>
        <w:pStyle w:val="Heading3"/>
      </w:pPr>
      <w:r>
        <w:t xml:space="preserve">Channel Registry</w:t>
      </w:r>
    </w:p>
    <w:p>
      <w:pPr>
        <w:pStyle w:val="FirstParagraph"/>
      </w:pPr>
      <w:r>
        <w:rPr>
          <w:bCs/>
          <w:b/>
        </w:rPr>
        <w:t xml:space="preserve">SCR-17-FR-001</w:t>
      </w:r>
      <w:r>
        <w:t xml:space="preserve"> </w:t>
      </w:r>
      <w:r>
        <w:t xml:space="preserve">The Channel catalog SHALL show every enabled outbound channel for the tenant: type (email / SMS / WhatsApp / webhook / CRM push / dialer), provider, status (active / paused / error), rate limits, operating hours, last delivery timestamp, rolling 7-day error rate. Add Channel wizard guides through provider credentials (stored via KMS envelope encryption), domain/sender verification, and test send.</w:t>
      </w:r>
    </w:p>
    <w:p>
      <w:pPr>
        <w:pStyle w:val="BodyText"/>
      </w:pPr>
      <w:r>
        <w:rPr>
          <w:bCs/>
          <w:b/>
        </w:rPr>
        <w:t xml:space="preserve">SCR-17-FR-002</w:t>
      </w:r>
      <w:r>
        <w:t xml:space="preserve"> </w:t>
      </w:r>
      <w:r>
        <w:t xml:space="preserve">Supported providers at launch: SendGrid and Amazon SES for email; Twilio and MSG91 for SMS; Meta WhatsApp Business API (direct and via BSPs Gupshup and AiSensy); generic HTTPS webhooks; Salesforce and HubSpot for CRM push. Additional providers added via plugin architecture from DX01.</w:t>
      </w:r>
    </w:p>
    <w:bookmarkEnd w:id="360"/>
    <w:bookmarkStart w:id="361" w:name="template-library"/>
    <w:p>
      <w:pPr>
        <w:pStyle w:val="Heading3"/>
      </w:pPr>
      <w:r>
        <w:t xml:space="preserve">Template Library</w:t>
      </w:r>
    </w:p>
    <w:p>
      <w:pPr>
        <w:pStyle w:val="FirstParagraph"/>
      </w:pPr>
      <w:r>
        <w:rPr>
          <w:bCs/>
          <w:b/>
        </w:rPr>
        <w:t xml:space="preserve">SCR-17-FR-003</w:t>
      </w:r>
      <w:r>
        <w:t xml:space="preserve"> </w:t>
      </w:r>
      <w:r>
        <w:t xml:space="preserve">Per channel, tenants SHALL author templates: name, channel type, content with variable interpolation ({{entity.attribute}}), language variant (IC02 multi-locale), consent purpose (linked to PR01 — template usable only for this purpose), test-send control.</w:t>
      </w:r>
    </w:p>
    <w:p>
      <w:pPr>
        <w:pStyle w:val="BodyText"/>
      </w:pPr>
      <w:r>
        <w:rPr>
          <w:bCs/>
          <w:b/>
        </w:rPr>
        <w:t xml:space="preserve">SCR-17-FR-004</w:t>
      </w:r>
      <w:r>
        <w:t xml:space="preserve"> </w:t>
      </w:r>
      <w:r>
        <w:t xml:space="preserve">WhatsApp templates SHALL follow Meta's approval workflow — draft in SCR-17, submit to Meta, track approval status, auto-enable on approval. Rejected templates show Meta's reason and an edit path.</w:t>
      </w:r>
    </w:p>
    <w:p>
      <w:pPr>
        <w:pStyle w:val="BodyText"/>
      </w:pPr>
      <w:r>
        <w:rPr>
          <w:bCs/>
          <w:b/>
        </w:rPr>
        <w:t xml:space="preserve">SCR-17-FR-005</w:t>
      </w:r>
      <w:r>
        <w:t xml:space="preserve"> </w:t>
      </w:r>
      <w:r>
        <w:t xml:space="preserve">Template testing: one-click test send to a nominated test recipient, with delivery receipt and rendering preview (for email, multi-client preview: Gmail, Outlook, Apple Mail).</w:t>
      </w:r>
    </w:p>
    <w:bookmarkEnd w:id="361"/>
    <w:bookmarkStart w:id="362" w:name="delivery-monitor"/>
    <w:p>
      <w:pPr>
        <w:pStyle w:val="Heading3"/>
      </w:pPr>
      <w:r>
        <w:t xml:space="preserve">Delivery Monitor</w:t>
      </w:r>
    </w:p>
    <w:p>
      <w:pPr>
        <w:pStyle w:val="FirstParagraph"/>
      </w:pPr>
      <w:r>
        <w:rPr>
          <w:bCs/>
          <w:b/>
        </w:rPr>
        <w:t xml:space="preserve">SCR-17-FR-006</w:t>
      </w:r>
      <w:r>
        <w:t xml:space="preserve"> </w:t>
      </w:r>
      <w:r>
        <w:t xml:space="preserve">Real-time delivery feed SHALL show every outbound action with status (queued / sent / delivered / failed / consent-blocked / rate-limited / bounced / complained). Filterable by channel, template, recipient hierarchy, time range, status.</w:t>
      </w:r>
    </w:p>
    <w:p>
      <w:pPr>
        <w:pStyle w:val="BodyText"/>
      </w:pPr>
      <w:r>
        <w:rPr>
          <w:bCs/>
          <w:b/>
        </w:rPr>
        <w:t xml:space="preserve">SCR-17-FR-007</w:t>
      </w:r>
      <w:r>
        <w:t xml:space="preserve"> </w:t>
      </w:r>
      <w:r>
        <w:t xml:space="preserve">Consent-blocked actions SHALL show the specific consent state that blocked delivery (missing channel opt-in, missing purpose consent, withdrawn consent, expired consent) with a deep-link to SCR-16 Consent Manager for the affected entity.</w:t>
      </w:r>
    </w:p>
    <w:bookmarkEnd w:id="362"/>
    <w:bookmarkStart w:id="363" w:name="response-tracking-feedback-loop"/>
    <w:p>
      <w:pPr>
        <w:pStyle w:val="Heading3"/>
      </w:pPr>
      <w:r>
        <w:t xml:space="preserve">Response Tracking &amp; Feedback Loop</w:t>
      </w:r>
    </w:p>
    <w:p>
      <w:pPr>
        <w:pStyle w:val="FirstParagraph"/>
      </w:pPr>
      <w:r>
        <w:rPr>
          <w:bCs/>
          <w:b/>
        </w:rPr>
        <w:t xml:space="preserve">SCR-17-FR-008</w:t>
      </w:r>
      <w:r>
        <w:t xml:space="preserve"> </w:t>
      </w:r>
      <w:r>
        <w:t xml:space="preserve">Inbound events (email opens, link clicks, WhatsApp replies, CRM outcome updates, webhook callbacks) SHALL flow back into FB02 and surface in SCR-17 linked to the originating outbound action. Aggregate response rates per template, per channel, per segment are visible on channel and template detail pages.</w:t>
      </w:r>
    </w:p>
    <w:p>
      <w:pPr>
        <w:pStyle w:val="BodyText"/>
      </w:pPr>
      <w:r>
        <w:rPr>
          <w:bCs/>
          <w:b/>
        </w:rPr>
        <w:t xml:space="preserve">SCR-17-FR-009</w:t>
      </w:r>
      <w:r>
        <w:t xml:space="preserve"> </w:t>
      </w:r>
      <w:r>
        <w:t xml:space="preserve">Template effectiveness scoring: SCR-17 SHALL compute and display per-template conversion rate, response rate, and unsubscribe rate. Underperforming templates are flagged; a recommend-alternative button suggests higher-performing variants from the tenant's template library.</w:t>
      </w:r>
    </w:p>
    <w:bookmarkEnd w:id="363"/>
    <w:bookmarkEnd w:id="364"/>
    <w:bookmarkStart w:id="365" w:name="acceptance-criteria-32"/>
    <w:p>
      <w:pPr>
        <w:pStyle w:val="Heading2"/>
      </w:pPr>
      <w:r>
        <w:t xml:space="preserve">Acceptance Criteria</w:t>
      </w:r>
    </w:p>
    <w:p>
      <w:pPr>
        <w:numPr>
          <w:ilvl w:val="0"/>
          <w:numId w:val="1010"/>
        </w:numPr>
      </w:pPr>
      <w:r>
        <w:t xml:space="preserve">A new channel can be configured, verified, and put into production in under 30 minutes, excluding third-party approval delays (e.g., WhatsApp Business) that are outside Sevyn8's control.</w:t>
      </w:r>
    </w:p>
    <w:p>
      <w:pPr>
        <w:numPr>
          <w:ilvl w:val="0"/>
          <w:numId w:val="1010"/>
        </w:numPr>
      </w:pPr>
      <w:r>
        <w:t xml:space="preserve">100% of consent-blocked outbound actions are explainable from SCR-17 with a direct link to the consent state that caused the block — no mystery blocks.</w:t>
      </w:r>
    </w:p>
    <w:p>
      <w:pPr>
        <w:numPr>
          <w:ilvl w:val="0"/>
          <w:numId w:val="1010"/>
        </w:numPr>
      </w:pPr>
      <w:r>
        <w:t xml:space="preserve">Template response rate aggregates update within 1 hour of inbound event receipt from the respective provider.</w:t>
      </w:r>
    </w:p>
    <w:p>
      <w:pPr>
        <w:numPr>
          <w:ilvl w:val="0"/>
          <w:numId w:val="1010"/>
        </w:numPr>
      </w:pPr>
      <w:r>
        <w:t xml:space="preserve">A template failing Meta's WhatsApp approval receives actionable feedback in SCR-17 within 5 minutes of the rejection webhook.</w:t>
      </w:r>
    </w:p>
    <w:bookmarkEnd w:id="365"/>
    <w:bookmarkEnd w:id="366"/>
    <w:bookmarkStart w:id="375" w:name="X481e0b615f539451336a96a2b5d36d33de6225a"/>
    <w:p>
      <w:pPr>
        <w:pStyle w:val="Heading1"/>
      </w:pPr>
      <w:r>
        <w:t xml:space="preserve">SCR-18 — Developer Portal (API Keys, Webhooks, SDKs)</w:t>
      </w:r>
    </w:p>
    <w:tbl>
      <w:tblPr>
        <w:tblStyle w:val="Table"/>
        <w:tblW w:type="pct" w:w="4913"/>
        <w:tblLook w:firstRow="0" w:lastRow="0" w:firstColumn="0" w:lastColumn="0" w:noHBand="0" w:noVBand="0" w:val="0000"/>
        <w:jc w:val="start"/>
      </w:tblPr>
      <w:tblGrid>
        <w:gridCol w:w="1515"/>
        <w:gridCol w:w="6267"/>
      </w:tblGrid>
      <w:tr>
        <w:tc>
          <w:tcPr/>
          <w:p>
            <w:pPr>
              <w:pStyle w:val="Compact"/>
              <w:jc w:val="left"/>
            </w:pPr>
            <w:r>
              <w:rPr>
                <w:bCs/>
                <w:b/>
              </w:rPr>
              <w:t xml:space="preserve">Module ID</w:t>
            </w:r>
          </w:p>
        </w:tc>
        <w:tc>
          <w:tcPr/>
          <w:p>
            <w:pPr>
              <w:pStyle w:val="Compact"/>
              <w:jc w:val="left"/>
            </w:pPr>
            <w:r>
              <w:t xml:space="preserve">SCR-18</w:t>
            </w:r>
          </w:p>
        </w:tc>
      </w:tr>
      <w:tr>
        <w:tc>
          <w:tcPr/>
          <w:p>
            <w:pPr>
              <w:pStyle w:val="Compact"/>
              <w:jc w:val="left"/>
            </w:pPr>
            <w:r>
              <w:rPr>
                <w:bCs/>
                <w:b/>
              </w:rPr>
              <w:t xml:space="preserve">Phase</w:t>
            </w:r>
          </w:p>
        </w:tc>
        <w:tc>
          <w:tcPr/>
          <w:p>
            <w:pPr>
              <w:pStyle w:val="Compact"/>
              <w:jc w:val="left"/>
            </w:pPr>
            <w:r>
              <w:t xml:space="preserve">1 (core) + Phase 2 (full SDK experience)</w:t>
            </w:r>
          </w:p>
        </w:tc>
      </w:tr>
      <w:tr>
        <w:tc>
          <w:tcPr/>
          <w:p>
            <w:pPr>
              <w:pStyle w:val="Compact"/>
              <w:jc w:val="left"/>
            </w:pPr>
            <w:r>
              <w:rPr>
                <w:bCs/>
                <w:b/>
              </w:rPr>
              <w:t xml:space="preserve">Complexity</w:t>
            </w:r>
          </w:p>
        </w:tc>
        <w:tc>
          <w:tcPr/>
          <w:p>
            <w:pPr>
              <w:pStyle w:val="Compact"/>
              <w:jc w:val="left"/>
            </w:pPr>
            <w:r>
              <w:t xml:space="preserve">Medium</w:t>
            </w:r>
          </w:p>
        </w:tc>
      </w:tr>
      <w:tr>
        <w:tc>
          <w:tcPr/>
          <w:p>
            <w:pPr>
              <w:pStyle w:val="Compact"/>
              <w:jc w:val="left"/>
            </w:pPr>
            <w:r>
              <w:rPr>
                <w:bCs/>
                <w:b/>
              </w:rPr>
              <w:t xml:space="preserve">Dependencies</w:t>
            </w:r>
          </w:p>
        </w:tc>
        <w:tc>
          <w:tcPr/>
          <w:p>
            <w:pPr>
              <w:pStyle w:val="Compact"/>
              <w:jc w:val="left"/>
            </w:pPr>
            <w:r>
              <w:t xml:space="preserve">O01 (API Gateway), DX01 (SDK &amp; Extensibility), AC01 (RBAC), OB03 (Metering), SCR-20 (Audit)</w:t>
            </w:r>
          </w:p>
        </w:tc>
      </w:tr>
      <w:tr>
        <w:tc>
          <w:tcPr/>
          <w:p>
            <w:pPr>
              <w:pStyle w:val="Compact"/>
              <w:jc w:val="left"/>
            </w:pPr>
            <w:r>
              <w:rPr>
                <w:bCs/>
                <w:b/>
              </w:rPr>
              <w:t xml:space="preserve">Depended On By</w:t>
            </w:r>
          </w:p>
        </w:tc>
        <w:tc>
          <w:tcPr/>
          <w:p>
            <w:pPr>
              <w:pStyle w:val="Compact"/>
              <w:jc w:val="left"/>
            </w:pPr>
            <w:r>
              <w:t xml:space="preserve">Any tenant with programmatic integration; third-party partners building on Cortex</w:t>
            </w:r>
          </w:p>
        </w:tc>
      </w:tr>
      <w:tr>
        <w:tc>
          <w:tcPr/>
          <w:p>
            <w:pPr>
              <w:pStyle w:val="Compact"/>
              <w:jc w:val="left"/>
            </w:pPr>
            <w:r>
              <w:rPr>
                <w:bCs/>
                <w:b/>
              </w:rPr>
              <w:t xml:space="preserve">Owner</w:t>
            </w:r>
          </w:p>
        </w:tc>
        <w:tc>
          <w:tcPr/>
          <w:p>
            <w:pPr>
              <w:pStyle w:val="Compact"/>
              <w:jc w:val="left"/>
            </w:pPr>
            <w:r>
              <w:t xml:space="preserve">Developer Experience Lead</w:t>
            </w:r>
          </w:p>
        </w:tc>
      </w:tr>
    </w:tbl>
    <w:bookmarkStart w:id="367" w:name="purpose-42"/>
    <w:p>
      <w:pPr>
        <w:pStyle w:val="Heading2"/>
      </w:pPr>
      <w:r>
        <w:t xml:space="preserve">Purpose</w:t>
      </w:r>
    </w:p>
    <w:p>
      <w:pPr>
        <w:pStyle w:val="FirstParagraph"/>
      </w:pPr>
      <w:r>
        <w:t xml:space="preserve">SCR-18 gives developers working on behalf of a tenant everything they need to integrate with Cortex: API documentation, authentication credentials, webhook registration and inspection, SDK downloads, sample code, sandbox access, and usage observability. It is the front door for every programmatic consumer.</w:t>
      </w:r>
    </w:p>
    <w:bookmarkEnd w:id="367"/>
    <w:bookmarkStart w:id="373" w:name="functional-requirements-18"/>
    <w:p>
      <w:pPr>
        <w:pStyle w:val="Heading2"/>
      </w:pPr>
      <w:r>
        <w:t xml:space="preserve">Functional Requirements</w:t>
      </w:r>
    </w:p>
    <w:bookmarkStart w:id="368" w:name="api-keys-service-accounts"/>
    <w:p>
      <w:pPr>
        <w:pStyle w:val="Heading3"/>
      </w:pPr>
      <w:r>
        <w:t xml:space="preserve">API Keys &amp; Service Accounts</w:t>
      </w:r>
    </w:p>
    <w:p>
      <w:pPr>
        <w:pStyle w:val="FirstParagraph"/>
      </w:pPr>
      <w:r>
        <w:rPr>
          <w:bCs/>
          <w:b/>
        </w:rPr>
        <w:t xml:space="preserve">SCR-18-FR-001</w:t>
      </w:r>
      <w:r>
        <w:t xml:space="preserve"> </w:t>
      </w:r>
      <w:r>
        <w:t xml:space="preserve">Key management UI SHALL support: create / rotate / revoke API keys scoped to role(s), hierarchy scope, allowed endpoints, IP allowlist (optional), rate limit tier, expiry date. Keys are displayed in full exactly once at creation; thereafter, only the last 4 characters are visible. All key operations are audit-logged to SCR-20.</w:t>
      </w:r>
    </w:p>
    <w:p>
      <w:pPr>
        <w:pStyle w:val="BodyText"/>
      </w:pPr>
      <w:r>
        <w:rPr>
          <w:bCs/>
          <w:b/>
        </w:rPr>
        <w:t xml:space="preserve">SCR-18-FR-002</w:t>
      </w:r>
      <w:r>
        <w:t xml:space="preserve"> </w:t>
      </w:r>
      <w:r>
        <w:t xml:space="preserve">Service Accounts SHALL be first-class identities — not human users — with their own key sets, dedicated quota, separate audit trails, and machine-readable metadata (owner team, purpose, lifecycle notes).</w:t>
      </w:r>
    </w:p>
    <w:p>
      <w:pPr>
        <w:pStyle w:val="BodyText"/>
      </w:pPr>
      <w:r>
        <w:rPr>
          <w:bCs/>
          <w:b/>
        </w:rPr>
        <w:t xml:space="preserve">SCR-18-FR-003</w:t>
      </w:r>
      <w:r>
        <w:t xml:space="preserve"> </w:t>
      </w:r>
      <w:r>
        <w:t xml:space="preserve">Key rotation SHALL support zero-downtime: a new key can be issued while the old one remains valid for a configurable overlap window (default 7 days), with usage-of-old-key telemetry visible in SCR-18 to confirm migration completeness before revocation.</w:t>
      </w:r>
    </w:p>
    <w:bookmarkEnd w:id="368"/>
    <w:bookmarkStart w:id="369" w:name="webhook-registry"/>
    <w:p>
      <w:pPr>
        <w:pStyle w:val="Heading3"/>
      </w:pPr>
      <w:r>
        <w:t xml:space="preserve">Webhook Registry</w:t>
      </w:r>
    </w:p>
    <w:p>
      <w:pPr>
        <w:pStyle w:val="FirstParagraph"/>
      </w:pPr>
      <w:r>
        <w:rPr>
          <w:bCs/>
          <w:b/>
        </w:rPr>
        <w:t xml:space="preserve">SCR-18-FR-004</w:t>
      </w:r>
      <w:r>
        <w:t xml:space="preserve"> </w:t>
      </w:r>
      <w:r>
        <w:t xml:space="preserve">Developers SHALL register outbound webhooks (Cortex → external system) by: target URL, event types subscribed (catalog: entity.created, entity.updated, decision.emitted, alert.fired, quality.violated, ingestion.completed, schema.changed, consent.withdrawn, etc.), signing secret (HMAC-SHA256), retry policy (exponential backoff, max attempts, timeout), event filter expression (restricted expression language matching entity attributes).</w:t>
      </w:r>
    </w:p>
    <w:p>
      <w:pPr>
        <w:pStyle w:val="BodyText"/>
      </w:pPr>
      <w:r>
        <w:rPr>
          <w:bCs/>
          <w:b/>
        </w:rPr>
        <w:t xml:space="preserve">SCR-18-FR-005</w:t>
      </w:r>
      <w:r>
        <w:t xml:space="preserve"> </w:t>
      </w:r>
      <w:r>
        <w:t xml:space="preserve">Webhook inspector SHALL provide a live view of the last 100 deliveries per webhook: request payload (pretty-printed JSON), response status, latency, retry count, failure reason. Replay controls allow manual re-delivery of failed events.</w:t>
      </w:r>
    </w:p>
    <w:p>
      <w:pPr>
        <w:pStyle w:val="BodyText"/>
      </w:pPr>
      <w:r>
        <w:rPr>
          <w:bCs/>
          <w:b/>
        </w:rPr>
        <w:t xml:space="preserve">SCR-18-FR-006</w:t>
      </w:r>
      <w:r>
        <w:t xml:space="preserve"> </w:t>
      </w:r>
      <w:r>
        <w:t xml:space="preserve">Webhook health: endpoints returning non-2xx responses for over 1 hour are automatically paused with email notification to the registered owner. Re-enable requires explicit action after fixing the endpoint.</w:t>
      </w:r>
    </w:p>
    <w:bookmarkEnd w:id="369"/>
    <w:bookmarkStart w:id="370" w:name="api-documentation"/>
    <w:p>
      <w:pPr>
        <w:pStyle w:val="Heading3"/>
      </w:pPr>
      <w:r>
        <w:t xml:space="preserve">API Documentation</w:t>
      </w:r>
    </w:p>
    <w:p>
      <w:pPr>
        <w:pStyle w:val="FirstParagraph"/>
      </w:pPr>
      <w:r>
        <w:rPr>
          <w:bCs/>
          <w:b/>
        </w:rPr>
        <w:t xml:space="preserve">SCR-18-FR-007</w:t>
      </w:r>
      <w:r>
        <w:t xml:space="preserve"> </w:t>
      </w:r>
      <w:r>
        <w:t xml:space="preserve">Interactive API reference SHALL render from O01's OpenAPI specification: endpoint catalog organised by resource, request/response schemas, try-it-live against the tenant's sandbox environment, generated code samples in cURL, TypeScript, Python, and Go.</w:t>
      </w:r>
    </w:p>
    <w:p>
      <w:pPr>
        <w:pStyle w:val="BodyText"/>
      </w:pPr>
      <w:r>
        <w:rPr>
          <w:bCs/>
          <w:b/>
        </w:rPr>
        <w:t xml:space="preserve">SCR-18-FR-008</w:t>
      </w:r>
      <w:r>
        <w:t xml:space="preserve"> </w:t>
      </w:r>
      <w:r>
        <w:t xml:space="preserve">Authentication documentation SHALL cover API keys, service accounts, OAuth2 (for user-delegated access), HMAC webhook signatures, and MCP client configuration (for agent-native integrations with Cortex Core, Edge, and Admin/Ops MCP servers).</w:t>
      </w:r>
    </w:p>
    <w:bookmarkEnd w:id="370"/>
    <w:bookmarkStart w:id="371" w:name="sandbox-environment"/>
    <w:p>
      <w:pPr>
        <w:pStyle w:val="Heading3"/>
      </w:pPr>
      <w:r>
        <w:t xml:space="preserve">Sandbox Environment</w:t>
      </w:r>
    </w:p>
    <w:p>
      <w:pPr>
        <w:pStyle w:val="FirstParagraph"/>
      </w:pPr>
      <w:r>
        <w:rPr>
          <w:bCs/>
          <w:b/>
        </w:rPr>
        <w:t xml:space="preserve">SCR-18-FR-009</w:t>
      </w:r>
      <w:r>
        <w:t xml:space="preserve"> </w:t>
      </w:r>
      <w:r>
        <w:t xml:space="preserve">Each tenant SHALL have a dedicated Sandbox environment with synthetic data matching their vertical's ontology. Sandbox is isolated from production — no data leakage between environments, no billing against production quotas. Developers iterate in sandbox before promoting integrations to production.</w:t>
      </w:r>
    </w:p>
    <w:p>
      <w:pPr>
        <w:pStyle w:val="BodyText"/>
      </w:pPr>
      <w:r>
        <w:rPr>
          <w:bCs/>
          <w:b/>
        </w:rPr>
        <w:t xml:space="preserve">SCR-18-FR-010</w:t>
      </w:r>
      <w:r>
        <w:t xml:space="preserve"> </w:t>
      </w:r>
      <w:r>
        <w:t xml:space="preserve">Sandbox data reset: admins MAY reset the sandbox to a clean synthetic snapshot at any time without affecting production or billing.</w:t>
      </w:r>
    </w:p>
    <w:bookmarkEnd w:id="371"/>
    <w:bookmarkStart w:id="372" w:name="sdks-samples"/>
    <w:p>
      <w:pPr>
        <w:pStyle w:val="Heading3"/>
      </w:pPr>
      <w:r>
        <w:t xml:space="preserve">SDKs &amp; Samples</w:t>
      </w:r>
    </w:p>
    <w:p>
      <w:pPr>
        <w:pStyle w:val="FirstParagraph"/>
      </w:pPr>
      <w:r>
        <w:rPr>
          <w:bCs/>
          <w:b/>
        </w:rPr>
        <w:t xml:space="preserve">SCR-18-FR-011</w:t>
      </w:r>
      <w:r>
        <w:t xml:space="preserve"> </w:t>
      </w:r>
      <w:r>
        <w:t xml:space="preserve">Downloadable SDKs (from DX01) SHALL be available in TypeScript, Python, and Go, with installation instructions, quickstart guides, and sample projects scoped to the tenant's most common integration patterns: ingest a CSV, read KPIs, subscribe to alerts, push a decision outcome back to Cortex.</w:t>
      </w:r>
    </w:p>
    <w:p>
      <w:pPr>
        <w:pStyle w:val="BodyText"/>
      </w:pPr>
      <w:r>
        <w:rPr>
          <w:bCs/>
          <w:b/>
        </w:rPr>
        <w:t xml:space="preserve">SCR-18-FR-012</w:t>
      </w:r>
      <w:r>
        <w:t xml:space="preserve"> </w:t>
      </w:r>
      <w:r>
        <w:t xml:space="preserve">Changelog and status page SHALL be accessible from SCR-18: API version history, deprecation notices, scheduled maintenance windows, current platform incident status (linked to RE01).</w:t>
      </w:r>
    </w:p>
    <w:bookmarkEnd w:id="372"/>
    <w:bookmarkEnd w:id="373"/>
    <w:bookmarkStart w:id="374" w:name="acceptance-criteria-33"/>
    <w:p>
      <w:pPr>
        <w:pStyle w:val="Heading2"/>
      </w:pPr>
      <w:r>
        <w:t xml:space="preserve">Acceptance Criteria</w:t>
      </w:r>
    </w:p>
    <w:p>
      <w:pPr>
        <w:numPr>
          <w:ilvl w:val="0"/>
          <w:numId w:val="1011"/>
        </w:numPr>
      </w:pPr>
      <w:r>
        <w:t xml:space="preserve">A new developer can obtain credentials, read the docs, call a sandbox endpoint, and receive a successful response in under 15 minutes from first login.</w:t>
      </w:r>
    </w:p>
    <w:p>
      <w:pPr>
        <w:numPr>
          <w:ilvl w:val="0"/>
          <w:numId w:val="1011"/>
        </w:numPr>
      </w:pPr>
      <w:r>
        <w:t xml:space="preserve">A webhook endpoint that returns 500 for over 1 hour is automatically paused with an email notification to the registered owner; re-enable is a single click after fixing the endpoint.</w:t>
      </w:r>
    </w:p>
    <w:p>
      <w:pPr>
        <w:numPr>
          <w:ilvl w:val="0"/>
          <w:numId w:val="1011"/>
        </w:numPr>
      </w:pPr>
      <w:r>
        <w:t xml:space="preserve">Every API call is traceable from SCR-18 back to the originating key, user (if delegated), and endpoint within SCR-20 Audit Log with full request context.</w:t>
      </w:r>
    </w:p>
    <w:p>
      <w:pPr>
        <w:numPr>
          <w:ilvl w:val="0"/>
          <w:numId w:val="1011"/>
        </w:numPr>
      </w:pPr>
      <w:r>
        <w:t xml:space="preserve">Key rotation with a 7-day overlap window completes with zero production outages; SCR-18 confirms old-key decommission is safe before allowing revocation.</w:t>
      </w:r>
    </w:p>
    <w:bookmarkEnd w:id="374"/>
    <w:bookmarkEnd w:id="375"/>
    <w:bookmarkStart w:id="383" w:name="scr-19-notification-alert-rules"/>
    <w:p>
      <w:pPr>
        <w:pStyle w:val="Heading1"/>
      </w:pPr>
      <w:r>
        <w:t xml:space="preserve">SCR-19 — Notification &amp; Alert Rules</w:t>
      </w:r>
    </w:p>
    <w:tbl>
      <w:tblPr>
        <w:tblStyle w:val="Table"/>
        <w:tblW w:type="pct" w:w="4930"/>
        <w:tblLook w:firstRow="0" w:lastRow="0" w:firstColumn="0" w:lastColumn="0" w:noHBand="0" w:noVBand="0" w:val="0000"/>
        <w:jc w:val="start"/>
      </w:tblPr>
      <w:tblGrid>
        <w:gridCol w:w="1218"/>
        <w:gridCol w:w="6590"/>
      </w:tblGrid>
      <w:tr>
        <w:tc>
          <w:tcPr/>
          <w:p>
            <w:pPr>
              <w:pStyle w:val="Compact"/>
              <w:jc w:val="left"/>
            </w:pPr>
            <w:r>
              <w:rPr>
                <w:bCs/>
                <w:b/>
              </w:rPr>
              <w:t xml:space="preserve">Module ID</w:t>
            </w:r>
          </w:p>
        </w:tc>
        <w:tc>
          <w:tcPr/>
          <w:p>
            <w:pPr>
              <w:pStyle w:val="Compact"/>
              <w:jc w:val="left"/>
            </w:pPr>
            <w:r>
              <w:t xml:space="preserve">SCR-19</w:t>
            </w:r>
          </w:p>
        </w:tc>
      </w:tr>
      <w:tr>
        <w:tc>
          <w:tcPr/>
          <w:p>
            <w:pPr>
              <w:pStyle w:val="Compact"/>
              <w:jc w:val="left"/>
            </w:pPr>
            <w:r>
              <w:rPr>
                <w:bCs/>
                <w:b/>
              </w:rPr>
              <w:t xml:space="preserve">Phase</w:t>
            </w:r>
          </w:p>
        </w:tc>
        <w:tc>
          <w:tcPr/>
          <w:p>
            <w:pPr>
              <w:pStyle w:val="Compact"/>
              <w:jc w:val="left"/>
            </w:pPr>
            <w:r>
              <w:t xml:space="preserve">1 (Core Admin Experience)</w:t>
            </w:r>
          </w:p>
        </w:tc>
      </w:tr>
      <w:tr>
        <w:tc>
          <w:tcPr/>
          <w:p>
            <w:pPr>
              <w:pStyle w:val="Compact"/>
              <w:jc w:val="left"/>
            </w:pPr>
            <w:r>
              <w:rPr>
                <w:bCs/>
                <w:b/>
              </w:rPr>
              <w:t xml:space="preserve">Complexity</w:t>
            </w:r>
          </w:p>
        </w:tc>
        <w:tc>
          <w:tcPr/>
          <w:p>
            <w:pPr>
              <w:pStyle w:val="Compact"/>
              <w:jc w:val="left"/>
            </w:pPr>
            <w:r>
              <w:t xml:space="preserve">Medium</w:t>
            </w:r>
          </w:p>
        </w:tc>
      </w:tr>
      <w:tr>
        <w:tc>
          <w:tcPr/>
          <w:p>
            <w:pPr>
              <w:pStyle w:val="Compact"/>
              <w:jc w:val="left"/>
            </w:pPr>
            <w:r>
              <w:rPr>
                <w:bCs/>
                <w:b/>
              </w:rPr>
              <w:t xml:space="preserve">Dependencies</w:t>
            </w:r>
          </w:p>
        </w:tc>
        <w:tc>
          <w:tcPr/>
          <w:p>
            <w:pPr>
              <w:pStyle w:val="Compact"/>
              <w:jc w:val="left"/>
            </w:pPr>
            <w:r>
              <w:t xml:space="preserve">O02 (Notification &amp; Alert Engine), AC02 (Hierarchy), SCR-17 (Channels), D04 (Quality), A03 (Decisions), SCR-05 (Hierarchy)</w:t>
            </w:r>
          </w:p>
        </w:tc>
      </w:tr>
      <w:tr>
        <w:tc>
          <w:tcPr/>
          <w:p>
            <w:pPr>
              <w:pStyle w:val="Compact"/>
              <w:jc w:val="left"/>
            </w:pPr>
            <w:r>
              <w:rPr>
                <w:bCs/>
                <w:b/>
              </w:rPr>
              <w:t xml:space="preserve">Depended On By</w:t>
            </w:r>
          </w:p>
        </w:tc>
        <w:tc>
          <w:tcPr/>
          <w:p>
            <w:pPr>
              <w:pStyle w:val="Compact"/>
              <w:jc w:val="left"/>
            </w:pPr>
            <w:r>
              <w:t xml:space="preserve">CX-04 Alert Centre, SCR-01 Attention Panel, every human-in-the-loop workflow</w:t>
            </w:r>
          </w:p>
        </w:tc>
      </w:tr>
      <w:tr>
        <w:tc>
          <w:tcPr/>
          <w:p>
            <w:pPr>
              <w:pStyle w:val="Compact"/>
              <w:jc w:val="left"/>
            </w:pPr>
            <w:r>
              <w:rPr>
                <w:bCs/>
                <w:b/>
              </w:rPr>
              <w:t xml:space="preserve">Owner</w:t>
            </w:r>
          </w:p>
        </w:tc>
        <w:tc>
          <w:tcPr/>
          <w:p>
            <w:pPr>
              <w:pStyle w:val="Compact"/>
              <w:jc w:val="left"/>
            </w:pPr>
            <w:r>
              <w:t xml:space="preserve">Platform Engineering Lead</w:t>
            </w:r>
          </w:p>
        </w:tc>
      </w:tr>
    </w:tbl>
    <w:bookmarkStart w:id="376" w:name="purpose-43"/>
    <w:p>
      <w:pPr>
        <w:pStyle w:val="Heading2"/>
      </w:pPr>
      <w:r>
        <w:t xml:space="preserve">Purpose</w:t>
      </w:r>
    </w:p>
    <w:p>
      <w:pPr>
        <w:pStyle w:val="FirstParagraph"/>
      </w:pPr>
      <w:r>
        <w:t xml:space="preserve">SCR-19 is where tenants author the conditions under which Cortex notifies humans, where those notifications go, and how they escalate. SCR-19 produces the alert feed that CX-04 Alert Centre consumes and the notification stream that powers SCR-01 Attention Panel.</w:t>
      </w:r>
    </w:p>
    <w:bookmarkEnd w:id="376"/>
    <w:bookmarkStart w:id="381" w:name="functional-requirements-19"/>
    <w:p>
      <w:pPr>
        <w:pStyle w:val="Heading2"/>
      </w:pPr>
      <w:r>
        <w:t xml:space="preserve">Functional Requirements</w:t>
      </w:r>
    </w:p>
    <w:bookmarkStart w:id="377" w:name="alert-rule-authoring"/>
    <w:p>
      <w:pPr>
        <w:pStyle w:val="Heading3"/>
      </w:pPr>
      <w:r>
        <w:t xml:space="preserve">Alert Rule Authoring</w:t>
      </w:r>
    </w:p>
    <w:p>
      <w:pPr>
        <w:pStyle w:val="FirstParagraph"/>
      </w:pPr>
      <w:r>
        <w:rPr>
          <w:bCs/>
          <w:b/>
        </w:rPr>
        <w:t xml:space="preserve">SCR-19-FR-001</w:t>
      </w:r>
      <w:r>
        <w:t xml:space="preserve"> </w:t>
      </w:r>
      <w:r>
        <w:t xml:space="preserve">Alert rules SHALL be authored with: name, description, trigger type (metric threshold / statistical anomaly / DQ violation / schema drift / business event / custom SQL query), condition expression, severity (CRITICAL / HIGH / MEDIUM / INFO), cooldown period, enabled flag, effective dates.</w:t>
      </w:r>
    </w:p>
    <w:p>
      <w:pPr>
        <w:pStyle w:val="BodyText"/>
      </w:pPr>
      <w:r>
        <w:rPr>
          <w:bCs/>
          <w:b/>
        </w:rPr>
        <w:t xml:space="preserve">SCR-19-FR-002</w:t>
      </w:r>
      <w:r>
        <w:t xml:space="preserve"> </w:t>
      </w:r>
      <w:r>
        <w:t xml:space="preserve">Templates for common alerts SHALL be one-click installable and subsequently editable: stockout predicted, KPI threshold breached, ingestion lag exceeded, quality score drop, failed login surge, consent-block rate spike, decision-pipeline failure rate.</w:t>
      </w:r>
    </w:p>
    <w:p>
      <w:pPr>
        <w:pStyle w:val="BodyText"/>
      </w:pPr>
      <w:r>
        <w:rPr>
          <w:bCs/>
          <w:b/>
        </w:rPr>
        <w:t xml:space="preserve">SCR-19-FR-003</w:t>
      </w:r>
      <w:r>
        <w:t xml:space="preserve"> </w:t>
      </w:r>
      <w:r>
        <w:t xml:space="preserve">Rule testing: a proposed rule can be backtested against the last 30 days of data to show how many times it would have fired, enabling the author to tune thresholds before activating.</w:t>
      </w:r>
    </w:p>
    <w:bookmarkEnd w:id="377"/>
    <w:bookmarkStart w:id="378" w:name="routing-1"/>
    <w:p>
      <w:pPr>
        <w:pStyle w:val="Heading3"/>
      </w:pPr>
      <w:r>
        <w:t xml:space="preserve">Routing</w:t>
      </w:r>
    </w:p>
    <w:p>
      <w:pPr>
        <w:pStyle w:val="FirstParagraph"/>
      </w:pPr>
      <w:r>
        <w:rPr>
          <w:bCs/>
          <w:b/>
        </w:rPr>
        <w:t xml:space="preserve">SCR-19-FR-004</w:t>
      </w:r>
      <w:r>
        <w:t xml:space="preserve"> </w:t>
      </w:r>
      <w:r>
        <w:t xml:space="preserve">Each rule SHALL route to one or more recipients: user(s), team(s) (from SCR-02), channel(s) (from SCR-17), webhook(s) (from SCR-18), in-app notification to users matching a role-and-scope filter. Routing SHALL support hierarchy-aware fan-out: 'route store-level stockouts to the store manager team for that store, not to all store managers'.</w:t>
      </w:r>
    </w:p>
    <w:p>
      <w:pPr>
        <w:pStyle w:val="BodyText"/>
      </w:pPr>
      <w:r>
        <w:rPr>
          <w:bCs/>
          <w:b/>
        </w:rPr>
        <w:t xml:space="preserve">SCR-19-FR-005</w:t>
      </w:r>
      <w:r>
        <w:t xml:space="preserve"> </w:t>
      </w:r>
      <w:r>
        <w:t xml:space="preserve">Escalation chains: if an alert is unacknowledged for a configurable duration, escalate to the next recipient in the chain. Chains reference AC02 hierarchy (e.g., Store Manager → Regional Manager → VP Retail at 30 / 120 / 240 minutes). Escalation stops on acknowledgement.</w:t>
      </w:r>
    </w:p>
    <w:p>
      <w:pPr>
        <w:pStyle w:val="BodyText"/>
      </w:pPr>
      <w:r>
        <w:rPr>
          <w:bCs/>
          <w:b/>
        </w:rPr>
        <w:t xml:space="preserve">SCR-19-FR-006</w:t>
      </w:r>
      <w:r>
        <w:t xml:space="preserve"> </w:t>
      </w:r>
      <w:r>
        <w:t xml:space="preserve">Routing overrides during incidents: a declared platform incident (from RE01) MAY suppress non-critical tenant alerts to prevent noise during known-cause outages; suppression is visible, time-bounded, and logged.</w:t>
      </w:r>
    </w:p>
    <w:bookmarkEnd w:id="378"/>
    <w:bookmarkStart w:id="379" w:name="digest-quiet-hours"/>
    <w:p>
      <w:pPr>
        <w:pStyle w:val="Heading3"/>
      </w:pPr>
      <w:r>
        <w:t xml:space="preserve">Digest &amp; Quiet Hours</w:t>
      </w:r>
    </w:p>
    <w:p>
      <w:pPr>
        <w:pStyle w:val="FirstParagraph"/>
      </w:pPr>
      <w:r>
        <w:rPr>
          <w:bCs/>
          <w:b/>
        </w:rPr>
        <w:t xml:space="preserve">SCR-19-FR-007</w:t>
      </w:r>
      <w:r>
        <w:t xml:space="preserve"> </w:t>
      </w:r>
      <w:r>
        <w:t xml:space="preserve">Users SHALL configure personal preferences: channel mix per severity, quiet hours per timezone (IC02), digest mode (combine non-critical alerts into hourly or daily summary emails). Critical alerts bypass quiet hours by default; users MAY opt out with justification.</w:t>
      </w:r>
    </w:p>
    <w:bookmarkEnd w:id="379"/>
    <w:bookmarkStart w:id="380" w:name="rule-analytics"/>
    <w:p>
      <w:pPr>
        <w:pStyle w:val="Heading3"/>
      </w:pPr>
      <w:r>
        <w:t xml:space="preserve">Rule Analytics</w:t>
      </w:r>
    </w:p>
    <w:p>
      <w:pPr>
        <w:pStyle w:val="FirstParagraph"/>
      </w:pPr>
      <w:r>
        <w:rPr>
          <w:bCs/>
          <w:b/>
        </w:rPr>
        <w:t xml:space="preserve">SCR-19-FR-008</w:t>
      </w:r>
      <w:r>
        <w:t xml:space="preserve"> </w:t>
      </w:r>
      <w:r>
        <w:t xml:space="preserve">Alert analytics dashboard SHALL show: total alerts per rule per period, acknowledge-time distribution, resolve-time distribution, false-positive rate (user-flagged when dismissing), unused rules (fired zero times in 30 days — candidates for deletion), over-firing rules (more than 100 fires per day — candidates for tuning).</w:t>
      </w:r>
    </w:p>
    <w:bookmarkEnd w:id="380"/>
    <w:bookmarkEnd w:id="381"/>
    <w:bookmarkStart w:id="382" w:name="acceptance-criteria-34"/>
    <w:p>
      <w:pPr>
        <w:pStyle w:val="Heading2"/>
      </w:pPr>
      <w:r>
        <w:t xml:space="preserve">Acceptance Criteria</w:t>
      </w:r>
    </w:p>
    <w:p>
      <w:pPr>
        <w:numPr>
          <w:ilvl w:val="0"/>
          <w:numId w:val="1012"/>
        </w:numPr>
      </w:pPr>
      <w:r>
        <w:t xml:space="preserve">A new alert rule is authored from a template, routed, and activated in under 5 minutes.</w:t>
      </w:r>
    </w:p>
    <w:p>
      <w:pPr>
        <w:numPr>
          <w:ilvl w:val="0"/>
          <w:numId w:val="1012"/>
        </w:numPr>
      </w:pPr>
      <w:r>
        <w:t xml:space="preserve">A critical alert routes to the correct hierarchy-scoped team within 30 seconds of the triggering event.</w:t>
      </w:r>
    </w:p>
    <w:p>
      <w:pPr>
        <w:numPr>
          <w:ilvl w:val="0"/>
          <w:numId w:val="1012"/>
        </w:numPr>
      </w:pPr>
      <w:r>
        <w:t xml:space="preserve">False-positive rate per rule is visible and drives tuning; rules with over 20% flagged false-positive rate are surfaced for review in a weekly digest.</w:t>
      </w:r>
    </w:p>
    <w:p>
      <w:pPr>
        <w:numPr>
          <w:ilvl w:val="0"/>
          <w:numId w:val="1012"/>
        </w:numPr>
      </w:pPr>
      <w:r>
        <w:t xml:space="preserve">Rule backtesting against 30 days of history runs in under 60 seconds for standard rule types.</w:t>
      </w:r>
    </w:p>
    <w:bookmarkEnd w:id="382"/>
    <w:bookmarkEnd w:id="383"/>
    <w:bookmarkStart w:id="393" w:name="scr-21-billing-usage-finops"/>
    <w:p>
      <w:pPr>
        <w:pStyle w:val="Heading1"/>
      </w:pPr>
      <w:r>
        <w:t xml:space="preserve">SCR-21 — Billing, Usage &amp; FinOps</w:t>
      </w:r>
    </w:p>
    <w:tbl>
      <w:tblPr>
        <w:tblStyle w:val="Table"/>
        <w:tblW w:type="pct" w:w="4904"/>
        <w:tblLook w:firstRow="0" w:lastRow="0" w:firstColumn="0" w:lastColumn="0" w:noHBand="0" w:noVBand="0" w:val="0000"/>
        <w:jc w:val="start"/>
      </w:tblPr>
      <w:tblGrid>
        <w:gridCol w:w="1675"/>
        <w:gridCol w:w="6092"/>
      </w:tblGrid>
      <w:tr>
        <w:tc>
          <w:tcPr/>
          <w:p>
            <w:pPr>
              <w:pStyle w:val="Compact"/>
              <w:jc w:val="left"/>
            </w:pPr>
            <w:r>
              <w:rPr>
                <w:bCs/>
                <w:b/>
              </w:rPr>
              <w:t xml:space="preserve">Module ID</w:t>
            </w:r>
          </w:p>
        </w:tc>
        <w:tc>
          <w:tcPr/>
          <w:p>
            <w:pPr>
              <w:pStyle w:val="Compact"/>
              <w:jc w:val="left"/>
            </w:pPr>
            <w:r>
              <w:t xml:space="preserve">SCR-21</w:t>
            </w:r>
          </w:p>
        </w:tc>
      </w:tr>
      <w:tr>
        <w:tc>
          <w:tcPr/>
          <w:p>
            <w:pPr>
              <w:pStyle w:val="Compact"/>
              <w:jc w:val="left"/>
            </w:pPr>
            <w:r>
              <w:rPr>
                <w:bCs/>
                <w:b/>
              </w:rPr>
              <w:t xml:space="preserve">Phase</w:t>
            </w:r>
          </w:p>
        </w:tc>
        <w:tc>
          <w:tcPr/>
          <w:p>
            <w:pPr>
              <w:pStyle w:val="Compact"/>
              <w:jc w:val="left"/>
            </w:pPr>
            <w:r>
              <w:t xml:space="preserve">2 (Commercial Operations)</w:t>
            </w:r>
          </w:p>
        </w:tc>
      </w:tr>
      <w:tr>
        <w:tc>
          <w:tcPr/>
          <w:p>
            <w:pPr>
              <w:pStyle w:val="Compact"/>
              <w:jc w:val="left"/>
            </w:pPr>
            <w:r>
              <w:rPr>
                <w:bCs/>
                <w:b/>
              </w:rPr>
              <w:t xml:space="preserve">Complexity</w:t>
            </w:r>
          </w:p>
        </w:tc>
        <w:tc>
          <w:tcPr/>
          <w:p>
            <w:pPr>
              <w:pStyle w:val="Compact"/>
              <w:jc w:val="left"/>
            </w:pPr>
            <w:r>
              <w:t xml:space="preserve">Medium</w:t>
            </w:r>
          </w:p>
        </w:tc>
      </w:tr>
      <w:tr>
        <w:tc>
          <w:tcPr/>
          <w:p>
            <w:pPr>
              <w:pStyle w:val="Compact"/>
              <w:jc w:val="left"/>
            </w:pPr>
            <w:r>
              <w:rPr>
                <w:bCs/>
                <w:b/>
              </w:rPr>
              <w:t xml:space="preserve">Dependencies</w:t>
            </w:r>
          </w:p>
        </w:tc>
        <w:tc>
          <w:tcPr/>
          <w:p>
            <w:pPr>
              <w:pStyle w:val="Compact"/>
              <w:jc w:val="left"/>
            </w:pPr>
            <w:r>
              <w:t xml:space="preserve">OB02 (FinOps), OB03 (Metering &amp; Billing), F02 (Tenant Lifecycle), AC01 (RBAC)</w:t>
            </w:r>
          </w:p>
        </w:tc>
      </w:tr>
      <w:tr>
        <w:tc>
          <w:tcPr/>
          <w:p>
            <w:pPr>
              <w:pStyle w:val="Compact"/>
              <w:jc w:val="left"/>
            </w:pPr>
            <w:r>
              <w:rPr>
                <w:bCs/>
                <w:b/>
              </w:rPr>
              <w:t xml:space="preserve">Depended On By</w:t>
            </w:r>
          </w:p>
        </w:tc>
        <w:tc>
          <w:tcPr/>
          <w:p>
            <w:pPr>
              <w:pStyle w:val="Compact"/>
              <w:jc w:val="left"/>
            </w:pPr>
            <w:r>
              <w:t xml:space="preserve">Tenant finance and procurement functions; Sevyn8 CSM workflows via SCR-24</w:t>
            </w:r>
          </w:p>
        </w:tc>
      </w:tr>
      <w:tr>
        <w:tc>
          <w:tcPr/>
          <w:p>
            <w:pPr>
              <w:pStyle w:val="Compact"/>
              <w:jc w:val="left"/>
            </w:pPr>
            <w:r>
              <w:rPr>
                <w:bCs/>
                <w:b/>
              </w:rPr>
              <w:t xml:space="preserve">Owner</w:t>
            </w:r>
          </w:p>
        </w:tc>
        <w:tc>
          <w:tcPr/>
          <w:p>
            <w:pPr>
              <w:pStyle w:val="Compact"/>
              <w:jc w:val="left"/>
            </w:pPr>
            <w:r>
              <w:t xml:space="preserve">Platform Commercial Lead</w:t>
            </w:r>
          </w:p>
        </w:tc>
      </w:tr>
    </w:tbl>
    <w:bookmarkStart w:id="384" w:name="purpose-44"/>
    <w:p>
      <w:pPr>
        <w:pStyle w:val="Heading2"/>
      </w:pPr>
      <w:r>
        <w:t xml:space="preserve">Purpose</w:t>
      </w:r>
    </w:p>
    <w:p>
      <w:pPr>
        <w:pStyle w:val="FirstParagraph"/>
      </w:pPr>
      <w:r>
        <w:t xml:space="preserve">SCR-21 is the tenant's window into what they consume and what they pay. It surfaces OB03 metering data in a tenant-friendly format, exposes OB02 cost intelligence with optimisation recommendations, and closes the billing loop with invoices, payment methods, and tax handling.</w:t>
      </w:r>
    </w:p>
    <w:bookmarkEnd w:id="384"/>
    <w:bookmarkStart w:id="391" w:name="functional-requirements-20"/>
    <w:p>
      <w:pPr>
        <w:pStyle w:val="Heading2"/>
      </w:pPr>
      <w:r>
        <w:t xml:space="preserve">Functional Requirements</w:t>
      </w:r>
    </w:p>
    <w:bookmarkStart w:id="385" w:name="current-usage"/>
    <w:p>
      <w:pPr>
        <w:pStyle w:val="Heading3"/>
      </w:pPr>
      <w:r>
        <w:t xml:space="preserve">Current Usage</w:t>
      </w:r>
    </w:p>
    <w:p>
      <w:pPr>
        <w:pStyle w:val="FirstParagraph"/>
      </w:pPr>
      <w:r>
        <w:rPr>
          <w:bCs/>
          <w:b/>
        </w:rPr>
        <w:t xml:space="preserve">SCR-21-FR-001</w:t>
      </w:r>
      <w:r>
        <w:t xml:space="preserve"> </w:t>
      </w:r>
      <w:r>
        <w:t xml:space="preserve">Current-period dashboard SHALL show, per metered dimension: events ingested, storage consumption per medallion tier (Bronze/Silver/Gold, GB × days), compute hours (agent sessions, streaming jobs, materialised view refreshes), outbound messages (by channel with per-channel unit costs), API calls, active user seats. Each metric shows current value, plan allowance, projected end-of-period value, and percentage utilisation.</w:t>
      </w:r>
    </w:p>
    <w:p>
      <w:pPr>
        <w:pStyle w:val="BodyText"/>
      </w:pPr>
      <w:r>
        <w:rPr>
          <w:bCs/>
          <w:b/>
        </w:rPr>
        <w:t xml:space="preserve">SCR-21-FR-002</w:t>
      </w:r>
      <w:r>
        <w:t xml:space="preserve"> </w:t>
      </w:r>
      <w:r>
        <w:t xml:space="preserve">Drill-down: clicking any metric shows usage over time with granularity of hour / day / week, and breakdown by source (which data source, which workspace, which team is driving consumption).</w:t>
      </w:r>
    </w:p>
    <w:bookmarkEnd w:id="385"/>
    <w:bookmarkStart w:id="386" w:name="plan-subscription"/>
    <w:p>
      <w:pPr>
        <w:pStyle w:val="Heading3"/>
      </w:pPr>
      <w:r>
        <w:t xml:space="preserve">Plan &amp; Subscription</w:t>
      </w:r>
    </w:p>
    <w:p>
      <w:pPr>
        <w:pStyle w:val="FirstParagraph"/>
      </w:pPr>
      <w:r>
        <w:rPr>
          <w:bCs/>
          <w:b/>
        </w:rPr>
        <w:t xml:space="preserve">SCR-21-FR-003</w:t>
      </w:r>
      <w:r>
        <w:t xml:space="preserve"> </w:t>
      </w:r>
      <w:r>
        <w:t xml:space="preserve">Plan detail view SHALL show: current tier (Standard / Professional / Enterprise), included allowances per metric, overage rates, contract dates, renewal terms, autoscale options (if enabled). Plan change requests route to the tenant's Sevyn8 CSM via in-product workflow; Standard-tier plan upgrades are self-serve where feasible.</w:t>
      </w:r>
    </w:p>
    <w:bookmarkEnd w:id="386"/>
    <w:bookmarkStart w:id="387" w:name="invoices-payment"/>
    <w:p>
      <w:pPr>
        <w:pStyle w:val="Heading3"/>
      </w:pPr>
      <w:r>
        <w:t xml:space="preserve">Invoices &amp; Payment</w:t>
      </w:r>
    </w:p>
    <w:p>
      <w:pPr>
        <w:pStyle w:val="FirstParagraph"/>
      </w:pPr>
      <w:r>
        <w:rPr>
          <w:bCs/>
          <w:b/>
        </w:rPr>
        <w:t xml:space="preserve">SCR-21-FR-004</w:t>
      </w:r>
      <w:r>
        <w:t xml:space="preserve"> </w:t>
      </w:r>
      <w:r>
        <w:t xml:space="preserve">Invoice history SHALL list chronologically: invoice number, period, amount, status (Due / Paid / Overdue / Disputed), download PDF, download line-item CSV for reconciliation. For self-serve tenants: payment method management (card or bank transfer via Razorpay or Stripe). For Enterprise contracts: 'Managed by contract' badge, with PO and tax ID editable.</w:t>
      </w:r>
    </w:p>
    <w:p>
      <w:pPr>
        <w:pStyle w:val="BodyText"/>
      </w:pPr>
      <w:r>
        <w:rPr>
          <w:bCs/>
          <w:b/>
        </w:rPr>
        <w:t xml:space="preserve">SCR-21-FR-005</w:t>
      </w:r>
      <w:r>
        <w:t xml:space="preserve"> </w:t>
      </w:r>
      <w:r>
        <w:t xml:space="preserve">Tax handling SHALL support Indian GST, including HSN/SAC codes, place-of-supply rules for interstate vs intrastate, and reverse charge mechanism where applicable. Tax invoices are GSTN-compliant.</w:t>
      </w:r>
    </w:p>
    <w:bookmarkEnd w:id="387"/>
    <w:bookmarkStart w:id="388" w:name="cost-attribution-showback"/>
    <w:p>
      <w:pPr>
        <w:pStyle w:val="Heading3"/>
      </w:pPr>
      <w:r>
        <w:t xml:space="preserve">Cost Attribution (Showback)</w:t>
      </w:r>
    </w:p>
    <w:p>
      <w:pPr>
        <w:pStyle w:val="FirstParagraph"/>
      </w:pPr>
      <w:r>
        <w:rPr>
          <w:bCs/>
          <w:b/>
        </w:rPr>
        <w:t xml:space="preserve">SCR-21-FR-006</w:t>
      </w:r>
      <w:r>
        <w:t xml:space="preserve"> </w:t>
      </w:r>
      <w:r>
        <w:t xml:space="preserve">Cost attribution view SHALL break usage by: data source, workspace, team, decision pipeline, and user. Enables internal showback or chargeback within the tenant organisation. Exportable to CSV for upstream reporting.</w:t>
      </w:r>
    </w:p>
    <w:bookmarkEnd w:id="388"/>
    <w:bookmarkStart w:id="389" w:name="optimisation-suggestions-from-ob02"/>
    <w:p>
      <w:pPr>
        <w:pStyle w:val="Heading3"/>
      </w:pPr>
      <w:r>
        <w:t xml:space="preserve">Optimisation Suggestions (from OB02)</w:t>
      </w:r>
    </w:p>
    <w:p>
      <w:pPr>
        <w:pStyle w:val="FirstParagraph"/>
      </w:pPr>
      <w:r>
        <w:rPr>
          <w:bCs/>
          <w:b/>
        </w:rPr>
        <w:t xml:space="preserve">SCR-21-FR-007</w:t>
      </w:r>
      <w:r>
        <w:t xml:space="preserve"> </w:t>
      </w:r>
      <w:r>
        <w:t xml:space="preserve">OB02-powered suggestions SHALL surface: idle data sources (no records in 30+ days), oversized materialised views (computed daily but queried weekly), inefficient quality rules (rules with high runtime and low value added), unused feature store entries, user seats with no activity. Each suggestion carries an estimated monthly saving.</w:t>
      </w:r>
    </w:p>
    <w:p>
      <w:pPr>
        <w:pStyle w:val="BodyText"/>
      </w:pPr>
      <w:r>
        <w:rPr>
          <w:bCs/>
          <w:b/>
        </w:rPr>
        <w:t xml:space="preserve">SCR-21-FR-008</w:t>
      </w:r>
      <w:r>
        <w:t xml:space="preserve"> </w:t>
      </w:r>
      <w:r>
        <w:t xml:space="preserve">Suggestion acceptance flow: 'Accept' triggers the underlying optimisation action (e.g., deactivate the idle source) via the owning module, with one-click undo available for 7 days.</w:t>
      </w:r>
    </w:p>
    <w:bookmarkEnd w:id="389"/>
    <w:bookmarkStart w:id="390" w:name="usage-alerts"/>
    <w:p>
      <w:pPr>
        <w:pStyle w:val="Heading3"/>
      </w:pPr>
      <w:r>
        <w:t xml:space="preserve">Usage Alerts</w:t>
      </w:r>
    </w:p>
    <w:p>
      <w:pPr>
        <w:pStyle w:val="FirstParagraph"/>
      </w:pPr>
      <w:r>
        <w:rPr>
          <w:bCs/>
          <w:b/>
        </w:rPr>
        <w:t xml:space="preserve">SCR-21-FR-009</w:t>
      </w:r>
      <w:r>
        <w:t xml:space="preserve"> </w:t>
      </w:r>
      <w:r>
        <w:t xml:space="preserve">Usage alerts SHALL be configurable at 50 / 75 / 90 / 100 percent of plan allowances per metric. Plan-exceeded events trigger both an SCR-21 alert and an email to designated billing contacts, routed through SCR-19 and SCR-17 respectively.</w:t>
      </w:r>
    </w:p>
    <w:bookmarkEnd w:id="390"/>
    <w:bookmarkEnd w:id="391"/>
    <w:bookmarkStart w:id="392" w:name="acceptance-criteria-35"/>
    <w:p>
      <w:pPr>
        <w:pStyle w:val="Heading2"/>
      </w:pPr>
      <w:r>
        <w:t xml:space="preserve">Acceptance Criteria</w:t>
      </w:r>
    </w:p>
    <w:p>
      <w:pPr>
        <w:numPr>
          <w:ilvl w:val="0"/>
          <w:numId w:val="1013"/>
        </w:numPr>
      </w:pPr>
      <w:r>
        <w:t xml:space="preserve">A finance user can reconcile a month's invoice against line-item usage without leaving SCR-21.</w:t>
      </w:r>
    </w:p>
    <w:p>
      <w:pPr>
        <w:numPr>
          <w:ilvl w:val="0"/>
          <w:numId w:val="1013"/>
        </w:numPr>
      </w:pPr>
      <w:r>
        <w:t xml:space="preserve">Optimisation suggestions, if acted on, produce measurable cost reductions in the subsequent billing period (tracked automatically via OB02).</w:t>
      </w:r>
    </w:p>
    <w:p>
      <w:pPr>
        <w:numPr>
          <w:ilvl w:val="0"/>
          <w:numId w:val="1013"/>
        </w:numPr>
      </w:pPr>
      <w:r>
        <w:t xml:space="preserve">Plan upgrades and downgrades take effect at the next billing cycle boundary with no data loss or service interruption.</w:t>
      </w:r>
    </w:p>
    <w:p>
      <w:pPr>
        <w:numPr>
          <w:ilvl w:val="0"/>
          <w:numId w:val="1013"/>
        </w:numPr>
      </w:pPr>
      <w:r>
        <w:t xml:space="preserve">Tax invoices are GSTN-compliant and downloadable as valid tax documents for the tenant's own accounting.</w:t>
      </w:r>
    </w:p>
    <w:bookmarkEnd w:id="392"/>
    <w:bookmarkEnd w:id="393"/>
    <w:bookmarkStart w:id="404" w:name="Xd78ea914425513c969f04604b89d073f5f6c423"/>
    <w:p>
      <w:pPr>
        <w:pStyle w:val="Heading1"/>
      </w:pPr>
      <w:r>
        <w:t xml:space="preserve">SCR-24 — Platform Ops Dashboard (Super Admin)</w:t>
      </w:r>
    </w:p>
    <w:tbl>
      <w:tblPr>
        <w:tblStyle w:val="Table"/>
        <w:tblW w:type="pct" w:w="4928"/>
        <w:tblLook w:firstRow="0" w:lastRow="0" w:firstColumn="0" w:lastColumn="0" w:noHBand="0" w:noVBand="0" w:val="0000"/>
        <w:jc w:val="start"/>
      </w:tblPr>
      <w:tblGrid>
        <w:gridCol w:w="1253"/>
        <w:gridCol w:w="6552"/>
      </w:tblGrid>
      <w:tr>
        <w:tc>
          <w:tcPr/>
          <w:p>
            <w:pPr>
              <w:pStyle w:val="Compact"/>
              <w:jc w:val="left"/>
            </w:pPr>
            <w:r>
              <w:rPr>
                <w:bCs/>
                <w:b/>
              </w:rPr>
              <w:t xml:space="preserve">Module ID</w:t>
            </w:r>
          </w:p>
        </w:tc>
        <w:tc>
          <w:tcPr/>
          <w:p>
            <w:pPr>
              <w:pStyle w:val="Compact"/>
              <w:jc w:val="left"/>
            </w:pPr>
            <w:r>
              <w:t xml:space="preserve">SCR-24</w:t>
            </w:r>
          </w:p>
        </w:tc>
      </w:tr>
      <w:tr>
        <w:tc>
          <w:tcPr/>
          <w:p>
            <w:pPr>
              <w:pStyle w:val="Compact"/>
              <w:jc w:val="left"/>
            </w:pPr>
            <w:r>
              <w:rPr>
                <w:bCs/>
                <w:b/>
              </w:rPr>
              <w:t xml:space="preserve">Phase</w:t>
            </w:r>
          </w:p>
        </w:tc>
        <w:tc>
          <w:tcPr/>
          <w:p>
            <w:pPr>
              <w:pStyle w:val="Compact"/>
              <w:jc w:val="left"/>
            </w:pPr>
            <w:r>
              <w:t xml:space="preserve">1 (basic) + Phase 2 (full capability)</w:t>
            </w:r>
          </w:p>
        </w:tc>
      </w:tr>
      <w:tr>
        <w:tc>
          <w:tcPr/>
          <w:p>
            <w:pPr>
              <w:pStyle w:val="Compact"/>
              <w:jc w:val="left"/>
            </w:pPr>
            <w:r>
              <w:rPr>
                <w:bCs/>
                <w:b/>
              </w:rPr>
              <w:t xml:space="preserve">Complexity</w:t>
            </w:r>
          </w:p>
        </w:tc>
        <w:tc>
          <w:tcPr/>
          <w:p>
            <w:pPr>
              <w:pStyle w:val="Compact"/>
              <w:jc w:val="left"/>
            </w:pPr>
            <w:r>
              <w:t xml:space="preserve">High</w:t>
            </w:r>
          </w:p>
        </w:tc>
      </w:tr>
      <w:tr>
        <w:tc>
          <w:tcPr/>
          <w:p>
            <w:pPr>
              <w:pStyle w:val="Compact"/>
              <w:jc w:val="left"/>
            </w:pPr>
            <w:r>
              <w:rPr>
                <w:bCs/>
                <w:b/>
              </w:rPr>
              <w:t xml:space="preserve">Dependencies</w:t>
            </w:r>
          </w:p>
        </w:tc>
        <w:tc>
          <w:tcPr/>
          <w:p>
            <w:pPr>
              <w:pStyle w:val="Compact"/>
              <w:jc w:val="left"/>
            </w:pPr>
            <w:r>
              <w:t xml:space="preserve">OB01, OB02, OB03, RE01 (DR/BCP), T01 (Testing), F02 (Tenant Lifecycle), all tenant-visible modules (read access)</w:t>
            </w:r>
          </w:p>
        </w:tc>
      </w:tr>
      <w:tr>
        <w:tc>
          <w:tcPr/>
          <w:p>
            <w:pPr>
              <w:pStyle w:val="Compact"/>
              <w:jc w:val="left"/>
            </w:pPr>
            <w:r>
              <w:rPr>
                <w:bCs/>
                <w:b/>
              </w:rPr>
              <w:t xml:space="preserve">Depended On By</w:t>
            </w:r>
          </w:p>
        </w:tc>
        <w:tc>
          <w:tcPr/>
          <w:p>
            <w:pPr>
              <w:pStyle w:val="Compact"/>
              <w:jc w:val="left"/>
            </w:pPr>
            <w:r>
              <w:t xml:space="preserve">Sevyn8 SRE, CSM, and Executive functions; incident response workflows</w:t>
            </w:r>
          </w:p>
        </w:tc>
      </w:tr>
      <w:tr>
        <w:tc>
          <w:tcPr/>
          <w:p>
            <w:pPr>
              <w:pStyle w:val="Compact"/>
              <w:jc w:val="left"/>
            </w:pPr>
            <w:r>
              <w:rPr>
                <w:bCs/>
                <w:b/>
              </w:rPr>
              <w:t xml:space="preserve">Owner</w:t>
            </w:r>
          </w:p>
        </w:tc>
        <w:tc>
          <w:tcPr/>
          <w:p>
            <w:pPr>
              <w:pStyle w:val="Compact"/>
              <w:jc w:val="left"/>
            </w:pPr>
            <w:r>
              <w:t xml:space="preserve">Sevyn8 Platform Engineering &amp; Operations</w:t>
            </w:r>
          </w:p>
        </w:tc>
      </w:tr>
    </w:tbl>
    <w:bookmarkStart w:id="394" w:name="purpose-45"/>
    <w:p>
      <w:pPr>
        <w:pStyle w:val="Heading2"/>
      </w:pPr>
      <w:r>
        <w:t xml:space="preserve">Purpose</w:t>
      </w:r>
    </w:p>
    <w:p>
      <w:pPr>
        <w:pStyle w:val="FirstParagraph"/>
      </w:pPr>
      <w:r>
        <w:t xml:space="preserve">SCR-24 is the internal-only control plane for Sevyn8 staff. It provides cross-tenant observability, tenant provisioning, incident response, release management, and platform-wide commercial intelligence. SCR-24 is invisible to tenant users; access is gated to the SUPER_ADMIN platform role and its sub-roles (SRE, CSM, Finance, Platform Engineer).</w:t>
      </w:r>
    </w:p>
    <w:p>
      <w:pPr>
        <w:pStyle w:val="BodyText"/>
      </w:pPr>
      <w:r>
        <w:t xml:space="preserve">SCR-24 is designed around a strict principle: any cross-tenant data access by Sevyn8 staff is exceptional, justified, time-bounded, logged in both tenant and platform audit trails, and visible to the affected Tenant Admin.</w:t>
      </w:r>
    </w:p>
    <w:bookmarkEnd w:id="394"/>
    <w:bookmarkStart w:id="402" w:name="functional-requirements-21"/>
    <w:p>
      <w:pPr>
        <w:pStyle w:val="Heading2"/>
      </w:pPr>
      <w:r>
        <w:t xml:space="preserve">Functional Requirements</w:t>
      </w:r>
    </w:p>
    <w:bookmarkStart w:id="395" w:name="fleet-overview"/>
    <w:p>
      <w:pPr>
        <w:pStyle w:val="Heading3"/>
      </w:pPr>
      <w:r>
        <w:t xml:space="preserve">Fleet Overview</w:t>
      </w:r>
    </w:p>
    <w:p>
      <w:pPr>
        <w:pStyle w:val="FirstParagraph"/>
      </w:pPr>
      <w:r>
        <w:rPr>
          <w:bCs/>
          <w:b/>
        </w:rPr>
        <w:t xml:space="preserve">SCR-24-FR-001</w:t>
      </w:r>
      <w:r>
        <w:t xml:space="preserve"> </w:t>
      </w:r>
      <w:r>
        <w:t xml:space="preserve">Tenant grid SHALL list every active tenant with: name, tier, vertical (IC01), go-live date, ARR (from OB03), usage health score, data quality score, consent coverage, count of active P1 incidents, risk flags, CSM owner, last CSM contact date. Sortable and filterable by any column.</w:t>
      </w:r>
    </w:p>
    <w:p>
      <w:pPr>
        <w:pStyle w:val="BodyText"/>
      </w:pPr>
      <w:r>
        <w:rPr>
          <w:bCs/>
          <w:b/>
        </w:rPr>
        <w:t xml:space="preserve">SCR-24-FR-002</w:t>
      </w:r>
      <w:r>
        <w:t xml:space="preserve"> </w:t>
      </w:r>
      <w:r>
        <w:t xml:space="preserve">Tenant detail opens a cross-tenant-scoped view of SCR-01, allowing Super Admins to see any tenant's health exactly as that tenant would see it. Data-level access requires the escalated flow defined in SCR-24-FR-009.</w:t>
      </w:r>
    </w:p>
    <w:bookmarkEnd w:id="395"/>
    <w:bookmarkStart w:id="396" w:name="tenant-provisioning"/>
    <w:p>
      <w:pPr>
        <w:pStyle w:val="Heading3"/>
      </w:pPr>
      <w:r>
        <w:t xml:space="preserve">Tenant Provisioning</w:t>
      </w:r>
    </w:p>
    <w:p>
      <w:pPr>
        <w:pStyle w:val="FirstParagraph"/>
      </w:pPr>
      <w:r>
        <w:rPr>
          <w:bCs/>
          <w:b/>
        </w:rPr>
        <w:t xml:space="preserve">SCR-24-FR-003</w:t>
      </w:r>
      <w:r>
        <w:t xml:space="preserve"> </w:t>
      </w:r>
      <w:r>
        <w:t xml:space="preserve">New tenant provisioning wizard SHALL capture: legal name, billing entity, vertical (IC01), tier, region (asia-south1 / asia-south2 at launch), initial admins, SSO configuration, seed data options (empty / demo data / restore from export). Completes end-to-end in under 10 minutes for Standard tier, under 30 minutes for Enterprise (with dedicated Cloud SQL instance provisioning).</w:t>
      </w:r>
    </w:p>
    <w:p>
      <w:pPr>
        <w:pStyle w:val="BodyText"/>
      </w:pPr>
      <w:r>
        <w:rPr>
          <w:bCs/>
          <w:b/>
        </w:rPr>
        <w:t xml:space="preserve">SCR-24-FR-004</w:t>
      </w:r>
      <w:r>
        <w:t xml:space="preserve"> </w:t>
      </w:r>
      <w:r>
        <w:t xml:space="preserve">Tenant lifecycle actions: suspend (preserves data, blocks user access), resume (reinstates), export (generates download-ready archive under PR02 DSAR-compatible format), schedule deletion (configurable grace period, with legal-hold override capability).</w:t>
      </w:r>
    </w:p>
    <w:bookmarkEnd w:id="396"/>
    <w:bookmarkStart w:id="397" w:name="incident-war-room"/>
    <w:p>
      <w:pPr>
        <w:pStyle w:val="Heading3"/>
      </w:pPr>
      <w:r>
        <w:t xml:space="preserve">Incident War Room</w:t>
      </w:r>
    </w:p>
    <w:p>
      <w:pPr>
        <w:pStyle w:val="FirstParagraph"/>
      </w:pPr>
      <w:r>
        <w:rPr>
          <w:bCs/>
          <w:b/>
        </w:rPr>
        <w:t xml:space="preserve">SCR-24-FR-005</w:t>
      </w:r>
      <w:r>
        <w:t xml:space="preserve"> </w:t>
      </w:r>
      <w:r>
        <w:t xml:space="preserve">Active Incident view SHALL show all P1 and P2 incidents across the fleet with: affected-tenant list, status, on-call assignee, last update timestamp, estimated resolution time. Integrates with PagerDuty and the platform event stream from OB01.</w:t>
      </w:r>
    </w:p>
    <w:p>
      <w:pPr>
        <w:pStyle w:val="BodyText"/>
      </w:pPr>
      <w:r>
        <w:rPr>
          <w:bCs/>
          <w:b/>
        </w:rPr>
        <w:t xml:space="preserve">SCR-24-FR-006</w:t>
      </w:r>
      <w:r>
        <w:t xml:space="preserve"> </w:t>
      </w:r>
      <w:r>
        <w:t xml:space="preserve">Incident impact analyser: given an incident, SCR-24 answers 'which tenants are affected, which specific users, which downstream consumers have SLO at risk' in under 30 seconds — the primary tool during live incidents.</w:t>
      </w:r>
    </w:p>
    <w:bookmarkEnd w:id="397"/>
    <w:bookmarkStart w:id="398" w:name="release-feature-flag-management"/>
    <w:p>
      <w:pPr>
        <w:pStyle w:val="Heading3"/>
      </w:pPr>
      <w:r>
        <w:t xml:space="preserve">Release &amp; Feature Flag Management</w:t>
      </w:r>
    </w:p>
    <w:p>
      <w:pPr>
        <w:pStyle w:val="FirstParagraph"/>
      </w:pPr>
      <w:r>
        <w:rPr>
          <w:bCs/>
          <w:b/>
        </w:rPr>
        <w:t xml:space="preserve">SCR-24-FR-007</w:t>
      </w:r>
      <w:r>
        <w:t xml:space="preserve"> </w:t>
      </w:r>
      <w:r>
        <w:t xml:space="preserve">Feature flag matrix SHALL show every platform feature flag by every tenant, with toggle, rollout percentage, and rollout strategy (canary / gradual / all-at-once). Enables per-tenant beta enrollment and staged rollouts at 1% → 10% → 50% → 100% across the fleet with per-tenant overrides.</w:t>
      </w:r>
    </w:p>
    <w:p>
      <w:pPr>
        <w:pStyle w:val="BodyText"/>
      </w:pPr>
      <w:r>
        <w:rPr>
          <w:bCs/>
          <w:b/>
        </w:rPr>
        <w:t xml:space="preserve">SCR-24-FR-008</w:t>
      </w:r>
      <w:r>
        <w:t xml:space="preserve"> </w:t>
      </w:r>
      <w:r>
        <w:t xml:space="preserve">Release dashboard: deployed platform version per region, upgrade schedule for upcoming releases, rollback controls per service, release-quality metrics (error rate delta, latency delta) from OB01 during and after each deploy.</w:t>
      </w:r>
    </w:p>
    <w:bookmarkEnd w:id="398"/>
    <w:bookmarkStart w:id="399" w:name="platform-financials"/>
    <w:p>
      <w:pPr>
        <w:pStyle w:val="Heading3"/>
      </w:pPr>
      <w:r>
        <w:t xml:space="preserve">Platform Financials</w:t>
      </w:r>
    </w:p>
    <w:p>
      <w:pPr>
        <w:pStyle w:val="FirstParagraph"/>
      </w:pPr>
      <w:r>
        <w:rPr>
          <w:bCs/>
          <w:b/>
        </w:rPr>
        <w:t xml:space="preserve">SCR-24-FR-009</w:t>
      </w:r>
      <w:r>
        <w:t xml:space="preserve"> </w:t>
      </w:r>
      <w:r>
        <w:t xml:space="preserve">Cross-tenant financial intelligence SHALL show: ARR by tier / vertical / region, gross margin per tenant (revenue from OB03 minus serving cost from OB02), logo churn rate, expansion revenue, net revenue retention, payment status summary. Comparable to public SaaS financial reporting formats.</w:t>
      </w:r>
    </w:p>
    <w:bookmarkEnd w:id="399"/>
    <w:bookmarkStart w:id="400" w:name="data-access-governance"/>
    <w:p>
      <w:pPr>
        <w:pStyle w:val="Heading3"/>
      </w:pPr>
      <w:r>
        <w:t xml:space="preserve">Data Access Governance</w:t>
      </w:r>
    </w:p>
    <w:p>
      <w:pPr>
        <w:pStyle w:val="FirstParagraph"/>
      </w:pPr>
      <w:r>
        <w:rPr>
          <w:bCs/>
          <w:b/>
        </w:rPr>
        <w:t xml:space="preserve">SCR-24-FR-010</w:t>
      </w:r>
      <w:r>
        <w:t xml:space="preserve"> </w:t>
      </w:r>
      <w:r>
        <w:t xml:space="preserve">Every Super Admin cross-tenant action (particularly data access via 'impersonate' or 'read tenant') SHALL require: justification text, link to support ticket or CSM record, scope (read-only by default, write requires secondary approval from a second Super Admin), auto-expiry (default 2 hours), real-time notification to the affected Tenant Admin. Break-glass access is logged to SCR-20 in both the tenant's context and a dedicated Super Admin audit trail. Non-compliant access is technically impossible — the UI will not permit cross-tenant actions without this flow.</w:t>
      </w:r>
    </w:p>
    <w:p>
      <w:pPr>
        <w:pStyle w:val="BodyText"/>
      </w:pPr>
      <w:r>
        <w:rPr>
          <w:bCs/>
          <w:b/>
        </w:rPr>
        <w:t xml:space="preserve">SCR-24-FR-011</w:t>
      </w:r>
      <w:r>
        <w:t xml:space="preserve"> </w:t>
      </w:r>
      <w:r>
        <w:t xml:space="preserve">Access review: a monthly report lists every cross-tenant access event with justification, reviewer, and outcome. Patterns of unjustified access trigger internal escalation in Sevyn8's own governance workflow.</w:t>
      </w:r>
    </w:p>
    <w:bookmarkEnd w:id="400"/>
    <w:bookmarkStart w:id="401" w:name="platform-testing-quality"/>
    <w:p>
      <w:pPr>
        <w:pStyle w:val="Heading3"/>
      </w:pPr>
      <w:r>
        <w:t xml:space="preserve">Platform Testing &amp; Quality</w:t>
      </w:r>
    </w:p>
    <w:p>
      <w:pPr>
        <w:pStyle w:val="FirstParagraph"/>
      </w:pPr>
      <w:r>
        <w:rPr>
          <w:bCs/>
          <w:b/>
        </w:rPr>
        <w:t xml:space="preserve">SCR-24-FR-012</w:t>
      </w:r>
      <w:r>
        <w:t xml:space="preserve"> </w:t>
      </w:r>
      <w:r>
        <w:t xml:space="preserve">T01-backed quality dashboard SHALL show: end-to-end test pass rate, synthetic monitoring status per critical user journey, chaos engineering results, security scan outcomes. Failures block the release pipeline automatically.</w:t>
      </w:r>
    </w:p>
    <w:bookmarkEnd w:id="401"/>
    <w:bookmarkEnd w:id="402"/>
    <w:bookmarkStart w:id="403" w:name="acceptance-criteria-36"/>
    <w:p>
      <w:pPr>
        <w:pStyle w:val="Heading2"/>
      </w:pPr>
      <w:r>
        <w:t xml:space="preserve">Acceptance Criteria</w:t>
      </w:r>
    </w:p>
    <w:p>
      <w:pPr>
        <w:numPr>
          <w:ilvl w:val="0"/>
          <w:numId w:val="1014"/>
        </w:numPr>
      </w:pPr>
      <w:r>
        <w:t xml:space="preserve">Provisioning a new Standard-tier tenant takes under 10 minutes from wizard start to the first tenant admin's successful login.</w:t>
      </w:r>
    </w:p>
    <w:p>
      <w:pPr>
        <w:numPr>
          <w:ilvl w:val="0"/>
          <w:numId w:val="1014"/>
        </w:numPr>
      </w:pPr>
      <w:r>
        <w:t xml:space="preserve">Every cross-tenant data access by Sevyn8 staff is traceable end-to-end and visible to the affected Tenant Admin within 5 minutes of occurrence.</w:t>
      </w:r>
    </w:p>
    <w:p>
      <w:pPr>
        <w:numPr>
          <w:ilvl w:val="0"/>
          <w:numId w:val="1014"/>
        </w:numPr>
      </w:pPr>
      <w:r>
        <w:t xml:space="preserve">Platform-wide incident impact is answerable in under 30 seconds: 'which tenants are affected and who owns them?' — confirmed via quarterly incident response drills.</w:t>
      </w:r>
    </w:p>
    <w:p>
      <w:pPr>
        <w:numPr>
          <w:ilvl w:val="0"/>
          <w:numId w:val="1014"/>
        </w:numPr>
      </w:pPr>
      <w:r>
        <w:t xml:space="preserve">Feature flag rollouts can be staged across the fleet with per-tenant overrides, rollback to any prior state in under 60 seconds.</w:t>
      </w:r>
    </w:p>
    <w:bookmarkEnd w:id="403"/>
    <w:bookmarkEnd w:id="404"/>
    <w:bookmarkStart w:id="416" w:name="scr-03-industry-vertical-builder"/>
    <w:p>
      <w:pPr>
        <w:pStyle w:val="Heading1"/>
      </w:pPr>
      <w:r>
        <w:t xml:space="preserve">SCR-03 — Industry Vertical Builder</w:t>
      </w:r>
    </w:p>
    <w:tbl>
      <w:tblPr>
        <w:tblStyle w:val="Table"/>
        <w:tblW w:type="pct" w:w="4943"/>
        <w:tblLook w:firstRow="0" w:lastRow="0" w:firstColumn="0" w:lastColumn="0" w:noHBand="0" w:noVBand="0" w:val="0000"/>
        <w:jc w:val="start"/>
      </w:tblPr>
      <w:tblGrid>
        <w:gridCol w:w="1001"/>
        <w:gridCol w:w="6827"/>
      </w:tblGrid>
      <w:tr>
        <w:tc>
          <w:tcPr/>
          <w:p>
            <w:pPr>
              <w:pStyle w:val="Compact"/>
              <w:jc w:val="left"/>
            </w:pPr>
            <w:r>
              <w:rPr>
                <w:bCs/>
                <w:b/>
              </w:rPr>
              <w:t xml:space="preserve">Module ID</w:t>
            </w:r>
          </w:p>
        </w:tc>
        <w:tc>
          <w:tcPr/>
          <w:p>
            <w:pPr>
              <w:pStyle w:val="Compact"/>
              <w:jc w:val="left"/>
            </w:pPr>
            <w:r>
              <w:t xml:space="preserve">SCR-03</w:t>
            </w:r>
          </w:p>
        </w:tc>
      </w:tr>
      <w:tr>
        <w:tc>
          <w:tcPr/>
          <w:p>
            <w:pPr>
              <w:pStyle w:val="Compact"/>
              <w:jc w:val="left"/>
            </w:pPr>
            <w:r>
              <w:rPr>
                <w:bCs/>
                <w:b/>
              </w:rPr>
              <w:t xml:space="preserve">Phase</w:t>
            </w:r>
          </w:p>
        </w:tc>
        <w:tc>
          <w:tcPr/>
          <w:p>
            <w:pPr>
              <w:pStyle w:val="Compact"/>
              <w:jc w:val="left"/>
            </w:pPr>
            <w:r>
              <w:t xml:space="preserve">1 (Core — required for vertical expansion)</w:t>
            </w:r>
          </w:p>
        </w:tc>
      </w:tr>
      <w:tr>
        <w:tc>
          <w:tcPr/>
          <w:p>
            <w:pPr>
              <w:pStyle w:val="Compact"/>
              <w:jc w:val="left"/>
            </w:pPr>
            <w:r>
              <w:rPr>
                <w:bCs/>
                <w:b/>
              </w:rPr>
              <w:t xml:space="preserve">Complexity</w:t>
            </w:r>
          </w:p>
        </w:tc>
        <w:tc>
          <w:tcPr/>
          <w:p>
            <w:pPr>
              <w:pStyle w:val="Compact"/>
              <w:jc w:val="left"/>
            </w:pPr>
            <w:r>
              <w:t xml:space="preserve">High</w:t>
            </w:r>
          </w:p>
        </w:tc>
      </w:tr>
      <w:tr>
        <w:tc>
          <w:tcPr/>
          <w:p>
            <w:pPr>
              <w:pStyle w:val="Compact"/>
              <w:jc w:val="left"/>
            </w:pPr>
            <w:r>
              <w:rPr>
                <w:bCs/>
                <w:b/>
              </w:rPr>
              <w:t xml:space="preserve">Dependencies</w:t>
            </w:r>
          </w:p>
        </w:tc>
        <w:tc>
          <w:tcPr/>
          <w:p>
            <w:pPr>
              <w:pStyle w:val="Compact"/>
              <w:jc w:val="left"/>
            </w:pPr>
            <w:r>
              <w:t xml:space="preserve">IC01 (Industry Ontology Framework), D01 (Canonical Data Model), F04 (Configuration Plane), F05 (Schema Evolution), AC01 (RBAC — Super Admin only)</w:t>
            </w:r>
          </w:p>
        </w:tc>
      </w:tr>
      <w:tr>
        <w:tc>
          <w:tcPr/>
          <w:p>
            <w:pPr>
              <w:pStyle w:val="Compact"/>
              <w:jc w:val="left"/>
            </w:pPr>
            <w:r>
              <w:rPr>
                <w:bCs/>
                <w:b/>
              </w:rPr>
              <w:t xml:space="preserve">Depended On By</w:t>
            </w:r>
          </w:p>
        </w:tc>
        <w:tc>
          <w:tcPr/>
          <w:p>
            <w:pPr>
              <w:pStyle w:val="Compact"/>
              <w:jc w:val="left"/>
            </w:pPr>
            <w:r>
              <w:t xml:space="preserve">Every tenant onboarding; every tenant-facing screen whose content is vertical-scoped; W01 onboarding wizard</w:t>
            </w:r>
          </w:p>
        </w:tc>
      </w:tr>
      <w:tr>
        <w:tc>
          <w:tcPr/>
          <w:p>
            <w:pPr>
              <w:pStyle w:val="Compact"/>
              <w:jc w:val="left"/>
            </w:pPr>
            <w:r>
              <w:rPr>
                <w:bCs/>
                <w:b/>
              </w:rPr>
              <w:t xml:space="preserve">Owner</w:t>
            </w:r>
          </w:p>
        </w:tc>
        <w:tc>
          <w:tcPr/>
          <w:p>
            <w:pPr>
              <w:pStyle w:val="Compact"/>
              <w:jc w:val="left"/>
            </w:pPr>
            <w:r>
              <w:t xml:space="preserve">Platform Architecture Lead (Sevyn8 internal)</w:t>
            </w:r>
          </w:p>
        </w:tc>
      </w:tr>
    </w:tbl>
    <w:bookmarkStart w:id="405" w:name="purpose-46"/>
    <w:p>
      <w:pPr>
        <w:pStyle w:val="Heading2"/>
      </w:pPr>
      <w:r>
        <w:t xml:space="preserve">Purpose</w:t>
      </w:r>
    </w:p>
    <w:p>
      <w:pPr>
        <w:pStyle w:val="FirstParagraph"/>
      </w:pPr>
      <w:r>
        <w:t xml:space="preserve">SCR-03 is Super-Admin-only. It is the authoring environment where new industry verticals are defined as configuration packages — domain ontology extensions, KPI libraries, compliance rule sets, decision templates, connector catalogs, default screen sets. The retail vertical defined in D01 §1.4 is the first instance of an IC01 package; SCR-03 is the tool that lets Sevyn8 productise additional verticals without engineering involvement.</w:t>
      </w:r>
    </w:p>
    <w:p>
      <w:pPr>
        <w:pStyle w:val="BodyText"/>
      </w:pPr>
      <w:r>
        <w:t xml:space="preserve">This matters for the multi-vertical strategy: digital signage (near-term), F&amp;B, healthcare (regulated), and reinsurance (via Ensuredit brand) are all intended as verticals on the same Cortex platform. SCR-03 is the bottleneck-breaker that keeps vertical expansion from becoming a hiring problem.</w:t>
      </w:r>
    </w:p>
    <w:bookmarkEnd w:id="405"/>
    <w:bookmarkStart w:id="414" w:name="functional-requirements-22"/>
    <w:p>
      <w:pPr>
        <w:pStyle w:val="Heading2"/>
      </w:pPr>
      <w:r>
        <w:t xml:space="preserve">Functional Requirements</w:t>
      </w:r>
    </w:p>
    <w:bookmarkStart w:id="406" w:name="vertical-package-authoring"/>
    <w:p>
      <w:pPr>
        <w:pStyle w:val="Heading3"/>
      </w:pPr>
      <w:r>
        <w:t xml:space="preserve">Vertical Package Authoring</w:t>
      </w:r>
    </w:p>
    <w:p>
      <w:pPr>
        <w:pStyle w:val="FirstParagraph"/>
      </w:pPr>
      <w:r>
        <w:rPr>
          <w:bCs/>
          <w:b/>
        </w:rPr>
        <w:t xml:space="preserve">SCR-03-FR-001</w:t>
      </w:r>
      <w:r>
        <w:t xml:space="preserve"> </w:t>
      </w:r>
      <w:r>
        <w:t xml:space="preserve">A vertical package SHALL comprise: vertical_id, display name, description, parent vertical (if extending another), status (DRAFT / PUBLISHED / DEPRECATED), owner, version, effective date. Each package bundles ontology extension, KPI library, compliance rules, connector catalog, default screen set, and default widget additions.</w:t>
      </w:r>
    </w:p>
    <w:p>
      <w:pPr>
        <w:pStyle w:val="BodyText"/>
      </w:pPr>
      <w:r>
        <w:rPr>
          <w:bCs/>
          <w:b/>
        </w:rPr>
        <w:t xml:space="preserve">SCR-03-FR-002</w:t>
      </w:r>
      <w:r>
        <w:t xml:space="preserve"> </w:t>
      </w:r>
      <w:r>
        <w:t xml:space="preserve">Vertical inheritance: packages MAY declare a parent vertical. Example: 'beauty retail' extends 'retail' with additional entities (retail.SkinProfile, retail.ConsultationSession) without redefining the retail core.</w:t>
      </w:r>
    </w:p>
    <w:bookmarkEnd w:id="406"/>
    <w:bookmarkStart w:id="407" w:name="ontology-extension-editor"/>
    <w:p>
      <w:pPr>
        <w:pStyle w:val="Heading3"/>
      </w:pPr>
      <w:r>
        <w:t xml:space="preserve">Ontology Extension Editor</w:t>
      </w:r>
    </w:p>
    <w:p>
      <w:pPr>
        <w:pStyle w:val="FirstParagraph"/>
      </w:pPr>
      <w:r>
        <w:rPr>
          <w:bCs/>
          <w:b/>
        </w:rPr>
        <w:t xml:space="preserve">SCR-03-FR-003</w:t>
      </w:r>
      <w:r>
        <w:t xml:space="preserve"> </w:t>
      </w:r>
      <w:r>
        <w:t xml:space="preserve">Entity types extending Tier 1 core entities SHALL be authored with: canonical name in the vertical namespace (e.g., retail.Customer extends Entity), attributes (name, type, required, PII class, semantics, example), relationships to other entities, SCD policy. The editor reuses SCR-07 Canonical Schema Browser components in authoring mode.</w:t>
      </w:r>
    </w:p>
    <w:p>
      <w:pPr>
        <w:pStyle w:val="BodyText"/>
      </w:pPr>
      <w:r>
        <w:rPr>
          <w:bCs/>
          <w:b/>
        </w:rPr>
        <w:t xml:space="preserve">SCR-03-FR-004</w:t>
      </w:r>
      <w:r>
        <w:t xml:space="preserve"> </w:t>
      </w:r>
      <w:r>
        <w:t xml:space="preserve">Every attribute MUST carry a one-sentence semantic description before the package can be published. Platform publish gate enforces this — no 'TBD' attributes reach tenants.</w:t>
      </w:r>
    </w:p>
    <w:bookmarkEnd w:id="407"/>
    <w:bookmarkStart w:id="408" w:name="kpi-library"/>
    <w:p>
      <w:pPr>
        <w:pStyle w:val="Heading3"/>
      </w:pPr>
      <w:r>
        <w:t xml:space="preserve">KPI Library</w:t>
      </w:r>
    </w:p>
    <w:p>
      <w:pPr>
        <w:pStyle w:val="FirstParagraph"/>
      </w:pPr>
      <w:r>
        <w:rPr>
          <w:bCs/>
          <w:b/>
        </w:rPr>
        <w:t xml:space="preserve">SCR-03-FR-005</w:t>
      </w:r>
      <w:r>
        <w:t xml:space="preserve"> </w:t>
      </w:r>
      <w:r>
        <w:t xml:space="preserve">Vertical-standard KPIs SHALL be authored with: formula (expression over canonical entities), grain, dimensions, owner, freshness SLO. On tenant activation of the vertical, these KPIs auto-populate in the tenant's Gold layer and are immediately available to dashboard widgets via UX01.</w:t>
      </w:r>
    </w:p>
    <w:bookmarkEnd w:id="408"/>
    <w:bookmarkStart w:id="409" w:name="compliance-rule-sets"/>
    <w:p>
      <w:pPr>
        <w:pStyle w:val="Heading3"/>
      </w:pPr>
      <w:r>
        <w:t xml:space="preserve">Compliance Rule Sets</w:t>
      </w:r>
    </w:p>
    <w:p>
      <w:pPr>
        <w:pStyle w:val="FirstParagraph"/>
      </w:pPr>
      <w:r>
        <w:rPr>
          <w:bCs/>
          <w:b/>
        </w:rPr>
        <w:t xml:space="preserve">SCR-03-FR-006</w:t>
      </w:r>
      <w:r>
        <w:t xml:space="preserve"> </w:t>
      </w:r>
      <w:r>
        <w:t xml:space="preserve">Regulatory rules particular to the vertical SHALL be declarable as AC04 policies. Examples: retail includes DPDP, PCI-DSS for payment data; reinsurance adds Solvency II, FINMA; healthcare would add HIPAA, HITECH. Each rule includes a test mode that validates against synthetic sample data before publish.</w:t>
      </w:r>
    </w:p>
    <w:bookmarkEnd w:id="409"/>
    <w:bookmarkStart w:id="410" w:name="connector-catalog"/>
    <w:p>
      <w:pPr>
        <w:pStyle w:val="Heading3"/>
      </w:pPr>
      <w:r>
        <w:t xml:space="preserve">Connector Catalog</w:t>
      </w:r>
    </w:p>
    <w:p>
      <w:pPr>
        <w:pStyle w:val="FirstParagraph"/>
      </w:pPr>
      <w:r>
        <w:rPr>
          <w:bCs/>
          <w:b/>
        </w:rPr>
        <w:t xml:space="preserve">SCR-03-FR-007</w:t>
      </w:r>
      <w:r>
        <w:t xml:space="preserve"> </w:t>
      </w:r>
      <w:r>
        <w:t xml:space="preserve">Recommended data source types per vertical SHALL be declared: the retail package lists POS, CRM, Loyalty, Inventory, E-commerce, shelf imagery; the reinsurance package lists bordereaux feeds, SOV files, accumulation data. These surface in SCR-08 Data Source Wizard for tenants on that vertical.</w:t>
      </w:r>
    </w:p>
    <w:bookmarkEnd w:id="410"/>
    <w:bookmarkStart w:id="411" w:name="default-screen-set"/>
    <w:p>
      <w:pPr>
        <w:pStyle w:val="Heading3"/>
      </w:pPr>
      <w:r>
        <w:t xml:space="preserve">Default Screen Set</w:t>
      </w:r>
    </w:p>
    <w:p>
      <w:pPr>
        <w:pStyle w:val="FirstParagraph"/>
      </w:pPr>
      <w:r>
        <w:rPr>
          <w:bCs/>
          <w:b/>
        </w:rPr>
        <w:t xml:space="preserve">SCR-03-FR-008</w:t>
      </w:r>
      <w:r>
        <w:t xml:space="preserve"> </w:t>
      </w:r>
      <w:r>
        <w:t xml:space="preserve">Per vertical, SCR-03 SHALL declare: which admin screens (SCR-01–SCR-24) are enabled by default, which CX analytical screens are shown, which are conditional on data source presence, which are opt-in. Tenant overrides (via SCR-04) may hide but not unhide screens outside their tier.</w:t>
      </w:r>
    </w:p>
    <w:bookmarkEnd w:id="411"/>
    <w:bookmarkStart w:id="412" w:name="versioning-publishing-migration"/>
    <w:p>
      <w:pPr>
        <w:pStyle w:val="Heading3"/>
      </w:pPr>
      <w:r>
        <w:t xml:space="preserve">Versioning, Publishing, Migration</w:t>
      </w:r>
    </w:p>
    <w:p>
      <w:pPr>
        <w:pStyle w:val="FirstParagraph"/>
      </w:pPr>
      <w:r>
        <w:rPr>
          <w:bCs/>
          <w:b/>
        </w:rPr>
        <w:t xml:space="preserve">SCR-03-FR-009</w:t>
      </w:r>
      <w:r>
        <w:t xml:space="preserve"> </w:t>
      </w:r>
      <w:r>
        <w:t xml:space="preserve">Vertical packages SHALL be semver-versioned (major.minor.patch). Publishing a major version triggers impact analysis across all tenants on prior versions: which breaking changes affect which tenants, what migration is required. Tenants MAY pin to a major version; upgrade is opt-in for major, automatic for minor/patch.</w:t>
      </w:r>
    </w:p>
    <w:p>
      <w:pPr>
        <w:pStyle w:val="BodyText"/>
      </w:pPr>
      <w:r>
        <w:rPr>
          <w:bCs/>
          <w:b/>
        </w:rPr>
        <w:t xml:space="preserve">SCR-03-FR-010</w:t>
      </w:r>
      <w:r>
        <w:t xml:space="preserve"> </w:t>
      </w:r>
      <w:r>
        <w:t xml:space="preserve">Deprecation: a vertical package MAY be marked DEPRECATED with a sunset date. Active tenants receive migration notices; no new tenants may activate a deprecated package.</w:t>
      </w:r>
    </w:p>
    <w:bookmarkEnd w:id="412"/>
    <w:bookmarkStart w:id="413" w:name="vertical-testing-framework"/>
    <w:p>
      <w:pPr>
        <w:pStyle w:val="Heading3"/>
      </w:pPr>
      <w:r>
        <w:t xml:space="preserve">Vertical Testing Framework</w:t>
      </w:r>
    </w:p>
    <w:p>
      <w:pPr>
        <w:pStyle w:val="FirstParagraph"/>
      </w:pPr>
      <w:r>
        <w:rPr>
          <w:bCs/>
          <w:b/>
        </w:rPr>
        <w:t xml:space="preserve">SCR-03-FR-011</w:t>
      </w:r>
      <w:r>
        <w:t xml:space="preserve"> </w:t>
      </w:r>
      <w:r>
        <w:t xml:space="preserve">Every vertical package in DRAFT SHALL be testable in a sample tenant environment with synthetic data matching the ontology, pre-populated through T01 testing framework. End-to-end validation (ingest → canonical → KPI compute → dashboard render) must pass before publish.</w:t>
      </w:r>
    </w:p>
    <w:bookmarkEnd w:id="413"/>
    <w:bookmarkEnd w:id="414"/>
    <w:bookmarkStart w:id="415" w:name="acceptance-criteria-37"/>
    <w:p>
      <w:pPr>
        <w:pStyle w:val="Heading2"/>
      </w:pPr>
      <w:r>
        <w:t xml:space="preserve">Acceptance Criteria</w:t>
      </w:r>
    </w:p>
    <w:p>
      <w:pPr>
        <w:numPr>
          <w:ilvl w:val="0"/>
          <w:numId w:val="1015"/>
        </w:numPr>
      </w:pPr>
      <w:r>
        <w:t xml:space="preserve">A new vertical with 10 entity types, 20 KPIs, 5 compliance rules, and a default screen set is definable in under 3 days by Super Admin without engineering involvement (matches IC01-FR-004).</w:t>
      </w:r>
    </w:p>
    <w:p>
      <w:pPr>
        <w:numPr>
          <w:ilvl w:val="0"/>
          <w:numId w:val="1015"/>
        </w:numPr>
      </w:pPr>
      <w:r>
        <w:t xml:space="preserve">Publishing a vertical version auto-instantiates screen availability, widget templates, and KPI definitions for any tenant activating that version.</w:t>
      </w:r>
    </w:p>
    <w:p>
      <w:pPr>
        <w:numPr>
          <w:ilvl w:val="0"/>
          <w:numId w:val="1015"/>
        </w:numPr>
      </w:pPr>
      <w:r>
        <w:t xml:space="preserve">Breaking-change version publishes produce complete impact reports — every affected tenant is identified with the specific entities or KPIs requiring migration.</w:t>
      </w:r>
    </w:p>
    <w:p>
      <w:pPr>
        <w:numPr>
          <w:ilvl w:val="0"/>
          <w:numId w:val="1015"/>
        </w:numPr>
      </w:pPr>
      <w:r>
        <w:t xml:space="preserve">Deprecated verticals cannot be selected by new tenants; existing tenants on deprecated versions receive migration notices at publish time and monthly thereafter.</w:t>
      </w:r>
    </w:p>
    <w:bookmarkEnd w:id="415"/>
    <w:bookmarkEnd w:id="416"/>
    <w:bookmarkStart w:id="425" w:name="scr-06-role-permission-manager"/>
    <w:p>
      <w:pPr>
        <w:pStyle w:val="Heading1"/>
      </w:pPr>
      <w:r>
        <w:t xml:space="preserve">SCR-06 — Role &amp; Permission Manager</w:t>
      </w:r>
    </w:p>
    <w:tbl>
      <w:tblPr>
        <w:tblStyle w:val="Table"/>
        <w:tblW w:type="pct" w:w="4880"/>
        <w:tblLook w:firstRow="0" w:lastRow="0" w:firstColumn="0" w:lastColumn="0" w:noHBand="0" w:noVBand="0" w:val="0000"/>
        <w:jc w:val="start"/>
      </w:tblPr>
      <w:tblGrid>
        <w:gridCol w:w="2099"/>
        <w:gridCol w:w="5629"/>
      </w:tblGrid>
      <w:tr>
        <w:tc>
          <w:tcPr/>
          <w:p>
            <w:pPr>
              <w:pStyle w:val="Compact"/>
              <w:jc w:val="left"/>
            </w:pPr>
            <w:r>
              <w:rPr>
                <w:bCs/>
                <w:b/>
              </w:rPr>
              <w:t xml:space="preserve">Module ID</w:t>
            </w:r>
          </w:p>
        </w:tc>
        <w:tc>
          <w:tcPr/>
          <w:p>
            <w:pPr>
              <w:pStyle w:val="Compact"/>
              <w:jc w:val="left"/>
            </w:pPr>
            <w:r>
              <w:t xml:space="preserve">SCR-06</w:t>
            </w:r>
          </w:p>
        </w:tc>
      </w:tr>
      <w:tr>
        <w:tc>
          <w:tcPr/>
          <w:p>
            <w:pPr>
              <w:pStyle w:val="Compact"/>
              <w:jc w:val="left"/>
            </w:pPr>
            <w:r>
              <w:rPr>
                <w:bCs/>
                <w:b/>
              </w:rPr>
              <w:t xml:space="preserve">Phase</w:t>
            </w:r>
          </w:p>
        </w:tc>
        <w:tc>
          <w:tcPr/>
          <w:p>
            <w:pPr>
              <w:pStyle w:val="Compact"/>
              <w:jc w:val="left"/>
            </w:pPr>
            <w:r>
              <w:t xml:space="preserve">1 (Core Admin Experience)</w:t>
            </w:r>
          </w:p>
        </w:tc>
      </w:tr>
      <w:tr>
        <w:tc>
          <w:tcPr/>
          <w:p>
            <w:pPr>
              <w:pStyle w:val="Compact"/>
              <w:jc w:val="left"/>
            </w:pPr>
            <w:r>
              <w:rPr>
                <w:bCs/>
                <w:b/>
              </w:rPr>
              <w:t xml:space="preserve">Complexity</w:t>
            </w:r>
          </w:p>
        </w:tc>
        <w:tc>
          <w:tcPr/>
          <w:p>
            <w:pPr>
              <w:pStyle w:val="Compact"/>
              <w:jc w:val="left"/>
            </w:pPr>
            <w:r>
              <w:t xml:space="preserve">Medium</w:t>
            </w:r>
          </w:p>
        </w:tc>
      </w:tr>
      <w:tr>
        <w:tc>
          <w:tcPr/>
          <w:p>
            <w:pPr>
              <w:pStyle w:val="Compact"/>
              <w:jc w:val="left"/>
            </w:pPr>
            <w:r>
              <w:rPr>
                <w:bCs/>
                <w:b/>
              </w:rPr>
              <w:t xml:space="preserve">Dependencies</w:t>
            </w:r>
          </w:p>
        </w:tc>
        <w:tc>
          <w:tcPr/>
          <w:p>
            <w:pPr>
              <w:pStyle w:val="Compact"/>
              <w:jc w:val="left"/>
            </w:pPr>
            <w:r>
              <w:t xml:space="preserve">AC01 (RBAC + ABAC Engine), AC02 (Hierarchy), SCR-02 (Users)</w:t>
            </w:r>
          </w:p>
        </w:tc>
      </w:tr>
      <w:tr>
        <w:tc>
          <w:tcPr/>
          <w:p>
            <w:pPr>
              <w:pStyle w:val="Compact"/>
              <w:jc w:val="left"/>
            </w:pPr>
            <w:r>
              <w:rPr>
                <w:bCs/>
                <w:b/>
              </w:rPr>
              <w:t xml:space="preserve">Depended On By</w:t>
            </w:r>
          </w:p>
        </w:tc>
        <w:tc>
          <w:tcPr/>
          <w:p>
            <w:pPr>
              <w:pStyle w:val="Compact"/>
              <w:jc w:val="left"/>
            </w:pPr>
            <w:r>
              <w:t xml:space="preserve">Every RBAC-gated surface in Cortex</w:t>
            </w:r>
          </w:p>
        </w:tc>
      </w:tr>
      <w:tr>
        <w:tc>
          <w:tcPr/>
          <w:p>
            <w:pPr>
              <w:pStyle w:val="Compact"/>
              <w:jc w:val="left"/>
            </w:pPr>
            <w:r>
              <w:rPr>
                <w:bCs/>
                <w:b/>
              </w:rPr>
              <w:t xml:space="preserve">Owner</w:t>
            </w:r>
          </w:p>
        </w:tc>
        <w:tc>
          <w:tcPr/>
          <w:p>
            <w:pPr>
              <w:pStyle w:val="Compact"/>
              <w:jc w:val="left"/>
            </w:pPr>
            <w:r>
              <w:t xml:space="preserve">Platform Engineering Lead</w:t>
            </w:r>
          </w:p>
        </w:tc>
      </w:tr>
    </w:tbl>
    <w:bookmarkStart w:id="417" w:name="purpose-47"/>
    <w:p>
      <w:pPr>
        <w:pStyle w:val="Heading2"/>
      </w:pPr>
      <w:r>
        <w:t xml:space="preserve">Purpose</w:t>
      </w:r>
    </w:p>
    <w:p>
      <w:pPr>
        <w:pStyle w:val="FirstParagraph"/>
      </w:pPr>
      <w:r>
        <w:t xml:space="preserve">SCR-06 is where tenant admins review platform-defined roles, author custom roles, configure permissions per resource type, and audit role assignments. SCR-02 handles user-to-role assignment; SCR-06 handles role definition. Separating these concerns matters because roles have longer lifecycles and wider blast radius than user assignments.</w:t>
      </w:r>
    </w:p>
    <w:bookmarkEnd w:id="417"/>
    <w:bookmarkStart w:id="423" w:name="functional-requirements-23"/>
    <w:p>
      <w:pPr>
        <w:pStyle w:val="Heading2"/>
      </w:pPr>
      <w:r>
        <w:t xml:space="preserve">Functional Requirements</w:t>
      </w:r>
    </w:p>
    <w:bookmarkStart w:id="418" w:name="role-catalog"/>
    <w:p>
      <w:pPr>
        <w:pStyle w:val="Heading3"/>
      </w:pPr>
      <w:r>
        <w:t xml:space="preserve">Role Catalog</w:t>
      </w:r>
    </w:p>
    <w:p>
      <w:pPr>
        <w:pStyle w:val="FirstParagraph"/>
      </w:pPr>
      <w:r>
        <w:rPr>
          <w:bCs/>
          <w:b/>
        </w:rPr>
        <w:t xml:space="preserve">SCR-06-FR-001</w:t>
      </w:r>
      <w:r>
        <w:t xml:space="preserve"> </w:t>
      </w:r>
      <w:r>
        <w:t xml:space="preserve">Platform-defined roles (SUPER_ADMIN, TENANT_ADMIN, SUB_TENANT_ADMIN, DATA_STEWARD, ALGORITHM_MANAGER, END_USER per AC01-FR-001) SHALL display as read-only templates with full permission specifications visible. Tenant-custom roles list below with ownership, user count, created date, last modified.</w:t>
      </w:r>
    </w:p>
    <w:bookmarkEnd w:id="418"/>
    <w:bookmarkStart w:id="419" w:name="custom-role-authoring"/>
    <w:p>
      <w:pPr>
        <w:pStyle w:val="Heading3"/>
      </w:pPr>
      <w:r>
        <w:t xml:space="preserve">Custom Role Authoring</w:t>
      </w:r>
    </w:p>
    <w:p>
      <w:pPr>
        <w:pStyle w:val="FirstParagraph"/>
      </w:pPr>
      <w:r>
        <w:rPr>
          <w:bCs/>
          <w:b/>
        </w:rPr>
        <w:t xml:space="preserve">SCR-06-FR-002</w:t>
      </w:r>
      <w:r>
        <w:t xml:space="preserve"> </w:t>
      </w:r>
      <w:r>
        <w:t xml:space="preserve">New custom role authoring SHALL capture: name, description, derived-from (base platform role), permission overrides, default hierarchy scope, default workspace(s), default consent-gated data visibility. Overrides can add or subtract from the base role's permissions.</w:t>
      </w:r>
    </w:p>
    <w:p>
      <w:pPr>
        <w:pStyle w:val="BodyText"/>
      </w:pPr>
      <w:r>
        <w:rPr>
          <w:bCs/>
          <w:b/>
        </w:rPr>
        <w:t xml:space="preserve">SCR-06-FR-003</w:t>
      </w:r>
      <w:r>
        <w:t xml:space="preserve"> </w:t>
      </w:r>
      <w:r>
        <w:t xml:space="preserve">The permission matrix SHALL render as resource types (from D01 canonical entities, plus system resources like 'screens', 'api_endpoints', 'reports') × actions (read, write, delete, execute, admin) with allow/deny and column-level PII masking per AC01 ABAC rules.</w:t>
      </w:r>
    </w:p>
    <w:bookmarkEnd w:id="419"/>
    <w:bookmarkStart w:id="420" w:name="permission-preview-testing"/>
    <w:p>
      <w:pPr>
        <w:pStyle w:val="Heading3"/>
      </w:pPr>
      <w:r>
        <w:t xml:space="preserve">Permission Preview &amp; Testing</w:t>
      </w:r>
    </w:p>
    <w:p>
      <w:pPr>
        <w:pStyle w:val="FirstParagraph"/>
      </w:pPr>
      <w:r>
        <w:rPr>
          <w:bCs/>
          <w:b/>
        </w:rPr>
        <w:t xml:space="preserve">SCR-06-FR-004</w:t>
      </w:r>
      <w:r>
        <w:t xml:space="preserve"> </w:t>
      </w:r>
      <w:r>
        <w:t xml:space="preserve">Permission Preview: admin selects a user (existing or hypothetical), SCR-06 shows precisely what they can see and do across every screen — visible KPIs, accessible records, allowed actions, masked fields. Useful for verifying a role behaves as intended before deployment.</w:t>
      </w:r>
    </w:p>
    <w:p>
      <w:pPr>
        <w:pStyle w:val="BodyText"/>
      </w:pPr>
      <w:r>
        <w:rPr>
          <w:bCs/>
          <w:b/>
        </w:rPr>
        <w:t xml:space="preserve">SCR-06-FR-005</w:t>
      </w:r>
      <w:r>
        <w:t xml:space="preserve"> </w:t>
      </w:r>
      <w:r>
        <w:t xml:space="preserve">Policy Simulator: admin enters a user context and a specific action (e.g., 'user Alice, requesting to export customer list for Mumbai stores'). SCR-06 returns the authorization outcome with a reasoning trace showing which policies matched, which denied, final decision. Used for debugging permission issues.</w:t>
      </w:r>
    </w:p>
    <w:bookmarkEnd w:id="420"/>
    <w:bookmarkStart w:id="421" w:name="role-impact-audit"/>
    <w:p>
      <w:pPr>
        <w:pStyle w:val="Heading3"/>
      </w:pPr>
      <w:r>
        <w:t xml:space="preserve">Role Impact &amp; Audit</w:t>
      </w:r>
    </w:p>
    <w:p>
      <w:pPr>
        <w:pStyle w:val="FirstParagraph"/>
      </w:pPr>
      <w:r>
        <w:rPr>
          <w:bCs/>
          <w:b/>
        </w:rPr>
        <w:t xml:space="preserve">SCR-06-FR-006</w:t>
      </w:r>
      <w:r>
        <w:t xml:space="preserve"> </w:t>
      </w:r>
      <w:r>
        <w:t xml:space="preserve">Role Impact view: selecting a role surfaces all users currently assigned, all resources they access, and recent activity. Enables informed role changes — admin sees the blast radius before editing.</w:t>
      </w:r>
    </w:p>
    <w:p>
      <w:pPr>
        <w:pStyle w:val="BodyText"/>
      </w:pPr>
      <w:r>
        <w:rPr>
          <w:bCs/>
          <w:b/>
        </w:rPr>
        <w:t xml:space="preserve">SCR-06-FR-007</w:t>
      </w:r>
      <w:r>
        <w:t xml:space="preserve"> </w:t>
      </w:r>
      <w:r>
        <w:t xml:space="preserve">Role change auditing: every role edit produces a versioned diff in SCR-20 Audit Log. Active sessions for affected users are re-evaluated against the new role within 30 seconds.</w:t>
      </w:r>
    </w:p>
    <w:bookmarkEnd w:id="421"/>
    <w:bookmarkStart w:id="422" w:name="role-lifecycle"/>
    <w:p>
      <w:pPr>
        <w:pStyle w:val="Heading3"/>
      </w:pPr>
      <w:r>
        <w:t xml:space="preserve">Role Lifecycle</w:t>
      </w:r>
    </w:p>
    <w:p>
      <w:pPr>
        <w:pStyle w:val="FirstParagraph"/>
      </w:pPr>
      <w:r>
        <w:rPr>
          <w:bCs/>
          <w:b/>
        </w:rPr>
        <w:t xml:space="preserve">SCR-06-FR-008</w:t>
      </w:r>
      <w:r>
        <w:t xml:space="preserve"> </w:t>
      </w:r>
      <w:r>
        <w:t xml:space="preserve">Roles follow draft → published → deprecated with versioning. Deprecated roles cannot accept new assignments; existing assignees migrate to a designated successor role or are notified for individual reassignment.</w:t>
      </w:r>
    </w:p>
    <w:bookmarkEnd w:id="422"/>
    <w:bookmarkEnd w:id="423"/>
    <w:bookmarkStart w:id="424" w:name="acceptance-criteria-38"/>
    <w:p>
      <w:pPr>
        <w:pStyle w:val="Heading2"/>
      </w:pPr>
      <w:r>
        <w:t xml:space="preserve">Acceptance Criteria</w:t>
      </w:r>
    </w:p>
    <w:p>
      <w:pPr>
        <w:numPr>
          <w:ilvl w:val="0"/>
          <w:numId w:val="1016"/>
        </w:numPr>
      </w:pPr>
      <w:r>
        <w:t xml:space="preserve">Tenant Admin creates a 'Regional Analyst' custom role with hierarchy-scoped read, PII column masking, and aggregation-only below city level in under 5 minutes (matches AC01-FR-001 acceptance).</w:t>
      </w:r>
    </w:p>
    <w:p>
      <w:pPr>
        <w:numPr>
          <w:ilvl w:val="0"/>
          <w:numId w:val="1016"/>
        </w:numPr>
      </w:pPr>
      <w:r>
        <w:t xml:space="preserve">The policy simulator answers 'what would this user see on CX-03?' correctly in 100% of regression tests.</w:t>
      </w:r>
    </w:p>
    <w:p>
      <w:pPr>
        <w:numPr>
          <w:ilvl w:val="0"/>
          <w:numId w:val="1016"/>
        </w:numPr>
      </w:pPr>
      <w:r>
        <w:t xml:space="preserve">Role changes propagate to live sessions within 30 seconds; no user ever operates under a stale permission set.</w:t>
      </w:r>
    </w:p>
    <w:p>
      <w:pPr>
        <w:numPr>
          <w:ilvl w:val="0"/>
          <w:numId w:val="1016"/>
        </w:numPr>
      </w:pPr>
      <w:r>
        <w:t xml:space="preserve">Deprecating a role surfaces all current assignees with a designated migration target before the deprecation takes effect.</w:t>
      </w:r>
    </w:p>
    <w:bookmarkEnd w:id="424"/>
    <w:bookmarkEnd w:id="425"/>
    <w:bookmarkStart w:id="438" w:name="X75f9962051cbcaf5486fa5d3dcd437d13a3ccf5"/>
    <w:p>
      <w:pPr>
        <w:pStyle w:val="Heading1"/>
      </w:pPr>
      <w:r>
        <w:t xml:space="preserve">SCR-08 — Data Source Wizard &amp; Ingestion Health</w:t>
      </w:r>
    </w:p>
    <w:tbl>
      <w:tblPr>
        <w:tblStyle w:val="Table"/>
        <w:tblW w:type="pct" w:w="4956"/>
        <w:tblLook w:firstRow="0" w:lastRow="0" w:firstColumn="0" w:lastColumn="0" w:noHBand="0" w:noVBand="0" w:val="0000"/>
        <w:jc w:val="start"/>
      </w:tblPr>
      <w:tblGrid>
        <w:gridCol w:w="767"/>
        <w:gridCol w:w="7082"/>
      </w:tblGrid>
      <w:tr>
        <w:tc>
          <w:tcPr/>
          <w:p>
            <w:pPr>
              <w:pStyle w:val="Compact"/>
              <w:jc w:val="left"/>
            </w:pPr>
            <w:r>
              <w:rPr>
                <w:bCs/>
                <w:b/>
              </w:rPr>
              <w:t xml:space="preserve">Module ID</w:t>
            </w:r>
          </w:p>
        </w:tc>
        <w:tc>
          <w:tcPr/>
          <w:p>
            <w:pPr>
              <w:pStyle w:val="Compact"/>
              <w:jc w:val="left"/>
            </w:pPr>
            <w:r>
              <w:t xml:space="preserve">SCR-08</w:t>
            </w:r>
          </w:p>
        </w:tc>
      </w:tr>
      <w:tr>
        <w:tc>
          <w:tcPr/>
          <w:p>
            <w:pPr>
              <w:pStyle w:val="Compact"/>
              <w:jc w:val="left"/>
            </w:pPr>
            <w:r>
              <w:rPr>
                <w:bCs/>
                <w:b/>
              </w:rPr>
              <w:t xml:space="preserve">Phase</w:t>
            </w:r>
          </w:p>
        </w:tc>
        <w:tc>
          <w:tcPr/>
          <w:p>
            <w:pPr>
              <w:pStyle w:val="Compact"/>
              <w:jc w:val="left"/>
            </w:pPr>
            <w:r>
              <w:t xml:space="preserve">1 (Core Admin Experience — highest priority for DIS operators)</w:t>
            </w:r>
          </w:p>
        </w:tc>
      </w:tr>
      <w:tr>
        <w:tc>
          <w:tcPr/>
          <w:p>
            <w:pPr>
              <w:pStyle w:val="Compact"/>
              <w:jc w:val="left"/>
            </w:pPr>
            <w:r>
              <w:rPr>
                <w:bCs/>
                <w:b/>
              </w:rPr>
              <w:t xml:space="preserve">Complexity</w:t>
            </w:r>
          </w:p>
        </w:tc>
        <w:tc>
          <w:tcPr/>
          <w:p>
            <w:pPr>
              <w:pStyle w:val="Compact"/>
              <w:jc w:val="left"/>
            </w:pPr>
            <w:r>
              <w:t xml:space="preserve">High</w:t>
            </w:r>
          </w:p>
        </w:tc>
      </w:tr>
      <w:tr>
        <w:tc>
          <w:tcPr/>
          <w:p>
            <w:pPr>
              <w:pStyle w:val="Compact"/>
              <w:jc w:val="left"/>
            </w:pPr>
            <w:r>
              <w:rPr>
                <w:bCs/>
                <w:b/>
              </w:rPr>
              <w:t xml:space="preserve">Dependencies</w:t>
            </w:r>
          </w:p>
        </w:tc>
        <w:tc>
          <w:tcPr/>
          <w:p>
            <w:pPr>
              <w:pStyle w:val="Compact"/>
              <w:jc w:val="left"/>
            </w:pPr>
            <w:r>
              <w:t xml:space="preserve">G01 (Universal Ingestion Gateway), G02 (Structured Data Pipeline), G03 (Document), G04 (Video), G05 (Audio), G06 (IoT), D02 (Canonical Mapping), D04 (Data Quality), D05 (Lineage), SCR-09 (Mapping Studio)</w:t>
            </w:r>
          </w:p>
        </w:tc>
      </w:tr>
      <w:tr>
        <w:tc>
          <w:tcPr/>
          <w:p>
            <w:pPr>
              <w:pStyle w:val="Compact"/>
              <w:jc w:val="left"/>
            </w:pPr>
            <w:r>
              <w:rPr>
                <w:bCs/>
                <w:b/>
              </w:rPr>
              <w:t xml:space="preserve">Depended On By</w:t>
            </w:r>
          </w:p>
        </w:tc>
        <w:tc>
          <w:tcPr/>
          <w:p>
            <w:pPr>
              <w:pStyle w:val="Compact"/>
              <w:jc w:val="left"/>
            </w:pPr>
            <w:r>
              <w:t xml:space="preserve">SCR-01 (health card), SCR-10 (Data Quality), CX-04 (Alert Centre), every downstream dataset; the primary operational cockpit for DIS</w:t>
            </w:r>
          </w:p>
        </w:tc>
      </w:tr>
      <w:tr>
        <w:tc>
          <w:tcPr/>
          <w:p>
            <w:pPr>
              <w:pStyle w:val="Compact"/>
              <w:jc w:val="left"/>
            </w:pPr>
            <w:r>
              <w:rPr>
                <w:bCs/>
                <w:b/>
              </w:rPr>
              <w:t xml:space="preserve">Owner</w:t>
            </w:r>
          </w:p>
        </w:tc>
        <w:tc>
          <w:tcPr/>
          <w:p>
            <w:pPr>
              <w:pStyle w:val="Compact"/>
              <w:jc w:val="left"/>
            </w:pPr>
            <w:r>
              <w:t xml:space="preserve">Data Platform Lead</w:t>
            </w:r>
          </w:p>
        </w:tc>
      </w:tr>
    </w:tbl>
    <w:bookmarkStart w:id="426" w:name="purpose-48"/>
    <w:p>
      <w:pPr>
        <w:pStyle w:val="Heading2"/>
      </w:pPr>
      <w:r>
        <w:t xml:space="preserve">Purpose</w:t>
      </w:r>
    </w:p>
    <w:p>
      <w:pPr>
        <w:pStyle w:val="FirstParagraph"/>
      </w:pPr>
      <w:r>
        <w:t xml:space="preserve">SCR-08 is the operational heart of the Data Ingestion Service. Every connected source lives here; every run, every failure, every recovery. This is where the platform's 'never silent' principle is made visible — every record that enters Cortex is visible; every record that was rejected is visible with a reason; every record that is held is traceable to the gate holding it.</w:t>
      </w:r>
    </w:p>
    <w:p>
      <w:pPr>
        <w:pStyle w:val="BodyText"/>
      </w:pPr>
      <w:r>
        <w:t xml:space="preserve">For Display Data's Ithina deployment, SCR-08 is the single most frequently used screen in the Admin Console. Every ROOS feed, every ScanLink push, every HHT-app upload, every manual CSV surfaces here first.</w:t>
      </w:r>
    </w:p>
    <w:bookmarkEnd w:id="426"/>
    <w:bookmarkStart w:id="436" w:name="functional-requirements-24"/>
    <w:p>
      <w:pPr>
        <w:pStyle w:val="Heading2"/>
      </w:pPr>
      <w:r>
        <w:t xml:space="preserve">Functional Requirements</w:t>
      </w:r>
    </w:p>
    <w:bookmarkStart w:id="427" w:name="source-catalog"/>
    <w:p>
      <w:pPr>
        <w:pStyle w:val="Heading3"/>
      </w:pPr>
      <w:r>
        <w:t xml:space="preserve">Source Catalog</w:t>
      </w:r>
    </w:p>
    <w:p>
      <w:pPr>
        <w:pStyle w:val="FirstParagraph"/>
      </w:pPr>
      <w:r>
        <w:rPr>
          <w:bCs/>
          <w:b/>
        </w:rPr>
        <w:t xml:space="preserve">SCR-08-FR-001</w:t>
      </w:r>
      <w:r>
        <w:t xml:space="preserve"> </w:t>
      </w:r>
      <w:r>
        <w:t xml:space="preserve">The Source Catalog SHALL display every connected source as a card with: display name, connector type, source icon, live health badge (HEALTHY / DEGRADED / FAILED / PAUSED), last successful run, current lag, records ingested today, owner, workspace, quick-action menu (pause / resume / edit / view runs).</w:t>
      </w:r>
    </w:p>
    <w:p>
      <w:pPr>
        <w:pStyle w:val="BodyText"/>
      </w:pPr>
      <w:r>
        <w:rPr>
          <w:bCs/>
          <w:b/>
        </w:rPr>
        <w:t xml:space="preserve">SCR-08-FR-002</w:t>
      </w:r>
      <w:r>
        <w:t xml:space="preserve"> </w:t>
      </w:r>
      <w:r>
        <w:t xml:space="preserve">Filtering and grouping: by connector type, workspace, health status, owner, tag. Saved views persist per user.</w:t>
      </w:r>
    </w:p>
    <w:bookmarkEnd w:id="427"/>
    <w:bookmarkStart w:id="428" w:name="add-source-wizard"/>
    <w:p>
      <w:pPr>
        <w:pStyle w:val="Heading3"/>
      </w:pPr>
      <w:r>
        <w:t xml:space="preserve">Add Source Wizard</w:t>
      </w:r>
    </w:p>
    <w:p>
      <w:pPr>
        <w:pStyle w:val="FirstParagraph"/>
      </w:pPr>
      <w:r>
        <w:rPr>
          <w:bCs/>
          <w:b/>
        </w:rPr>
        <w:t xml:space="preserve">SCR-08-FR-003</w:t>
      </w:r>
      <w:r>
        <w:t xml:space="preserve"> </w:t>
      </w:r>
      <w:r>
        <w:t xml:space="preserve">Add Source wizard SHALL follow these steps: (1) source-type picker from connector catalog (filtered by tenant's vertical package), (2) connection configuration (credentials via KMS, endpoints, auth method), (3) schema preview (derived from G01 introspection or sample-file inference), (4) ingestion policy (schedule, batch size, partitioning), (5) consent purpose declaration (link to PR01), (6) PII field classification, (7) activation with test-run option.</w:t>
      </w:r>
    </w:p>
    <w:p>
      <w:pPr>
        <w:pStyle w:val="BodyText"/>
      </w:pPr>
      <w:r>
        <w:rPr>
          <w:bCs/>
          <w:b/>
        </w:rPr>
        <w:t xml:space="preserve">SCR-08-FR-004</w:t>
      </w:r>
      <w:r>
        <w:t xml:space="preserve"> </w:t>
      </w:r>
      <w:r>
        <w:t xml:space="preserve">Supported source types at launch: ROOS (Ithina proprietary), Direct/ScanLink, SFTP drop folder, S3 / GCS bucket, Kafka topic, HTTPS webhook endpoint, manual CSV / Excel upload (routed through the Universal CSV Ingestion Agent), Google Sheets, JDBC (Postgres / MySQL / BigQuery / Snowflake / Oracle), REST API poller, MCP endpoint consumer.</w:t>
      </w:r>
    </w:p>
    <w:p>
      <w:pPr>
        <w:pStyle w:val="BodyText"/>
      </w:pPr>
      <w:r>
        <w:rPr>
          <w:bCs/>
          <w:b/>
        </w:rPr>
        <w:t xml:space="preserve">SCR-08-FR-005</w:t>
      </w:r>
      <w:r>
        <w:t xml:space="preserve"> </w:t>
      </w:r>
      <w:r>
        <w:t xml:space="preserve">Every new source SHALL require a declared consent purpose (from PR01) and an owner before it can activate. The 'just ingest and figure it out later' path is closed by design.</w:t>
      </w:r>
    </w:p>
    <w:bookmarkEnd w:id="428"/>
    <w:bookmarkStart w:id="429" w:name="source-detail"/>
    <w:p>
      <w:pPr>
        <w:pStyle w:val="Heading3"/>
      </w:pPr>
      <w:r>
        <w:t xml:space="preserve">Source Detail</w:t>
      </w:r>
    </w:p>
    <w:p>
      <w:pPr>
        <w:pStyle w:val="FirstParagraph"/>
      </w:pPr>
      <w:r>
        <w:rPr>
          <w:bCs/>
          <w:b/>
        </w:rPr>
        <w:t xml:space="preserve">SCR-08-FR-006</w:t>
      </w:r>
      <w:r>
        <w:t xml:space="preserve"> </w:t>
      </w:r>
      <w:r>
        <w:t xml:space="preserve">Source Detail page SHALL show: schedule, last run, next run, backpressure indicators, retry policy, SLA commitments, owner, consent purposes, PII inventory, related mappings (link to SCR-09), quality score (link to SCR-10), lineage (link to SCR-20), runbook URL, and inline notes.</w:t>
      </w:r>
    </w:p>
    <w:bookmarkEnd w:id="429"/>
    <w:bookmarkStart w:id="430" w:name="runs-list-run-detail"/>
    <w:p>
      <w:pPr>
        <w:pStyle w:val="Heading3"/>
      </w:pPr>
      <w:r>
        <w:t xml:space="preserve">Runs List &amp; Run Detail</w:t>
      </w:r>
    </w:p>
    <w:p>
      <w:pPr>
        <w:pStyle w:val="FirstParagraph"/>
      </w:pPr>
      <w:r>
        <w:rPr>
          <w:bCs/>
          <w:b/>
        </w:rPr>
        <w:t xml:space="preserve">SCR-08-FR-007</w:t>
      </w:r>
      <w:r>
        <w:t xml:space="preserve"> </w:t>
      </w:r>
      <w:r>
        <w:t xml:space="preserve">Runs List SHALL display every pipeline run with: run_id, source, started_at, duration, 10-state machine position, records processed, records rejected, records held, final state, triggering event. Filterable and searchable across all runs.</w:t>
      </w:r>
    </w:p>
    <w:p>
      <w:pPr>
        <w:pStyle w:val="BodyText"/>
      </w:pPr>
      <w:r>
        <w:rPr>
          <w:bCs/>
          <w:b/>
        </w:rPr>
        <w:t xml:space="preserve">SCR-08-FR-008</w:t>
      </w:r>
      <w:r>
        <w:t xml:space="preserve"> </w:t>
      </w:r>
      <w:r>
        <w:t xml:space="preserve">Run Detail SHALL visualise the 10-state machine horizontally with per-state timestamps, durations, row counts, and reason codes. Each of the 7 pipeline stages (Collect, Clean, Warehouse, Analyze, Decide, Act, Compound) has an expandable drilldown showing inputs, transformations applied, outputs, and any agent intervention.</w:t>
      </w:r>
    </w:p>
    <w:bookmarkEnd w:id="430"/>
    <w:bookmarkStart w:id="431" w:name="record-inspector"/>
    <w:p>
      <w:pPr>
        <w:pStyle w:val="Heading3"/>
      </w:pPr>
      <w:r>
        <w:t xml:space="preserve">Record Inspector</w:t>
      </w:r>
    </w:p>
    <w:p>
      <w:pPr>
        <w:pStyle w:val="FirstParagraph"/>
      </w:pPr>
      <w:r>
        <w:rPr>
          <w:bCs/>
          <w:b/>
        </w:rPr>
        <w:t xml:space="preserve">SCR-08-FR-009</w:t>
      </w:r>
      <w:r>
        <w:t xml:space="preserve"> </w:t>
      </w:r>
      <w:r>
        <w:t xml:space="preserve">Record Inspector SHALL enable any record to be selected (by ID search or by clicking a row anywhere) and show Bronze / Silver / Gold versions side-by-side, the mapping rule that produced each transformation, quality check outcomes, and lineage hashes. Crucial for debugging 'why does this record look wrong in my dashboard'.</w:t>
      </w:r>
    </w:p>
    <w:bookmarkEnd w:id="431"/>
    <w:bookmarkStart w:id="432" w:name="dead-letter-queue-quarantine"/>
    <w:p>
      <w:pPr>
        <w:pStyle w:val="Heading3"/>
      </w:pPr>
      <w:r>
        <w:t xml:space="preserve">Dead-Letter Queue / Quarantine</w:t>
      </w:r>
    </w:p>
    <w:p>
      <w:pPr>
        <w:pStyle w:val="FirstParagraph"/>
      </w:pPr>
      <w:r>
        <w:rPr>
          <w:bCs/>
          <w:b/>
        </w:rPr>
        <w:t xml:space="preserve">SCR-08-FR-010</w:t>
      </w:r>
      <w:r>
        <w:t xml:space="preserve"> </w:t>
      </w:r>
      <w:r>
        <w:t xml:space="preserve">DLQ view SHALL list every rejected or held record with reason code, failure detail, suggested fix, and affordances: (a) view record, (b) re-ingest after override, (c) download subset as CSV for external fix, (d) open the responsible mapping in SCR-09, (e) dismiss as known false-positive. Aggregates per source are summarised at the top: total held, top reason codes, aging distribution. Matches G02-FR-011 with expanded UI.</w:t>
      </w:r>
    </w:p>
    <w:bookmarkEnd w:id="432"/>
    <w:bookmarkStart w:id="433" w:name="replay-backfill"/>
    <w:p>
      <w:pPr>
        <w:pStyle w:val="Heading3"/>
      </w:pPr>
      <w:r>
        <w:t xml:space="preserve">Replay / Backfill</w:t>
      </w:r>
    </w:p>
    <w:p>
      <w:pPr>
        <w:pStyle w:val="FirstParagraph"/>
      </w:pPr>
      <w:r>
        <w:rPr>
          <w:bCs/>
          <w:b/>
        </w:rPr>
        <w:t xml:space="preserve">SCR-08-FR-011</w:t>
      </w:r>
      <w:r>
        <w:t xml:space="preserve"> </w:t>
      </w:r>
      <w:r>
        <w:t xml:space="preserve">Replay Console SHALL support: time-window replay (re-ingest all records from this source for time T1–T2), targeted replay (specific record IDs), and DLQ replay (re-try all held records with current mapping). All replays run through the same pipeline as live ingestion — no shortcuts — and are audit-logged.</w:t>
      </w:r>
    </w:p>
    <w:bookmarkEnd w:id="433"/>
    <w:bookmarkStart w:id="434" w:name="live-tail-ingestion-health-metrics"/>
    <w:p>
      <w:pPr>
        <w:pStyle w:val="Heading3"/>
      </w:pPr>
      <w:r>
        <w:t xml:space="preserve">Live Tail &amp; Ingestion Health Metrics</w:t>
      </w:r>
    </w:p>
    <w:p>
      <w:pPr>
        <w:pStyle w:val="FirstParagraph"/>
      </w:pPr>
      <w:r>
        <w:rPr>
          <w:bCs/>
          <w:b/>
        </w:rPr>
        <w:t xml:space="preserve">SCR-08-FR-012</w:t>
      </w:r>
      <w:r>
        <w:t xml:space="preserve"> </w:t>
      </w:r>
      <w:r>
        <w:t xml:space="preserve">Live Tail SHALL stream ingestion events (record ingested, mapping applied, quality check result, DLQ entry) via WebSocket, filterable by source, severity, record ID. Useful during incident response and new-source commissioning.</w:t>
      </w:r>
    </w:p>
    <w:p>
      <w:pPr>
        <w:pStyle w:val="BodyText"/>
      </w:pPr>
      <w:r>
        <w:rPr>
          <w:bCs/>
          <w:b/>
        </w:rPr>
        <w:t xml:space="preserve">SCR-08-FR-013</w:t>
      </w:r>
      <w:r>
        <w:t xml:space="preserve"> </w:t>
      </w:r>
      <w:r>
        <w:t xml:space="preserve">Health Metrics dashboard SHALL show per source and tenant-wide: freshness (p50/p95 lag vs. SLA), success rate (7-day rolling), throughput (records per minute), p99 end-to-end latency. Metric definitions are standard and comparable across sources.</w:t>
      </w:r>
    </w:p>
    <w:bookmarkEnd w:id="434"/>
    <w:bookmarkStart w:id="435" w:name="schema-drift"/>
    <w:p>
      <w:pPr>
        <w:pStyle w:val="Heading3"/>
      </w:pPr>
      <w:r>
        <w:t xml:space="preserve">Schema Drift</w:t>
      </w:r>
    </w:p>
    <w:p>
      <w:pPr>
        <w:pStyle w:val="FirstParagraph"/>
      </w:pPr>
      <w:r>
        <w:rPr>
          <w:bCs/>
          <w:b/>
        </w:rPr>
        <w:t xml:space="preserve">SCR-08-FR-014</w:t>
      </w:r>
      <w:r>
        <w:t xml:space="preserve"> </w:t>
      </w:r>
      <w:r>
        <w:t xml:space="preserve">Schema Drift Alerts SHALL compare every run's observed schema to the expected contract and surface additions, removals, type changes, and cardinality changes. Severity is assigned automatically; one-click navigation opens the responsible mapping rule in SCR-09 for repair.</w:t>
      </w:r>
    </w:p>
    <w:bookmarkEnd w:id="435"/>
    <w:bookmarkEnd w:id="436"/>
    <w:bookmarkStart w:id="437" w:name="acceptance-criteria-39"/>
    <w:p>
      <w:pPr>
        <w:pStyle w:val="Heading2"/>
      </w:pPr>
      <w:r>
        <w:t xml:space="preserve">Acceptance Criteria</w:t>
      </w:r>
    </w:p>
    <w:p>
      <w:pPr>
        <w:numPr>
          <w:ilvl w:val="0"/>
          <w:numId w:val="1017"/>
        </w:numPr>
      </w:pPr>
      <w:r>
        <w:t xml:space="preserve">A new CSV source is connected, mapped via SCR-09, and producing Silver-tier data in under 30 minutes for a straightforward schema.</w:t>
      </w:r>
    </w:p>
    <w:p>
      <w:pPr>
        <w:numPr>
          <w:ilvl w:val="0"/>
          <w:numId w:val="1017"/>
        </w:numPr>
      </w:pPr>
      <w:r>
        <w:t xml:space="preserve">Every rejected record in the DLQ is traceable to a reason code and a responsible mapping rule within 2 clicks from SCR-08.</w:t>
      </w:r>
    </w:p>
    <w:p>
      <w:pPr>
        <w:numPr>
          <w:ilvl w:val="0"/>
          <w:numId w:val="1017"/>
        </w:numPr>
      </w:pPr>
      <w:r>
        <w:t xml:space="preserve">Replay of a 1-hour window for a source producing 100,000 records/hour completes in under 15 minutes.</w:t>
      </w:r>
    </w:p>
    <w:p>
      <w:pPr>
        <w:numPr>
          <w:ilvl w:val="0"/>
          <w:numId w:val="1017"/>
        </w:numPr>
      </w:pPr>
      <w:r>
        <w:t xml:space="preserve">Source health status in SCR-01 updates within 60 seconds of any state transition.</w:t>
      </w:r>
    </w:p>
    <w:p>
      <w:pPr>
        <w:numPr>
          <w:ilvl w:val="0"/>
          <w:numId w:val="1017"/>
        </w:numPr>
      </w:pPr>
      <w:r>
        <w:t xml:space="preserve">Schema drift between expected and observed schema produces an actionable alert within 5 minutes of the drifted run completing.</w:t>
      </w:r>
    </w:p>
    <w:bookmarkEnd w:id="437"/>
    <w:bookmarkEnd w:id="438"/>
    <w:bookmarkStart w:id="450" w:name="scr-11-entity-resolution-console"/>
    <w:p>
      <w:pPr>
        <w:pStyle w:val="Heading1"/>
      </w:pPr>
      <w:r>
        <w:t xml:space="preserve">SCR-11 — Entity Resolution Console</w:t>
      </w:r>
    </w:p>
    <w:tbl>
      <w:tblPr>
        <w:tblStyle w:val="Table"/>
        <w:tblW w:type="pct" w:w="4939"/>
        <w:tblLook w:firstRow="0" w:lastRow="0" w:firstColumn="0" w:lastColumn="0" w:noHBand="0" w:noVBand="0" w:val="0000"/>
        <w:jc w:val="start"/>
      </w:tblPr>
      <w:tblGrid>
        <w:gridCol w:w="1056"/>
        <w:gridCol w:w="6768"/>
      </w:tblGrid>
      <w:tr>
        <w:tc>
          <w:tcPr/>
          <w:p>
            <w:pPr>
              <w:pStyle w:val="Compact"/>
              <w:jc w:val="left"/>
            </w:pPr>
            <w:r>
              <w:rPr>
                <w:bCs/>
                <w:b/>
              </w:rPr>
              <w:t xml:space="preserve">Module ID</w:t>
            </w:r>
          </w:p>
        </w:tc>
        <w:tc>
          <w:tcPr/>
          <w:p>
            <w:pPr>
              <w:pStyle w:val="Compact"/>
              <w:jc w:val="left"/>
            </w:pPr>
            <w:r>
              <w:t xml:space="preserve">SCR-11</w:t>
            </w:r>
          </w:p>
        </w:tc>
      </w:tr>
      <w:tr>
        <w:tc>
          <w:tcPr/>
          <w:p>
            <w:pPr>
              <w:pStyle w:val="Compact"/>
              <w:jc w:val="left"/>
            </w:pPr>
            <w:r>
              <w:rPr>
                <w:bCs/>
                <w:b/>
              </w:rPr>
              <w:t xml:space="preserve">Phase</w:t>
            </w:r>
          </w:p>
        </w:tc>
        <w:tc>
          <w:tcPr/>
          <w:p>
            <w:pPr>
              <w:pStyle w:val="Compact"/>
              <w:jc w:val="left"/>
            </w:pPr>
            <w:r>
              <w:t xml:space="preserve">2 (Identity Layer Maturity)</w:t>
            </w:r>
          </w:p>
        </w:tc>
      </w:tr>
      <w:tr>
        <w:tc>
          <w:tcPr/>
          <w:p>
            <w:pPr>
              <w:pStyle w:val="Compact"/>
              <w:jc w:val="left"/>
            </w:pPr>
            <w:r>
              <w:rPr>
                <w:bCs/>
                <w:b/>
              </w:rPr>
              <w:t xml:space="preserve">Complexity</w:t>
            </w:r>
          </w:p>
        </w:tc>
        <w:tc>
          <w:tcPr/>
          <w:p>
            <w:pPr>
              <w:pStyle w:val="Compact"/>
              <w:jc w:val="left"/>
            </w:pPr>
            <w:r>
              <w:t xml:space="preserve">High</w:t>
            </w:r>
          </w:p>
        </w:tc>
      </w:tr>
      <w:tr>
        <w:tc>
          <w:tcPr/>
          <w:p>
            <w:pPr>
              <w:pStyle w:val="Compact"/>
              <w:jc w:val="left"/>
            </w:pPr>
            <w:r>
              <w:rPr>
                <w:bCs/>
                <w:b/>
              </w:rPr>
              <w:t xml:space="preserve">Dependencies</w:t>
            </w:r>
          </w:p>
        </w:tc>
        <w:tc>
          <w:tcPr/>
          <w:p>
            <w:pPr>
              <w:pStyle w:val="Compact"/>
              <w:jc w:val="left"/>
            </w:pPr>
            <w:r>
              <w:t xml:space="preserve">I01 (Probabilistic Identity Registry), I02 (Knowledge Graph), I03 (Multi-Source Conflict Resolution), D01 (Canonical Model), D05 (Lineage)</w:t>
            </w:r>
          </w:p>
        </w:tc>
      </w:tr>
      <w:tr>
        <w:tc>
          <w:tcPr/>
          <w:p>
            <w:pPr>
              <w:pStyle w:val="Compact"/>
              <w:jc w:val="left"/>
            </w:pPr>
            <w:r>
              <w:rPr>
                <w:bCs/>
                <w:b/>
              </w:rPr>
              <w:t xml:space="preserve">Depended On By</w:t>
            </w:r>
          </w:p>
        </w:tc>
        <w:tc>
          <w:tcPr/>
          <w:p>
            <w:pPr>
              <w:pStyle w:val="Compact"/>
              <w:jc w:val="left"/>
            </w:pPr>
            <w:r>
              <w:t xml:space="preserve">CX-03 Customer 360 identity, I01 acceptance criteria, PR02 DSAR identity verification, O04 action dispatch</w:t>
            </w:r>
          </w:p>
        </w:tc>
      </w:tr>
      <w:tr>
        <w:tc>
          <w:tcPr/>
          <w:p>
            <w:pPr>
              <w:pStyle w:val="Compact"/>
              <w:jc w:val="left"/>
            </w:pPr>
            <w:r>
              <w:rPr>
                <w:bCs/>
                <w:b/>
              </w:rPr>
              <w:t xml:space="preserve">Owner</w:t>
            </w:r>
          </w:p>
        </w:tc>
        <w:tc>
          <w:tcPr/>
          <w:p>
            <w:pPr>
              <w:pStyle w:val="Compact"/>
              <w:jc w:val="left"/>
            </w:pPr>
            <w:r>
              <w:t xml:space="preserve">Data Platform Lead</w:t>
            </w:r>
          </w:p>
        </w:tc>
      </w:tr>
    </w:tbl>
    <w:bookmarkStart w:id="439" w:name="purpose-49"/>
    <w:p>
      <w:pPr>
        <w:pStyle w:val="Heading2"/>
      </w:pPr>
      <w:r>
        <w:t xml:space="preserve">Purpose</w:t>
      </w:r>
    </w:p>
    <w:p>
      <w:pPr>
        <w:pStyle w:val="FirstParagraph"/>
      </w:pPr>
      <w:r>
        <w:t xml:space="preserve">SCR-11 is where data stewards review, merge, and split entity resolutions. The identity graph from I01 continuously proposes matches; most merge automatically at high confidence; the ambiguous middle band surfaces here for human decision. SCR-11 is also the home of the I03 conflict dashboard (I03-FR-004) and the identity-rule tuning surface.</w:t>
      </w:r>
    </w:p>
    <w:bookmarkEnd w:id="439"/>
    <w:bookmarkStart w:id="448" w:name="functional-requirements-25"/>
    <w:p>
      <w:pPr>
        <w:pStyle w:val="Heading2"/>
      </w:pPr>
      <w:r>
        <w:t xml:space="preserve">Functional Requirements</w:t>
      </w:r>
    </w:p>
    <w:bookmarkStart w:id="440" w:name="merge-queue"/>
    <w:p>
      <w:pPr>
        <w:pStyle w:val="Heading3"/>
      </w:pPr>
      <w:r>
        <w:t xml:space="preserve">Merge Queue</w:t>
      </w:r>
    </w:p>
    <w:p>
      <w:pPr>
        <w:pStyle w:val="FirstParagraph"/>
      </w:pPr>
      <w:r>
        <w:rPr>
          <w:bCs/>
          <w:b/>
        </w:rPr>
        <w:t xml:space="preserve">SCR-11-FR-001</w:t>
      </w:r>
      <w:r>
        <w:t xml:space="preserve"> </w:t>
      </w:r>
      <w:r>
        <w:t xml:space="preserve">The Merge Queue SHALL display every identity match candidate with confidence between the tenant's configured dismiss threshold and auto-merge threshold — the ambiguous band requiring human judgement. Entries include: candidate entity A, candidate entity B, match score, contributing signals with per-signal scores, suggested decision.</w:t>
      </w:r>
    </w:p>
    <w:p>
      <w:pPr>
        <w:pStyle w:val="BodyText"/>
      </w:pPr>
      <w:r>
        <w:rPr>
          <w:bCs/>
          <w:b/>
        </w:rPr>
        <w:t xml:space="preserve">SCR-11-FR-002</w:t>
      </w:r>
      <w:r>
        <w:t xml:space="preserve"> </w:t>
      </w:r>
      <w:r>
        <w:t xml:space="preserve">Queue prioritisation: entries sorted by a combination of confidence (descending), entity value (customers with higher CLV first for retail tenants), and age (older entries escalated). Data stewards can override sort.</w:t>
      </w:r>
    </w:p>
    <w:bookmarkEnd w:id="440"/>
    <w:bookmarkStart w:id="441" w:name="merge-workspace"/>
    <w:p>
      <w:pPr>
        <w:pStyle w:val="Heading3"/>
      </w:pPr>
      <w:r>
        <w:t xml:space="preserve">Merge Workspace</w:t>
      </w:r>
    </w:p>
    <w:p>
      <w:pPr>
        <w:pStyle w:val="FirstParagraph"/>
      </w:pPr>
      <w:r>
        <w:rPr>
          <w:bCs/>
          <w:b/>
        </w:rPr>
        <w:t xml:space="preserve">SCR-11-FR-003</w:t>
      </w:r>
      <w:r>
        <w:t xml:space="preserve"> </w:t>
      </w:r>
      <w:r>
        <w:t xml:space="preserve">Opening a queue entry SHALL render a side-by-side workspace showing: all signals for each candidate (POS purchase history, CRM contact info, loyalty membership, e-commerce sessions, edge/video touchpoints if G04 active), per-signal match scores, source systems contributing each signal. Action options: MERGE, SPLIT (reject merge and add to non-match set), DEFER (keep in queue with reviewer note), CREATE_EXCEPTION (I03 exception rule for this pair).</w:t>
      </w:r>
    </w:p>
    <w:p>
      <w:pPr>
        <w:pStyle w:val="BodyText"/>
      </w:pPr>
      <w:r>
        <w:rPr>
          <w:bCs/>
          <w:b/>
        </w:rPr>
        <w:t xml:space="preserve">SCR-11-FR-004</w:t>
      </w:r>
      <w:r>
        <w:t xml:space="preserve"> </w:t>
      </w:r>
      <w:r>
        <w:t xml:space="preserve">Every decision SHALL require a reason code (or optional free-text note) and is audit-logged to SCR-20.</w:t>
      </w:r>
    </w:p>
    <w:bookmarkEnd w:id="441"/>
    <w:bookmarkStart w:id="442" w:name="conflict-dashboard"/>
    <w:p>
      <w:pPr>
        <w:pStyle w:val="Heading3"/>
      </w:pPr>
      <w:r>
        <w:t xml:space="preserve">Conflict Dashboard</w:t>
      </w:r>
    </w:p>
    <w:p>
      <w:pPr>
        <w:pStyle w:val="FirstParagraph"/>
      </w:pPr>
      <w:r>
        <w:rPr>
          <w:bCs/>
          <w:b/>
        </w:rPr>
        <w:t xml:space="preserve">SCR-11-FR-005</w:t>
      </w:r>
      <w:r>
        <w:t xml:space="preserve"> </w:t>
      </w:r>
      <w:r>
        <w:t xml:space="preserve">Per I03-FR-004, the Conflict Dashboard SHALL show: total active conflicts by severity, top conflicting attributes, top conflicting source pairs, aging report (unresolved &gt;7 days escalated, &gt;14 days auto-routed to Tenant Admin).</w:t>
      </w:r>
    </w:p>
    <w:bookmarkEnd w:id="442"/>
    <w:bookmarkStart w:id="443" w:name="identity-graph-explorer"/>
    <w:p>
      <w:pPr>
        <w:pStyle w:val="Heading3"/>
      </w:pPr>
      <w:r>
        <w:t xml:space="preserve">Identity Graph Explorer</w:t>
      </w:r>
    </w:p>
    <w:p>
      <w:pPr>
        <w:pStyle w:val="FirstParagraph"/>
      </w:pPr>
      <w:r>
        <w:rPr>
          <w:bCs/>
          <w:b/>
        </w:rPr>
        <w:t xml:space="preserve">SCR-11-FR-006</w:t>
      </w:r>
      <w:r>
        <w:t xml:space="preserve"> </w:t>
      </w:r>
      <w:r>
        <w:t xml:space="preserve">Interactive identity graph visualisation: nodes are entities, edges are signals, edge width reflects signal weight, edge colour reflects signal type. Zoom, pan, filter by signal type, filter by time range. Clicking an entity drills to its signal detail; clicking an edge shows the originating source record.</w:t>
      </w:r>
    </w:p>
    <w:bookmarkEnd w:id="443"/>
    <w:bookmarkStart w:id="444" w:name="split-operations"/>
    <w:p>
      <w:pPr>
        <w:pStyle w:val="Heading3"/>
      </w:pPr>
      <w:r>
        <w:t xml:space="preserve">Split Operations</w:t>
      </w:r>
    </w:p>
    <w:p>
      <w:pPr>
        <w:pStyle w:val="FirstParagraph"/>
      </w:pPr>
      <w:r>
        <w:rPr>
          <w:bCs/>
          <w:b/>
        </w:rPr>
        <w:t xml:space="preserve">SCR-11-FR-007</w:t>
      </w:r>
      <w:r>
        <w:t xml:space="preserve"> </w:t>
      </w:r>
      <w:r>
        <w:t xml:space="preserve">An admin MAY split a previously merged entity if the merge was incorrect. Split operation presents: which signals go to which resulting entity, justification text required, lineage preservation (historical decisions remain attributed correctly). Splits propagate to downstream materialisations within 1 hour.</w:t>
      </w:r>
    </w:p>
    <w:bookmarkEnd w:id="444"/>
    <w:bookmarkStart w:id="445" w:name="merge-history"/>
    <w:p>
      <w:pPr>
        <w:pStyle w:val="Heading3"/>
      </w:pPr>
      <w:r>
        <w:t xml:space="preserve">Merge History</w:t>
      </w:r>
    </w:p>
    <w:p>
      <w:pPr>
        <w:pStyle w:val="FirstParagraph"/>
      </w:pPr>
      <w:r>
        <w:rPr>
          <w:bCs/>
          <w:b/>
        </w:rPr>
        <w:t xml:space="preserve">SCR-11-FR-008</w:t>
      </w:r>
      <w:r>
        <w:t xml:space="preserve"> </w:t>
      </w:r>
      <w:r>
        <w:t xml:space="preserve">Full audit trail of every merge / split / exception with actor, timestamp, confidence at decision time, reason, affected entity IDs. Filterable and exportable for compliance review.</w:t>
      </w:r>
    </w:p>
    <w:bookmarkEnd w:id="445"/>
    <w:bookmarkStart w:id="446" w:name="identity-rule-tuning"/>
    <w:p>
      <w:pPr>
        <w:pStyle w:val="Heading3"/>
      </w:pPr>
      <w:r>
        <w:t xml:space="preserve">Identity Rule Tuning</w:t>
      </w:r>
    </w:p>
    <w:p>
      <w:pPr>
        <w:pStyle w:val="FirstParagraph"/>
      </w:pPr>
      <w:r>
        <w:rPr>
          <w:bCs/>
          <w:b/>
        </w:rPr>
        <w:t xml:space="preserve">SCR-11-FR-009</w:t>
      </w:r>
      <w:r>
        <w:t xml:space="preserve"> </w:t>
      </w:r>
      <w:r>
        <w:t xml:space="preserve">Match rule weights and thresholds SHALL be viewable by Data Steward role and editable by Algorithm Manager role. Platform team publishes base rules; tenants tune weights. Changes simulate against historical merge decisions before commit — showing how many decisions would have flipped under the new rules.</w:t>
      </w:r>
    </w:p>
    <w:bookmarkEnd w:id="446"/>
    <w:bookmarkStart w:id="447" w:name="bulk-operations"/>
    <w:p>
      <w:pPr>
        <w:pStyle w:val="Heading3"/>
      </w:pPr>
      <w:r>
        <w:t xml:space="preserve">Bulk Operations</w:t>
      </w:r>
    </w:p>
    <w:p>
      <w:pPr>
        <w:pStyle w:val="FirstParagraph"/>
      </w:pPr>
      <w:r>
        <w:rPr>
          <w:bCs/>
          <w:b/>
        </w:rPr>
        <w:t xml:space="preserve">SCR-11-FR-010</w:t>
      </w:r>
      <w:r>
        <w:t xml:space="preserve"> </w:t>
      </w:r>
      <w:r>
        <w:t xml:space="preserve">Bulk merge: CSV of confirmed same-entity pairs can be imported for batch processing. Bulk export: entire quarantine queue exportable for external human review (e.g., when a specialist team handles complex cases offline).</w:t>
      </w:r>
    </w:p>
    <w:bookmarkEnd w:id="447"/>
    <w:bookmarkEnd w:id="448"/>
    <w:bookmarkStart w:id="449" w:name="acceptance-criteria-40"/>
    <w:p>
      <w:pPr>
        <w:pStyle w:val="Heading2"/>
      </w:pPr>
      <w:r>
        <w:t xml:space="preserve">Acceptance Criteria</w:t>
      </w:r>
    </w:p>
    <w:p>
      <w:pPr>
        <w:numPr>
          <w:ilvl w:val="0"/>
          <w:numId w:val="1018"/>
        </w:numPr>
      </w:pPr>
      <w:r>
        <w:t xml:space="preserve">A Data Steward merges two quarantined entities in under 30 seconds from queue entry to confirmation (matches I01 acceptance).</w:t>
      </w:r>
    </w:p>
    <w:p>
      <w:pPr>
        <w:numPr>
          <w:ilvl w:val="0"/>
          <w:numId w:val="1018"/>
        </w:numPr>
      </w:pPr>
      <w:r>
        <w:t xml:space="preserve">Split operation completes in under 30 seconds and propagates to Customer 360 within 1 hour.</w:t>
      </w:r>
    </w:p>
    <w:p>
      <w:pPr>
        <w:numPr>
          <w:ilvl w:val="0"/>
          <w:numId w:val="1018"/>
        </w:numPr>
      </w:pPr>
      <w:r>
        <w:t xml:space="preserve">Every merge / split / exception appears in SCR-20 audit log with full context and is retrievable by regulator query.</w:t>
      </w:r>
    </w:p>
    <w:p>
      <w:pPr>
        <w:numPr>
          <w:ilvl w:val="0"/>
          <w:numId w:val="1018"/>
        </w:numPr>
      </w:pPr>
      <w:r>
        <w:t xml:space="preserve">Queue burn-down rate is visible on a daily and weekly basis; stewards see their throughput and backlog trajectory.</w:t>
      </w:r>
    </w:p>
    <w:p>
      <w:pPr>
        <w:numPr>
          <w:ilvl w:val="0"/>
          <w:numId w:val="1018"/>
        </w:numPr>
      </w:pPr>
      <w:r>
        <w:t xml:space="preserve">Rule-tuning simulation answers 'how many decisions would have flipped' correctly against the last 30 days of merge history.</w:t>
      </w:r>
    </w:p>
    <w:bookmarkEnd w:id="449"/>
    <w:bookmarkEnd w:id="450"/>
    <w:bookmarkStart w:id="461" w:name="scr-12-decision-pipeline-builder"/>
    <w:p>
      <w:pPr>
        <w:pStyle w:val="Heading1"/>
      </w:pPr>
      <w:r>
        <w:t xml:space="preserve">SCR-12 — Decision Pipeline Builder</w:t>
      </w:r>
    </w:p>
    <w:tbl>
      <w:tblPr>
        <w:tblStyle w:val="Table"/>
        <w:tblW w:type="pct" w:w="4955"/>
        <w:tblLook w:firstRow="0" w:lastRow="0" w:firstColumn="0" w:lastColumn="0" w:noHBand="0" w:noVBand="0" w:val="0000"/>
        <w:jc w:val="start"/>
      </w:tblPr>
      <w:tblGrid>
        <w:gridCol w:w="788"/>
        <w:gridCol w:w="7059"/>
      </w:tblGrid>
      <w:tr>
        <w:tc>
          <w:tcPr/>
          <w:p>
            <w:pPr>
              <w:pStyle w:val="Compact"/>
              <w:jc w:val="left"/>
            </w:pPr>
            <w:r>
              <w:rPr>
                <w:bCs/>
                <w:b/>
              </w:rPr>
              <w:t xml:space="preserve">Module ID</w:t>
            </w:r>
          </w:p>
        </w:tc>
        <w:tc>
          <w:tcPr/>
          <w:p>
            <w:pPr>
              <w:pStyle w:val="Compact"/>
              <w:jc w:val="left"/>
            </w:pPr>
            <w:r>
              <w:t xml:space="preserve">SCR-12</w:t>
            </w:r>
          </w:p>
        </w:tc>
      </w:tr>
      <w:tr>
        <w:tc>
          <w:tcPr/>
          <w:p>
            <w:pPr>
              <w:pStyle w:val="Compact"/>
              <w:jc w:val="left"/>
            </w:pPr>
            <w:r>
              <w:rPr>
                <w:bCs/>
                <w:b/>
              </w:rPr>
              <w:t xml:space="preserve">Phase</w:t>
            </w:r>
          </w:p>
        </w:tc>
        <w:tc>
          <w:tcPr/>
          <w:p>
            <w:pPr>
              <w:pStyle w:val="Compact"/>
              <w:jc w:val="left"/>
            </w:pPr>
            <w:r>
              <w:t xml:space="preserve">3 (ML &amp; Decisioning Maturity)</w:t>
            </w:r>
          </w:p>
        </w:tc>
      </w:tr>
      <w:tr>
        <w:tc>
          <w:tcPr/>
          <w:p>
            <w:pPr>
              <w:pStyle w:val="Compact"/>
              <w:jc w:val="left"/>
            </w:pPr>
            <w:r>
              <w:rPr>
                <w:bCs/>
                <w:b/>
              </w:rPr>
              <w:t xml:space="preserve">Complexity</w:t>
            </w:r>
          </w:p>
        </w:tc>
        <w:tc>
          <w:tcPr/>
          <w:p>
            <w:pPr>
              <w:pStyle w:val="Compact"/>
              <w:jc w:val="left"/>
            </w:pPr>
            <w:r>
              <w:t xml:space="preserve">High</w:t>
            </w:r>
          </w:p>
        </w:tc>
      </w:tr>
      <w:tr>
        <w:tc>
          <w:tcPr/>
          <w:p>
            <w:pPr>
              <w:pStyle w:val="Compact"/>
              <w:jc w:val="left"/>
            </w:pPr>
            <w:r>
              <w:rPr>
                <w:bCs/>
                <w:b/>
              </w:rPr>
              <w:t xml:space="preserve">Dependencies</w:t>
            </w:r>
          </w:p>
        </w:tc>
        <w:tc>
          <w:tcPr/>
          <w:p>
            <w:pPr>
              <w:pStyle w:val="Compact"/>
              <w:jc w:val="left"/>
            </w:pPr>
            <w:r>
              <w:t xml:space="preserve">A03 (Decision Orchestration), A06 (Rule Engine), A02 (Algorithm Registry), A05 (LLM Gateway), A07 (Explainability), A01 (Feature Store), AC02 (Hierarchy for routing), FB02 (Outcome Linkage), SCR-14</w:t>
            </w:r>
          </w:p>
        </w:tc>
      </w:tr>
      <w:tr>
        <w:tc>
          <w:tcPr/>
          <w:p>
            <w:pPr>
              <w:pStyle w:val="Compact"/>
              <w:jc w:val="left"/>
            </w:pPr>
            <w:r>
              <w:rPr>
                <w:bCs/>
                <w:b/>
              </w:rPr>
              <w:t xml:space="preserve">Depended On By</w:t>
            </w:r>
          </w:p>
        </w:tc>
        <w:tc>
          <w:tcPr/>
          <w:p>
            <w:pPr>
              <w:pStyle w:val="Compact"/>
              <w:jc w:val="left"/>
            </w:pPr>
            <w:r>
              <w:t xml:space="preserve">Algorithm Managers producing production decisions; CX-04 for decision-triggered alerts; CX-DD-01 for Ithina agent output</w:t>
            </w:r>
          </w:p>
        </w:tc>
      </w:tr>
      <w:tr>
        <w:tc>
          <w:tcPr/>
          <w:p>
            <w:pPr>
              <w:pStyle w:val="Compact"/>
              <w:jc w:val="left"/>
            </w:pPr>
            <w:r>
              <w:rPr>
                <w:bCs/>
                <w:b/>
              </w:rPr>
              <w:t xml:space="preserve">Owner</w:t>
            </w:r>
          </w:p>
        </w:tc>
        <w:tc>
          <w:tcPr/>
          <w:p>
            <w:pPr>
              <w:pStyle w:val="Compact"/>
              <w:jc w:val="left"/>
            </w:pPr>
            <w:r>
              <w:t xml:space="preserve">ML Platform Lead</w:t>
            </w:r>
          </w:p>
        </w:tc>
      </w:tr>
    </w:tbl>
    <w:bookmarkStart w:id="451" w:name="purpose-50"/>
    <w:p>
      <w:pPr>
        <w:pStyle w:val="Heading2"/>
      </w:pPr>
      <w:r>
        <w:t xml:space="preserve">Purpose</w:t>
      </w:r>
    </w:p>
    <w:p>
      <w:pPr>
        <w:pStyle w:val="FirstParagraph"/>
      </w:pPr>
      <w:r>
        <w:t xml:space="preserve">SCR-12 is the visual DAG editor where algorithm managers compose decision pipelines — sequences of data retrievals, feature lookups, algorithm invocations, rules, human-approval gates, and action emissions. Pipelines authored in SCR-12 execute in A03 runtime. The Ithina PAC / Promotion / Planogram / Perishable agents are each expressed as decision pipelines in SCR-12.</w:t>
      </w:r>
    </w:p>
    <w:bookmarkEnd w:id="451"/>
    <w:bookmarkStart w:id="459" w:name="functional-requirements-26"/>
    <w:p>
      <w:pPr>
        <w:pStyle w:val="Heading2"/>
      </w:pPr>
      <w:r>
        <w:t xml:space="preserve">Functional Requirements</w:t>
      </w:r>
    </w:p>
    <w:bookmarkStart w:id="452" w:name="pipeline-library"/>
    <w:p>
      <w:pPr>
        <w:pStyle w:val="Heading3"/>
      </w:pPr>
      <w:r>
        <w:t xml:space="preserve">Pipeline Library</w:t>
      </w:r>
    </w:p>
    <w:p>
      <w:pPr>
        <w:pStyle w:val="FirstParagraph"/>
      </w:pPr>
      <w:r>
        <w:rPr>
          <w:bCs/>
          <w:b/>
        </w:rPr>
        <w:t xml:space="preserve">SCR-12-FR-001</w:t>
      </w:r>
      <w:r>
        <w:t xml:space="preserve"> </w:t>
      </w:r>
      <w:r>
        <w:t xml:space="preserve">The Pipeline Library SHALL list every pipeline in the tenant with: name, description, status (Draft / Canary / Production / Paused / Deprecated), current version, owner, triggering event type, execution statistics (7-day count, success rate, avg latency, decisions emitted, outcome-linked rate via FB02).</w:t>
      </w:r>
    </w:p>
    <w:bookmarkEnd w:id="452"/>
    <w:bookmarkStart w:id="453" w:name="dag-editor"/>
    <w:p>
      <w:pPr>
        <w:pStyle w:val="Heading3"/>
      </w:pPr>
      <w:r>
        <w:t xml:space="preserve">DAG Editor</w:t>
      </w:r>
    </w:p>
    <w:p>
      <w:pPr>
        <w:pStyle w:val="FirstParagraph"/>
      </w:pPr>
      <w:r>
        <w:rPr>
          <w:bCs/>
          <w:b/>
        </w:rPr>
        <w:t xml:space="preserve">SCR-12-FR-002</w:t>
      </w:r>
      <w:r>
        <w:t xml:space="preserve"> </w:t>
      </w:r>
      <w:r>
        <w:t xml:space="preserve">The DAG Editor SHALL be a drag-and-drop canvas with typed node types: Trigger (event subscription), Data Source Lookup (from D01 canonical), Feature Lookup (from A01 via SCR-14), Algorithm Invocation (from A02 registry), Rule Node (A06), LLM Node (A05 with prompt template), Human Approval Gate, Branching, Action Emit (to O04 via SCR-17), Terminal State.</w:t>
      </w:r>
    </w:p>
    <w:p>
      <w:pPr>
        <w:pStyle w:val="BodyText"/>
      </w:pPr>
      <w:r>
        <w:rPr>
          <w:bCs/>
          <w:b/>
        </w:rPr>
        <w:t xml:space="preserve">SCR-12-FR-003</w:t>
      </w:r>
      <w:r>
        <w:t xml:space="preserve"> </w:t>
      </w:r>
      <w:r>
        <w:t xml:space="preserve">Per A03-FR-002, connections between nodes SHALL validate input/output schema compatibility at design time. Incompatible connections are visually rejected before commit.</w:t>
      </w:r>
    </w:p>
    <w:bookmarkEnd w:id="453"/>
    <w:bookmarkStart w:id="454" w:name="node-configuration"/>
    <w:p>
      <w:pPr>
        <w:pStyle w:val="Heading3"/>
      </w:pPr>
      <w:r>
        <w:t xml:space="preserve">Node Configuration</w:t>
      </w:r>
    </w:p>
    <w:p>
      <w:pPr>
        <w:pStyle w:val="FirstParagraph"/>
      </w:pPr>
      <w:r>
        <w:rPr>
          <w:bCs/>
          <w:b/>
        </w:rPr>
        <w:t xml:space="preserve">SCR-12-FR-004</w:t>
      </w:r>
      <w:r>
        <w:t xml:space="preserve"> </w:t>
      </w:r>
      <w:r>
        <w:t xml:space="preserve">Each node SHALL expose a configuration sidecar with typed parameters, test-with-sample-input control, and an explanation template used by A07 to generate human-readable rationale for decisions passing through this node.</w:t>
      </w:r>
    </w:p>
    <w:bookmarkEnd w:id="454"/>
    <w:bookmarkStart w:id="455" w:name="human-approval-gates"/>
    <w:p>
      <w:pPr>
        <w:pStyle w:val="Heading3"/>
      </w:pPr>
      <w:r>
        <w:t xml:space="preserve">Human Approval Gates</w:t>
      </w:r>
    </w:p>
    <w:p>
      <w:pPr>
        <w:pStyle w:val="FirstParagraph"/>
      </w:pPr>
      <w:r>
        <w:rPr>
          <w:bCs/>
          <w:b/>
        </w:rPr>
        <w:t xml:space="preserve">SCR-12-FR-005</w:t>
      </w:r>
      <w:r>
        <w:t xml:space="preserve"> </w:t>
      </w:r>
      <w:r>
        <w:t xml:space="preserve">Per A03-FR-005, Human Approval Gate configuration SHALL include: reviewer assignment (user, team, or hierarchy-derived via AC02), SLA (time-to-acknowledge, time-to-decide), escalation chain on timeout, default behaviour (approve-on-timeout vs deny-on-timeout — high-stakes pipelines deny-on-timeout by default).</w:t>
      </w:r>
    </w:p>
    <w:p>
      <w:pPr>
        <w:pStyle w:val="BodyText"/>
      </w:pPr>
      <w:r>
        <w:rPr>
          <w:bCs/>
          <w:b/>
        </w:rPr>
        <w:t xml:space="preserve">SCR-12-FR-006</w:t>
      </w:r>
      <w:r>
        <w:t xml:space="preserve"> </w:t>
      </w:r>
      <w:r>
        <w:t xml:space="preserve">The Review Queue for active pipelines SHALL surface all pending human decisions with full context (all prior node outputs, proposed decision, explanation) and action buttons (Approve / Reject / Modify with reason).</w:t>
      </w:r>
    </w:p>
    <w:bookmarkEnd w:id="455"/>
    <w:bookmarkStart w:id="456" w:name="pipeline-simulator"/>
    <w:p>
      <w:pPr>
        <w:pStyle w:val="Heading3"/>
      </w:pPr>
      <w:r>
        <w:t xml:space="preserve">Pipeline Simulator</w:t>
      </w:r>
    </w:p>
    <w:p>
      <w:pPr>
        <w:pStyle w:val="FirstParagraph"/>
      </w:pPr>
      <w:r>
        <w:rPr>
          <w:bCs/>
          <w:b/>
        </w:rPr>
        <w:t xml:space="preserve">SCR-12-FR-007</w:t>
      </w:r>
      <w:r>
        <w:t xml:space="preserve"> </w:t>
      </w:r>
      <w:r>
        <w:t xml:space="preserve">The Simulator SHALL run a draft pipeline against a test entity or a historical entity snapshot, showing every node's input, output, execution time, and final decision with explanation. No production side effects — no actions emitted, no outcomes recorded. Essential for pipeline authoring iteration.</w:t>
      </w:r>
    </w:p>
    <w:bookmarkEnd w:id="456"/>
    <w:bookmarkStart w:id="457" w:name="versioning-promotion"/>
    <w:p>
      <w:pPr>
        <w:pStyle w:val="Heading3"/>
      </w:pPr>
      <w:r>
        <w:t xml:space="preserve">Versioning &amp; Promotion</w:t>
      </w:r>
    </w:p>
    <w:p>
      <w:pPr>
        <w:pStyle w:val="FirstParagraph"/>
      </w:pPr>
      <w:r>
        <w:rPr>
          <w:bCs/>
          <w:b/>
        </w:rPr>
        <w:t xml:space="preserve">SCR-12-FR-008</w:t>
      </w:r>
      <w:r>
        <w:t xml:space="preserve"> </w:t>
      </w:r>
      <w:r>
        <w:t xml:space="preserve">Pipelines SHALL be versioned. Promotion follows draft → canary (tenant-configurable traffic percentage, default 5%) → production. Automatic rollback triggers on: failure rate breach, latency breach, error rate breach against SLOs. Rollback to previous version completes in under 60 seconds.</w:t>
      </w:r>
    </w:p>
    <w:bookmarkEnd w:id="457"/>
    <w:bookmarkStart w:id="458" w:name="observability"/>
    <w:p>
      <w:pPr>
        <w:pStyle w:val="Heading3"/>
      </w:pPr>
      <w:r>
        <w:t xml:space="preserve">Observability</w:t>
      </w:r>
    </w:p>
    <w:p>
      <w:pPr>
        <w:pStyle w:val="FirstParagraph"/>
      </w:pPr>
      <w:r>
        <w:rPr>
          <w:bCs/>
          <w:b/>
        </w:rPr>
        <w:t xml:space="preserve">SCR-12-FR-009</w:t>
      </w:r>
      <w:r>
        <w:t xml:space="preserve"> </w:t>
      </w:r>
      <w:r>
        <w:t xml:space="preserve">Per-pipeline metrics dashboard SHALL display: executions per day, success rate, p50/p95/p99 latency, decisions emitted per outcome class, outcome-linked rate (from FB02 — what fraction of decisions have measured real-world outcomes), effectiveness score (of decisions with outcomes, what fraction produced desired outcome).</w:t>
      </w:r>
    </w:p>
    <w:bookmarkEnd w:id="458"/>
    <w:bookmarkEnd w:id="459"/>
    <w:bookmarkStart w:id="460" w:name="acceptance-criteria-41"/>
    <w:p>
      <w:pPr>
        <w:pStyle w:val="Heading2"/>
      </w:pPr>
      <w:r>
        <w:t xml:space="preserve">Acceptance Criteria</w:t>
      </w:r>
    </w:p>
    <w:p>
      <w:pPr>
        <w:numPr>
          <w:ilvl w:val="0"/>
          <w:numId w:val="1019"/>
        </w:numPr>
      </w:pPr>
      <w:r>
        <w:t xml:space="preserve">An algorithm manager authors a pipeline with 6 nodes including a human-approval gate in under 30 minutes.</w:t>
      </w:r>
    </w:p>
    <w:p>
      <w:pPr>
        <w:numPr>
          <w:ilvl w:val="0"/>
          <w:numId w:val="1019"/>
        </w:numPr>
      </w:pPr>
      <w:r>
        <w:t xml:space="preserve">Pipeline simulation against a single-entity test input completes in under 30 seconds.</w:t>
      </w:r>
    </w:p>
    <w:p>
      <w:pPr>
        <w:numPr>
          <w:ilvl w:val="0"/>
          <w:numId w:val="1019"/>
        </w:numPr>
      </w:pPr>
      <w:r>
        <w:t xml:space="preserve">Human-approval gate notifications reach the assigned reviewer via preferred channel (from SCR-17) within 30 seconds of the pipeline pausing.</w:t>
      </w:r>
    </w:p>
    <w:p>
      <w:pPr>
        <w:numPr>
          <w:ilvl w:val="0"/>
          <w:numId w:val="1019"/>
        </w:numPr>
      </w:pPr>
      <w:r>
        <w:t xml:space="preserve">Canary rollback from bad pipeline version reverts production traffic to the previous version within 60 seconds.</w:t>
      </w:r>
    </w:p>
    <w:p>
      <w:pPr>
        <w:numPr>
          <w:ilvl w:val="0"/>
          <w:numId w:val="1019"/>
        </w:numPr>
      </w:pPr>
      <w:r>
        <w:t xml:space="preserve">Outcome linkage (FB02) shows over 70% of decisions with measurable outcomes for pipelines in production 90+ days.</w:t>
      </w:r>
    </w:p>
    <w:bookmarkEnd w:id="460"/>
    <w:bookmarkEnd w:id="461"/>
    <w:bookmarkStart w:id="473" w:name="Xec531fa642143ac55c26262b325d1d8b6a3a33e"/>
    <w:p>
      <w:pPr>
        <w:pStyle w:val="Heading1"/>
      </w:pPr>
      <w:r>
        <w:t xml:space="preserve">SCR-13 — Model Performance &amp; Fairness Monitor</w:t>
      </w:r>
    </w:p>
    <w:tbl>
      <w:tblPr>
        <w:tblStyle w:val="Table"/>
        <w:tblW w:type="pct" w:w="4926"/>
        <w:tblLook w:firstRow="0" w:lastRow="0" w:firstColumn="0" w:lastColumn="0" w:noHBand="0" w:noVBand="0" w:val="0000"/>
        <w:jc w:val="start"/>
      </w:tblPr>
      <w:tblGrid>
        <w:gridCol w:w="1281"/>
        <w:gridCol w:w="6522"/>
      </w:tblGrid>
      <w:tr>
        <w:tc>
          <w:tcPr/>
          <w:p>
            <w:pPr>
              <w:pStyle w:val="Compact"/>
              <w:jc w:val="left"/>
            </w:pPr>
            <w:r>
              <w:rPr>
                <w:bCs/>
                <w:b/>
              </w:rPr>
              <w:t xml:space="preserve">Module ID</w:t>
            </w:r>
          </w:p>
        </w:tc>
        <w:tc>
          <w:tcPr/>
          <w:p>
            <w:pPr>
              <w:pStyle w:val="Compact"/>
              <w:jc w:val="left"/>
            </w:pPr>
            <w:r>
              <w:t xml:space="preserve">SCR-13</w:t>
            </w:r>
          </w:p>
        </w:tc>
      </w:tr>
      <w:tr>
        <w:tc>
          <w:tcPr/>
          <w:p>
            <w:pPr>
              <w:pStyle w:val="Compact"/>
              <w:jc w:val="left"/>
            </w:pPr>
            <w:r>
              <w:rPr>
                <w:bCs/>
                <w:b/>
              </w:rPr>
              <w:t xml:space="preserve">Phase</w:t>
            </w:r>
          </w:p>
        </w:tc>
        <w:tc>
          <w:tcPr/>
          <w:p>
            <w:pPr>
              <w:pStyle w:val="Compact"/>
              <w:jc w:val="left"/>
            </w:pPr>
            <w:r>
              <w:t xml:space="preserve">2 (basic) + Phase 3 (full fairness)</w:t>
            </w:r>
          </w:p>
        </w:tc>
      </w:tr>
      <w:tr>
        <w:tc>
          <w:tcPr/>
          <w:p>
            <w:pPr>
              <w:pStyle w:val="Compact"/>
              <w:jc w:val="left"/>
            </w:pPr>
            <w:r>
              <w:rPr>
                <w:bCs/>
                <w:b/>
              </w:rPr>
              <w:t xml:space="preserve">Complexity</w:t>
            </w:r>
          </w:p>
        </w:tc>
        <w:tc>
          <w:tcPr/>
          <w:p>
            <w:pPr>
              <w:pStyle w:val="Compact"/>
              <w:jc w:val="left"/>
            </w:pPr>
            <w:r>
              <w:t xml:space="preserve">High</w:t>
            </w:r>
          </w:p>
        </w:tc>
      </w:tr>
      <w:tr>
        <w:tc>
          <w:tcPr/>
          <w:p>
            <w:pPr>
              <w:pStyle w:val="Compact"/>
              <w:jc w:val="left"/>
            </w:pPr>
            <w:r>
              <w:rPr>
                <w:bCs/>
                <w:b/>
              </w:rPr>
              <w:t xml:space="preserve">Dependencies</w:t>
            </w:r>
          </w:p>
        </w:tc>
        <w:tc>
          <w:tcPr/>
          <w:p>
            <w:pPr>
              <w:pStyle w:val="Compact"/>
              <w:jc w:val="left"/>
            </w:pPr>
            <w:r>
              <w:t xml:space="preserve">A04 (Model Lifecycle), A07 (Explainability), A01 (Features), A02 (Algorithm Registry), FB02 (Outcome Linkage)</w:t>
            </w:r>
          </w:p>
        </w:tc>
      </w:tr>
      <w:tr>
        <w:tc>
          <w:tcPr/>
          <w:p>
            <w:pPr>
              <w:pStyle w:val="Compact"/>
              <w:jc w:val="left"/>
            </w:pPr>
            <w:r>
              <w:rPr>
                <w:bCs/>
                <w:b/>
              </w:rPr>
              <w:t xml:space="preserve">Depended On By</w:t>
            </w:r>
          </w:p>
        </w:tc>
        <w:tc>
          <w:tcPr/>
          <w:p>
            <w:pPr>
              <w:pStyle w:val="Compact"/>
              <w:jc w:val="left"/>
            </w:pPr>
            <w:r>
              <w:t xml:space="preserve">Algorithm Managers, Data Stewards, SCR-22 Compliance Operations, SCR-12 pipeline debugging</w:t>
            </w:r>
          </w:p>
        </w:tc>
      </w:tr>
      <w:tr>
        <w:tc>
          <w:tcPr/>
          <w:p>
            <w:pPr>
              <w:pStyle w:val="Compact"/>
              <w:jc w:val="left"/>
            </w:pPr>
            <w:r>
              <w:rPr>
                <w:bCs/>
                <w:b/>
              </w:rPr>
              <w:t xml:space="preserve">Owner</w:t>
            </w:r>
          </w:p>
        </w:tc>
        <w:tc>
          <w:tcPr/>
          <w:p>
            <w:pPr>
              <w:pStyle w:val="Compact"/>
              <w:jc w:val="left"/>
            </w:pPr>
            <w:r>
              <w:t xml:space="preserve">ML Platform Lead</w:t>
            </w:r>
          </w:p>
        </w:tc>
      </w:tr>
    </w:tbl>
    <w:bookmarkStart w:id="462" w:name="purpose-51"/>
    <w:p>
      <w:pPr>
        <w:pStyle w:val="Heading2"/>
      </w:pPr>
      <w:r>
        <w:t xml:space="preserve">Purpose</w:t>
      </w:r>
    </w:p>
    <w:p>
      <w:pPr>
        <w:pStyle w:val="FirstParagraph"/>
      </w:pPr>
      <w:r>
        <w:t xml:space="preserve">SCR-13 is the operational monitoring surface for every model in production: accuracy, drift, fairness, latency, cost, outcome-linked effectiveness. Feeds A04 model lifecycle decisions (promote, demote, retire) and A07 systematic-bias investigations.</w:t>
      </w:r>
    </w:p>
    <w:bookmarkEnd w:id="462"/>
    <w:bookmarkStart w:id="471" w:name="functional-requirements-27"/>
    <w:p>
      <w:pPr>
        <w:pStyle w:val="Heading2"/>
      </w:pPr>
      <w:r>
        <w:t xml:space="preserve">Functional Requirements</w:t>
      </w:r>
    </w:p>
    <w:bookmarkStart w:id="463" w:name="model-registry"/>
    <w:p>
      <w:pPr>
        <w:pStyle w:val="Heading3"/>
      </w:pPr>
      <w:r>
        <w:t xml:space="preserve">Model Registry</w:t>
      </w:r>
    </w:p>
    <w:p>
      <w:pPr>
        <w:pStyle w:val="FirstParagraph"/>
      </w:pPr>
      <w:r>
        <w:rPr>
          <w:bCs/>
          <w:b/>
        </w:rPr>
        <w:t xml:space="preserve">SCR-13-FR-001</w:t>
      </w:r>
      <w:r>
        <w:t xml:space="preserve"> </w:t>
      </w:r>
      <w:r>
        <w:t xml:space="preserve">Every model deployed in the tenant SHALL appear in the Model Registry with: name, version, owner, status (Champion / Challenger / Shadow / Retired), algorithm family, training data snapshot ID, deployment date, serving infrastructure.</w:t>
      </w:r>
    </w:p>
    <w:bookmarkEnd w:id="463"/>
    <w:bookmarkStart w:id="464" w:name="performance-dashboard"/>
    <w:p>
      <w:pPr>
        <w:pStyle w:val="Heading3"/>
      </w:pPr>
      <w:r>
        <w:t xml:space="preserve">Performance Dashboard</w:t>
      </w:r>
    </w:p>
    <w:p>
      <w:pPr>
        <w:pStyle w:val="FirstParagraph"/>
      </w:pPr>
      <w:r>
        <w:rPr>
          <w:bCs/>
          <w:b/>
        </w:rPr>
        <w:t xml:space="preserve">SCR-13-FR-002</w:t>
      </w:r>
      <w:r>
        <w:t xml:space="preserve"> </w:t>
      </w:r>
      <w:r>
        <w:t xml:space="preserve">Per model, the dashboard SHALL show: accuracy / precision / recall / F1 over time, confusion matrix, ROC / PR curves, prediction distribution vs. expected, confidence calibration plot. Metrics refresh on both schedule and event-driven triggers (when new ground truth arrives via FB02).</w:t>
      </w:r>
    </w:p>
    <w:bookmarkEnd w:id="464"/>
    <w:bookmarkStart w:id="465" w:name="drift-monitoring"/>
    <w:p>
      <w:pPr>
        <w:pStyle w:val="Heading3"/>
      </w:pPr>
      <w:r>
        <w:t xml:space="preserve">Drift Monitoring</w:t>
      </w:r>
    </w:p>
    <w:p>
      <w:pPr>
        <w:pStyle w:val="FirstParagraph"/>
      </w:pPr>
      <w:r>
        <w:rPr>
          <w:bCs/>
          <w:b/>
        </w:rPr>
        <w:t xml:space="preserve">SCR-13-FR-003</w:t>
      </w:r>
      <w:r>
        <w:t xml:space="preserve"> </w:t>
      </w:r>
      <w:r>
        <w:t xml:space="preserve">Three classes of drift SHALL be monitored continuously: feature drift (input distribution shift, measured by KL divergence, JS divergence, or PSI against training baseline), prediction drift (output distribution shift), concept drift (input-output relationship shift, detected when prediction accuracy degrades despite stable feature distribution).</w:t>
      </w:r>
    </w:p>
    <w:p>
      <w:pPr>
        <w:pStyle w:val="BodyText"/>
      </w:pPr>
      <w:r>
        <w:rPr>
          <w:bCs/>
          <w:b/>
        </w:rPr>
        <w:t xml:space="preserve">SCR-13-FR-004</w:t>
      </w:r>
      <w:r>
        <w:t xml:space="preserve"> </w:t>
      </w:r>
      <w:r>
        <w:t xml:space="preserve">Threshold breaches SHALL create SCR-10 Data Quality incidents and SCR-19 alerts. Drift trends over the last 90 days are charted per feature and per model.</w:t>
      </w:r>
    </w:p>
    <w:bookmarkEnd w:id="465"/>
    <w:bookmarkStart w:id="466" w:name="fairness-metrics"/>
    <w:p>
      <w:pPr>
        <w:pStyle w:val="Heading3"/>
      </w:pPr>
      <w:r>
        <w:t xml:space="preserve">Fairness Metrics</w:t>
      </w:r>
    </w:p>
    <w:p>
      <w:pPr>
        <w:pStyle w:val="FirstParagraph"/>
      </w:pPr>
      <w:r>
        <w:rPr>
          <w:bCs/>
          <w:b/>
        </w:rPr>
        <w:t xml:space="preserve">SCR-13-FR-005</w:t>
      </w:r>
      <w:r>
        <w:t xml:space="preserve"> </w:t>
      </w:r>
      <w:r>
        <w:t xml:space="preserve">Fairness metrics SHALL be computed across protected attributes declared by the tenant (typical: gender, age range, region; vertical-specific: line of business for reinsurance). Standard measures: demographic parity, equalised odds, equal opportunity, disparate impact ratio.</w:t>
      </w:r>
    </w:p>
    <w:p>
      <w:pPr>
        <w:pStyle w:val="BodyText"/>
      </w:pPr>
      <w:r>
        <w:rPr>
          <w:bCs/>
          <w:b/>
        </w:rPr>
        <w:t xml:space="preserve">SCR-13-FR-006</w:t>
      </w:r>
      <w:r>
        <w:t xml:space="preserve"> </w:t>
      </w:r>
      <w:r>
        <w:t xml:space="preserve">Protected attribute declaration is configurable per tenant via SCR-13 and governed by PR04 DPIA — declaring a new protected attribute requires DPIA approval.</w:t>
      </w:r>
    </w:p>
    <w:bookmarkEnd w:id="466"/>
    <w:bookmarkStart w:id="467" w:name="outcome-linkage"/>
    <w:p>
      <w:pPr>
        <w:pStyle w:val="Heading3"/>
      </w:pPr>
      <w:r>
        <w:t xml:space="preserve">Outcome Linkage</w:t>
      </w:r>
    </w:p>
    <w:p>
      <w:pPr>
        <w:pStyle w:val="FirstParagraph"/>
      </w:pPr>
      <w:r>
        <w:rPr>
          <w:bCs/>
          <w:b/>
        </w:rPr>
        <w:t xml:space="preserve">SCR-13-FR-007</w:t>
      </w:r>
      <w:r>
        <w:t xml:space="preserve"> </w:t>
      </w:r>
      <w:r>
        <w:t xml:space="preserve">Outcome Linkage view (from FB02) SHALL show: of decisions emitted by this model, what fraction have measured real-world outcomes, what is the measured effectiveness (desired vs undesired outcome rate), how does effectiveness compare across segments, how has effectiveness trended over time.</w:t>
      </w:r>
    </w:p>
    <w:bookmarkEnd w:id="467"/>
    <w:bookmarkStart w:id="468" w:name="championchallenger-comparison"/>
    <w:p>
      <w:pPr>
        <w:pStyle w:val="Heading3"/>
      </w:pPr>
      <w:r>
        <w:t xml:space="preserve">Champion–Challenger Comparison</w:t>
      </w:r>
    </w:p>
    <w:p>
      <w:pPr>
        <w:pStyle w:val="FirstParagraph"/>
      </w:pPr>
      <w:r>
        <w:rPr>
          <w:bCs/>
          <w:b/>
        </w:rPr>
        <w:t xml:space="preserve">SCR-13-FR-008</w:t>
      </w:r>
      <w:r>
        <w:t xml:space="preserve"> </w:t>
      </w:r>
      <w:r>
        <w:t xml:space="preserve">Per A04-FR-005, when a new model version is trained, SCR-13 SHALL produce an automatic comparison report: accuracy delta, fairness delta, latency delta, resource consumption delta, confidence calibration delta. Report includes a recommendation (Promote / Reject / Needs Investigation) with reasoning.</w:t>
      </w:r>
    </w:p>
    <w:bookmarkEnd w:id="468"/>
    <w:bookmarkStart w:id="469" w:name="bias-investigation"/>
    <w:p>
      <w:pPr>
        <w:pStyle w:val="Heading3"/>
      </w:pPr>
      <w:r>
        <w:t xml:space="preserve">Bias Investigation</w:t>
      </w:r>
    </w:p>
    <w:p>
      <w:pPr>
        <w:pStyle w:val="FirstParagraph"/>
      </w:pPr>
      <w:r>
        <w:rPr>
          <w:bCs/>
          <w:b/>
        </w:rPr>
        <w:t xml:space="preserve">SCR-13-FR-009</w:t>
      </w:r>
      <w:r>
        <w:t xml:space="preserve"> </w:t>
      </w:r>
      <w:r>
        <w:t xml:space="preserve">Per A07-FR-004, SCR-13 aggregates A07 explanations to detect systematic patterns — a 'bias investigator' workflow surfaces patterns like 'model consistently weights region X higher for churn risk; is this data bias or legitimate signal?'. Investigations are documented with sign-off.</w:t>
      </w:r>
    </w:p>
    <w:bookmarkEnd w:id="469"/>
    <w:bookmarkStart w:id="470" w:name="operational-metrics"/>
    <w:p>
      <w:pPr>
        <w:pStyle w:val="Heading3"/>
      </w:pPr>
      <w:r>
        <w:t xml:space="preserve">Operational Metrics</w:t>
      </w:r>
    </w:p>
    <w:p>
      <w:pPr>
        <w:pStyle w:val="FirstParagraph"/>
      </w:pPr>
      <w:r>
        <w:rPr>
          <w:bCs/>
          <w:b/>
        </w:rPr>
        <w:t xml:space="preserve">SCR-13-FR-010</w:t>
      </w:r>
      <w:r>
        <w:t xml:space="preserve"> </w:t>
      </w:r>
      <w:r>
        <w:t xml:space="preserve">Per model: inference latency p50 / p95 / p99, cost per 1000 inferences, throughput, error rate. Operational regressions produce SCR-19 alerts.</w:t>
      </w:r>
    </w:p>
    <w:bookmarkEnd w:id="470"/>
    <w:bookmarkEnd w:id="471"/>
    <w:bookmarkStart w:id="472" w:name="acceptance-criteria-42"/>
    <w:p>
      <w:pPr>
        <w:pStyle w:val="Heading2"/>
      </w:pPr>
      <w:r>
        <w:t xml:space="preserve">Acceptance Criteria</w:t>
      </w:r>
    </w:p>
    <w:p>
      <w:pPr>
        <w:numPr>
          <w:ilvl w:val="0"/>
          <w:numId w:val="1020"/>
        </w:numPr>
      </w:pPr>
      <w:r>
        <w:t xml:space="preserve">A performance regression in a production model produces an SCR-13 alert and an SCR-10 incident within 5 minutes of detection.</w:t>
      </w:r>
    </w:p>
    <w:p>
      <w:pPr>
        <w:numPr>
          <w:ilvl w:val="0"/>
          <w:numId w:val="1020"/>
        </w:numPr>
      </w:pPr>
      <w:r>
        <w:t xml:space="preserve">Fairness metrics are surfaced for every protected attribute the tenant has declared, recomputed at least daily.</w:t>
      </w:r>
    </w:p>
    <w:p>
      <w:pPr>
        <w:numPr>
          <w:ilvl w:val="0"/>
          <w:numId w:val="1020"/>
        </w:numPr>
      </w:pPr>
      <w:r>
        <w:t xml:space="preserve">Outcome linkage shows over 70% of decisions with measurable outcomes for mature models (90+ days in production).</w:t>
      </w:r>
    </w:p>
    <w:p>
      <w:pPr>
        <w:numPr>
          <w:ilvl w:val="0"/>
          <w:numId w:val="1020"/>
        </w:numPr>
      </w:pPr>
      <w:r>
        <w:t xml:space="preserve">Champion-challenger comparison report generates automatically on every new model training completion and is reviewable before promotion.</w:t>
      </w:r>
    </w:p>
    <w:p>
      <w:pPr>
        <w:numPr>
          <w:ilvl w:val="0"/>
          <w:numId w:val="1020"/>
        </w:numPr>
      </w:pPr>
      <w:r>
        <w:t xml:space="preserve">Declaring a new protected attribute is blocked without an approved DPIA (PR04 gate enforced).</w:t>
      </w:r>
    </w:p>
    <w:bookmarkEnd w:id="472"/>
    <w:bookmarkEnd w:id="473"/>
    <w:bookmarkStart w:id="487" w:name="scr-15-edge-device-manager"/>
    <w:p>
      <w:pPr>
        <w:pStyle w:val="Heading1"/>
      </w:pPr>
      <w:r>
        <w:t xml:space="preserve">SCR-15 — Edge Device Manager</w:t>
      </w:r>
    </w:p>
    <w:tbl>
      <w:tblPr>
        <w:tblStyle w:val="Table"/>
        <w:tblW w:type="pct" w:w="4938"/>
        <w:tblLook w:firstRow="0" w:lastRow="0" w:firstColumn="0" w:lastColumn="0" w:noHBand="0" w:noVBand="0" w:val="0000"/>
        <w:jc w:val="start"/>
      </w:tblPr>
      <w:tblGrid>
        <w:gridCol w:w="1075"/>
        <w:gridCol w:w="6746"/>
      </w:tblGrid>
      <w:tr>
        <w:tc>
          <w:tcPr/>
          <w:p>
            <w:pPr>
              <w:pStyle w:val="Compact"/>
              <w:jc w:val="left"/>
            </w:pPr>
            <w:r>
              <w:rPr>
                <w:bCs/>
                <w:b/>
              </w:rPr>
              <w:t xml:space="preserve">Module ID</w:t>
            </w:r>
          </w:p>
        </w:tc>
        <w:tc>
          <w:tcPr/>
          <w:p>
            <w:pPr>
              <w:pStyle w:val="Compact"/>
              <w:jc w:val="left"/>
            </w:pPr>
            <w:r>
              <w:t xml:space="preserve">SCR-15</w:t>
            </w:r>
          </w:p>
        </w:tc>
      </w:tr>
      <w:tr>
        <w:tc>
          <w:tcPr/>
          <w:p>
            <w:pPr>
              <w:pStyle w:val="Compact"/>
              <w:jc w:val="left"/>
            </w:pPr>
            <w:r>
              <w:rPr>
                <w:bCs/>
                <w:b/>
              </w:rPr>
              <w:t xml:space="preserve">Phase</w:t>
            </w:r>
          </w:p>
        </w:tc>
        <w:tc>
          <w:tcPr/>
          <w:p>
            <w:pPr>
              <w:pStyle w:val="Compact"/>
              <w:jc w:val="left"/>
            </w:pPr>
            <w:r>
              <w:t xml:space="preserve">2 (Edge Maturity)</w:t>
            </w:r>
          </w:p>
        </w:tc>
      </w:tr>
      <w:tr>
        <w:tc>
          <w:tcPr/>
          <w:p>
            <w:pPr>
              <w:pStyle w:val="Compact"/>
              <w:jc w:val="left"/>
            </w:pPr>
            <w:r>
              <w:rPr>
                <w:bCs/>
                <w:b/>
              </w:rPr>
              <w:t xml:space="preserve">Complexity</w:t>
            </w:r>
          </w:p>
        </w:tc>
        <w:tc>
          <w:tcPr/>
          <w:p>
            <w:pPr>
              <w:pStyle w:val="Compact"/>
              <w:jc w:val="left"/>
            </w:pPr>
            <w:r>
              <w:t xml:space="preserve">High</w:t>
            </w:r>
          </w:p>
        </w:tc>
      </w:tr>
      <w:tr>
        <w:tc>
          <w:tcPr/>
          <w:p>
            <w:pPr>
              <w:pStyle w:val="Compact"/>
              <w:jc w:val="left"/>
            </w:pPr>
            <w:r>
              <w:rPr>
                <w:bCs/>
                <w:b/>
              </w:rPr>
              <w:t xml:space="preserve">Dependencies</w:t>
            </w:r>
          </w:p>
        </w:tc>
        <w:tc>
          <w:tcPr/>
          <w:p>
            <w:pPr>
              <w:pStyle w:val="Compact"/>
              <w:jc w:val="left"/>
            </w:pPr>
            <w:r>
              <w:t xml:space="preserve">ED01 (Edge-Cloud Orchestrator), ED02 (Edge Buffer &amp; Sync), ED03 (Federated Learning), G04 (Video), G06 (IoT), AC01, AC03 (Consent), F01</w:t>
            </w:r>
          </w:p>
        </w:tc>
      </w:tr>
      <w:tr>
        <w:tc>
          <w:tcPr/>
          <w:p>
            <w:pPr>
              <w:pStyle w:val="Compact"/>
              <w:jc w:val="left"/>
            </w:pPr>
            <w:r>
              <w:rPr>
                <w:bCs/>
                <w:b/>
              </w:rPr>
              <w:t xml:space="preserve">Depended On By</w:t>
            </w:r>
          </w:p>
        </w:tc>
        <w:tc>
          <w:tcPr/>
          <w:p>
            <w:pPr>
              <w:pStyle w:val="Compact"/>
              <w:jc w:val="left"/>
            </w:pPr>
            <w:r>
              <w:t xml:space="preserve">Every edge deployment: Body Shop stores, Ithina shelf cameras, VMukti brownfield upgrades, ArcisAI consumer devices</w:t>
            </w:r>
          </w:p>
        </w:tc>
      </w:tr>
      <w:tr>
        <w:tc>
          <w:tcPr/>
          <w:p>
            <w:pPr>
              <w:pStyle w:val="Compact"/>
              <w:jc w:val="left"/>
            </w:pPr>
            <w:r>
              <w:rPr>
                <w:bCs/>
                <w:b/>
              </w:rPr>
              <w:t xml:space="preserve">Owner</w:t>
            </w:r>
          </w:p>
        </w:tc>
        <w:tc>
          <w:tcPr/>
          <w:p>
            <w:pPr>
              <w:pStyle w:val="Compact"/>
              <w:jc w:val="left"/>
            </w:pPr>
            <w:r>
              <w:t xml:space="preserve">Edge Platform Lead</w:t>
            </w:r>
          </w:p>
        </w:tc>
      </w:tr>
    </w:tbl>
    <w:bookmarkStart w:id="474" w:name="purpose-52"/>
    <w:p>
      <w:pPr>
        <w:pStyle w:val="Heading2"/>
      </w:pPr>
      <w:r>
        <w:t xml:space="preserve">Purpose</w:t>
      </w:r>
    </w:p>
    <w:p>
      <w:pPr>
        <w:pStyle w:val="FirstParagraph"/>
      </w:pPr>
      <w:r>
        <w:t xml:space="preserve">SCR-15 is where edge devices — cameras, Edge Hubs (Jetson / Hailo / Ambarella / QCS / Rockchip), IoT sensors — are registered, provisioned, monitored, and updated. Aligned with ED01's Device Registry. SCR-15 is the operational layer of Sevyn8's hardware-agnostic story: one screen manages any SoC family the HAL supports.</w:t>
      </w:r>
    </w:p>
    <w:bookmarkEnd w:id="474"/>
    <w:bookmarkStart w:id="485" w:name="functional-requirements-28"/>
    <w:p>
      <w:pPr>
        <w:pStyle w:val="Heading2"/>
      </w:pPr>
      <w:r>
        <w:t xml:space="preserve">Functional Requirements</w:t>
      </w:r>
    </w:p>
    <w:bookmarkStart w:id="475" w:name="device-type-registry"/>
    <w:p>
      <w:pPr>
        <w:pStyle w:val="Heading3"/>
      </w:pPr>
      <w:r>
        <w:t xml:space="preserve">Device Type Registry</w:t>
      </w:r>
    </w:p>
    <w:p>
      <w:pPr>
        <w:pStyle w:val="FirstParagraph"/>
      </w:pPr>
      <w:r>
        <w:rPr>
          <w:bCs/>
          <w:b/>
        </w:rPr>
        <w:t xml:space="preserve">SCR-15-FR-001</w:t>
      </w:r>
      <w:r>
        <w:t xml:space="preserve"> </w:t>
      </w:r>
      <w:r>
        <w:t xml:space="preserve">Per ED01-FR-001, the Device Type Registry SHALL catalog every registered device type with: hardware specifications (SoC, CPU, GPU / NPU, memory, storage), supported model formats (ONNX, TFLite, OpenVINO, TensorRT), firmware baseline version, security capabilities (TPM 2.0, secure boot, hardware crypto). Super Admin maintains the catalog; tenants select from it during device provisioning.</w:t>
      </w:r>
    </w:p>
    <w:bookmarkEnd w:id="475"/>
    <w:bookmarkStart w:id="476" w:name="device-inventory-per-tenant"/>
    <w:p>
      <w:pPr>
        <w:pStyle w:val="Heading3"/>
      </w:pPr>
      <w:r>
        <w:t xml:space="preserve">Device Inventory (per tenant)</w:t>
      </w:r>
    </w:p>
    <w:p>
      <w:pPr>
        <w:pStyle w:val="FirstParagraph"/>
      </w:pPr>
      <w:r>
        <w:rPr>
          <w:bCs/>
          <w:b/>
        </w:rPr>
        <w:t xml:space="preserve">SCR-15-FR-002</w:t>
      </w:r>
      <w:r>
        <w:t xml:space="preserve"> </w:t>
      </w:r>
      <w:r>
        <w:t xml:space="preserve">Every deployed device per tenant SHALL be listed with: device_id, type, location (mapped to AC02 hierarchy — a specific store, a specific zone), status (Online / Offline / Provisioning / Degraded / Decommissioned), firmware version, model pack version, last heartbeat, certificate issue / expiry, owner. Filterable by location, type, status.</w:t>
      </w:r>
    </w:p>
    <w:bookmarkEnd w:id="476"/>
    <w:bookmarkStart w:id="477" w:name="zone-configuration"/>
    <w:p>
      <w:pPr>
        <w:pStyle w:val="Heading3"/>
      </w:pPr>
      <w:r>
        <w:t xml:space="preserve">Zone Configuration</w:t>
      </w:r>
    </w:p>
    <w:p>
      <w:pPr>
        <w:pStyle w:val="FirstParagraph"/>
      </w:pPr>
      <w:r>
        <w:rPr>
          <w:bCs/>
          <w:b/>
        </w:rPr>
        <w:t xml:space="preserve">SCR-15-FR-003</w:t>
      </w:r>
      <w:r>
        <w:t xml:space="preserve"> </w:t>
      </w:r>
      <w:r>
        <w:t xml:space="preserve">Per G04-FR-002, for each camera device, SCR-15 SHALL provide a zone configuration UI where the admin overlays zone polygons on a first-frame reference image. Zones feed G04 zone analytics and CX-02 Store Performance heatmaps. Bulk-apply zone templates across cameras of the same physical format.</w:t>
      </w:r>
    </w:p>
    <w:bookmarkEnd w:id="477"/>
    <w:bookmarkStart w:id="478" w:name="model-pack-deployment"/>
    <w:p>
      <w:pPr>
        <w:pStyle w:val="Heading3"/>
      </w:pPr>
      <w:r>
        <w:t xml:space="preserve">Model Pack Deployment</w:t>
      </w:r>
    </w:p>
    <w:p>
      <w:pPr>
        <w:pStyle w:val="FirstParagraph"/>
      </w:pPr>
      <w:r>
        <w:rPr>
          <w:bCs/>
          <w:b/>
        </w:rPr>
        <w:t xml:space="preserve">SCR-15-FR-004</w:t>
      </w:r>
      <w:r>
        <w:t xml:space="preserve"> </w:t>
      </w:r>
      <w:r>
        <w:t xml:space="preserve">Model Packs are bundles of AI models (YOLO variants, ArcFace, custom detectors, classifiers) assigned to device types. SCR-15 SHALL support: assign pack to device type, push pack to fleet (with canary → staged → full rollout), rollback on failure. Per-device pack version is visible for compliance.</w:t>
      </w:r>
    </w:p>
    <w:bookmarkEnd w:id="478"/>
    <w:bookmarkStart w:id="479" w:name="device-provisioning"/>
    <w:p>
      <w:pPr>
        <w:pStyle w:val="Heading3"/>
      </w:pPr>
      <w:r>
        <w:t xml:space="preserve">Device Provisioning</w:t>
      </w:r>
    </w:p>
    <w:p>
      <w:pPr>
        <w:pStyle w:val="FirstParagraph"/>
      </w:pPr>
      <w:r>
        <w:rPr>
          <w:bCs/>
          <w:b/>
        </w:rPr>
        <w:t xml:space="preserve">SCR-15-FR-005</w:t>
      </w:r>
      <w:r>
        <w:t xml:space="preserve"> </w:t>
      </w:r>
      <w:r>
        <w:t xml:space="preserve">Provisioning workflow SHALL generate device certificates, issue device configuration, bootstrap the device-to-cloud connection. Bulk provisioning via CSV (one row per device) for store rollouts. Zero-touch provisioning where hardware supports it (certificate pre-loaded at factory).</w:t>
      </w:r>
    </w:p>
    <w:bookmarkEnd w:id="479"/>
    <w:bookmarkStart w:id="480" w:name="health-monitoring"/>
    <w:p>
      <w:pPr>
        <w:pStyle w:val="Heading3"/>
      </w:pPr>
      <w:r>
        <w:t xml:space="preserve">Health Monitoring</w:t>
      </w:r>
    </w:p>
    <w:p>
      <w:pPr>
        <w:pStyle w:val="FirstParagraph"/>
      </w:pPr>
      <w:r>
        <w:rPr>
          <w:bCs/>
          <w:b/>
        </w:rPr>
        <w:t xml:space="preserve">SCR-15-FR-006</w:t>
      </w:r>
      <w:r>
        <w:t xml:space="preserve"> </w:t>
      </w:r>
      <w:r>
        <w:t xml:space="preserve">Per-device telemetry: CPU, GPU / NPU, memory, disk, inference latency, dropped frames, connectivity quality, temperature (for thermally-sensitive deployments). Aggregates per device type and per location in dashboard views. Alerting via O02 on threshold breaches.</w:t>
      </w:r>
    </w:p>
    <w:bookmarkEnd w:id="480"/>
    <w:bookmarkStart w:id="481" w:name="ota-updates"/>
    <w:p>
      <w:pPr>
        <w:pStyle w:val="Heading3"/>
      </w:pPr>
      <w:r>
        <w:t xml:space="preserve">OTA Updates</w:t>
      </w:r>
    </w:p>
    <w:p>
      <w:pPr>
        <w:pStyle w:val="FirstParagraph"/>
      </w:pPr>
      <w:r>
        <w:rPr>
          <w:bCs/>
          <w:b/>
        </w:rPr>
        <w:t xml:space="preserve">SCR-15-FR-007</w:t>
      </w:r>
      <w:r>
        <w:t xml:space="preserve"> </w:t>
      </w:r>
      <w:r>
        <w:t xml:space="preserve">Firmware and model pack updates delivered OTA. Canary cohort (configurable, default 5%) → staged (25%, 50%) → full. Automatic halt on health metric regression during rollout; rollback to prior version completes fleet-wide within 10 minutes.</w:t>
      </w:r>
    </w:p>
    <w:bookmarkEnd w:id="481"/>
    <w:bookmarkStart w:id="482" w:name="buffer-sync-ed02"/>
    <w:p>
      <w:pPr>
        <w:pStyle w:val="Heading3"/>
      </w:pPr>
      <w:r>
        <w:t xml:space="preserve">Buffer Sync (ED02)</w:t>
      </w:r>
    </w:p>
    <w:p>
      <w:pPr>
        <w:pStyle w:val="FirstParagraph"/>
      </w:pPr>
      <w:r>
        <w:rPr>
          <w:bCs/>
          <w:b/>
        </w:rPr>
        <w:t xml:space="preserve">SCR-15-FR-008</w:t>
      </w:r>
      <w:r>
        <w:t xml:space="preserve"> </w:t>
      </w:r>
      <w:r>
        <w:t xml:space="preserve">Per ED02, when cloud connectivity is intermittent, edge devices buffer data locally. SCR-15 SHALL show per-device buffer status: backlog size, oldest unsynced record, sync rate when reconnected, reconciliation state. This supports edge-first operation — stores stay operational during WAN outages.</w:t>
      </w:r>
    </w:p>
    <w:bookmarkEnd w:id="482"/>
    <w:bookmarkStart w:id="483" w:name="federated-learning-ed03"/>
    <w:p>
      <w:pPr>
        <w:pStyle w:val="Heading3"/>
      </w:pPr>
      <w:r>
        <w:t xml:space="preserve">Federated Learning (ED03)</w:t>
      </w:r>
    </w:p>
    <w:p>
      <w:pPr>
        <w:pStyle w:val="FirstParagraph"/>
      </w:pPr>
      <w:r>
        <w:rPr>
          <w:bCs/>
          <w:b/>
        </w:rPr>
        <w:t xml:space="preserve">SCR-15-FR-009</w:t>
      </w:r>
      <w:r>
        <w:t xml:space="preserve"> </w:t>
      </w:r>
      <w:r>
        <w:t xml:space="preserve">For tenants on ED03, SCR-15 SHALL show federated learning rounds: participating devices, round status (data collection / local training / aggregation / model distribution), aggregated model versioning. Phase 3+ capability.</w:t>
      </w:r>
    </w:p>
    <w:bookmarkEnd w:id="483"/>
    <w:bookmarkStart w:id="484" w:name="consent-context-propagation"/>
    <w:p>
      <w:pPr>
        <w:pStyle w:val="Heading3"/>
      </w:pPr>
      <w:r>
        <w:t xml:space="preserve">Consent Context Propagation</w:t>
      </w:r>
    </w:p>
    <w:p>
      <w:pPr>
        <w:pStyle w:val="FirstParagraph"/>
      </w:pPr>
      <w:r>
        <w:rPr>
          <w:bCs/>
          <w:b/>
        </w:rPr>
        <w:t xml:space="preserve">SCR-15-FR-010</w:t>
      </w:r>
      <w:r>
        <w:t xml:space="preserve"> </w:t>
      </w:r>
      <w:r>
        <w:t xml:space="preserve">Per AC03, when consent states change (grant, modify, withdraw), affected edge devices SHALL receive updated consent context within the defined SLA (1 hour for real-time cascade). SCR-15 visualises propagation state — which devices have acknowledged, which are pending, which are offline and will sync on reconnect.</w:t>
      </w:r>
    </w:p>
    <w:bookmarkEnd w:id="484"/>
    <w:bookmarkEnd w:id="485"/>
    <w:bookmarkStart w:id="486" w:name="acceptance-criteria-43"/>
    <w:p>
      <w:pPr>
        <w:pStyle w:val="Heading2"/>
      </w:pPr>
      <w:r>
        <w:t xml:space="preserve">Acceptance Criteria</w:t>
      </w:r>
    </w:p>
    <w:p>
      <w:pPr>
        <w:numPr>
          <w:ilvl w:val="0"/>
          <w:numId w:val="1021"/>
        </w:numPr>
      </w:pPr>
      <w:r>
        <w:t xml:space="preserve">Provisioning 50 edge devices in a single-store batch completes in under 2 hours, including certificate issuance and initial model pack deployment.</w:t>
      </w:r>
    </w:p>
    <w:p>
      <w:pPr>
        <w:numPr>
          <w:ilvl w:val="0"/>
          <w:numId w:val="1021"/>
        </w:numPr>
      </w:pPr>
      <w:r>
        <w:t xml:space="preserve">Camera zone configuration for a new store completes in under 30 minutes per camera.</w:t>
      </w:r>
    </w:p>
    <w:p>
      <w:pPr>
        <w:numPr>
          <w:ilvl w:val="0"/>
          <w:numId w:val="1021"/>
        </w:numPr>
      </w:pPr>
      <w:r>
        <w:t xml:space="preserve">OTA rollback from a bad firmware or model pack completes fleet-wide within 10 minutes.</w:t>
      </w:r>
    </w:p>
    <w:p>
      <w:pPr>
        <w:numPr>
          <w:ilvl w:val="0"/>
          <w:numId w:val="1021"/>
        </w:numPr>
      </w:pPr>
      <w:r>
        <w:t xml:space="preserve">Consent withdrawal for an entity propagates to all edge devices in the relevant region within 1 hour (matches AC03 consent cascade SLA).</w:t>
      </w:r>
    </w:p>
    <w:p>
      <w:pPr>
        <w:numPr>
          <w:ilvl w:val="0"/>
          <w:numId w:val="1021"/>
        </w:numPr>
      </w:pPr>
      <w:r>
        <w:t xml:space="preserve">Edge buffer reconciliation after a 1-hour WAN outage completes within 15 minutes of reconnection, with zero data loss.</w:t>
      </w:r>
    </w:p>
    <w:bookmarkEnd w:id="486"/>
    <w:bookmarkEnd w:id="487"/>
    <w:bookmarkStart w:id="499" w:name="scr-16-consent-manager"/>
    <w:p>
      <w:pPr>
        <w:pStyle w:val="Heading1"/>
      </w:pPr>
      <w:r>
        <w:t xml:space="preserve">SCR-16 — Consent Manager</w:t>
      </w:r>
    </w:p>
    <w:tbl>
      <w:tblPr>
        <w:tblStyle w:val="Table"/>
        <w:tblW w:type="pct" w:w="4942"/>
        <w:tblLook w:firstRow="0" w:lastRow="0" w:firstColumn="0" w:lastColumn="0" w:noHBand="0" w:noVBand="0" w:val="0000"/>
        <w:jc w:val="start"/>
      </w:tblPr>
      <w:tblGrid>
        <w:gridCol w:w="1007"/>
        <w:gridCol w:w="6821"/>
      </w:tblGrid>
      <w:tr>
        <w:tc>
          <w:tcPr/>
          <w:p>
            <w:pPr>
              <w:pStyle w:val="Compact"/>
              <w:jc w:val="left"/>
            </w:pPr>
            <w:r>
              <w:rPr>
                <w:bCs/>
                <w:b/>
              </w:rPr>
              <w:t xml:space="preserve">Module ID</w:t>
            </w:r>
          </w:p>
        </w:tc>
        <w:tc>
          <w:tcPr/>
          <w:p>
            <w:pPr>
              <w:pStyle w:val="Compact"/>
              <w:jc w:val="left"/>
            </w:pPr>
            <w:r>
              <w:t xml:space="preserve">SCR-16</w:t>
            </w:r>
          </w:p>
        </w:tc>
      </w:tr>
      <w:tr>
        <w:tc>
          <w:tcPr/>
          <w:p>
            <w:pPr>
              <w:pStyle w:val="Compact"/>
              <w:jc w:val="left"/>
            </w:pPr>
            <w:r>
              <w:rPr>
                <w:bCs/>
                <w:b/>
              </w:rPr>
              <w:t xml:space="preserve">Phase</w:t>
            </w:r>
          </w:p>
        </w:tc>
        <w:tc>
          <w:tcPr/>
          <w:p>
            <w:pPr>
              <w:pStyle w:val="Compact"/>
              <w:jc w:val="left"/>
            </w:pPr>
            <w:r>
              <w:t xml:space="preserve">1 (Core Admin Experience — compliance critical)</w:t>
            </w:r>
          </w:p>
        </w:tc>
      </w:tr>
      <w:tr>
        <w:tc>
          <w:tcPr/>
          <w:p>
            <w:pPr>
              <w:pStyle w:val="Compact"/>
              <w:jc w:val="left"/>
            </w:pPr>
            <w:r>
              <w:rPr>
                <w:bCs/>
                <w:b/>
              </w:rPr>
              <w:t xml:space="preserve">Complexity</w:t>
            </w:r>
          </w:p>
        </w:tc>
        <w:tc>
          <w:tcPr/>
          <w:p>
            <w:pPr>
              <w:pStyle w:val="Compact"/>
              <w:jc w:val="left"/>
            </w:pPr>
            <w:r>
              <w:t xml:space="preserve">High</w:t>
            </w:r>
          </w:p>
        </w:tc>
      </w:tr>
      <w:tr>
        <w:tc>
          <w:tcPr/>
          <w:p>
            <w:pPr>
              <w:pStyle w:val="Compact"/>
              <w:jc w:val="left"/>
            </w:pPr>
            <w:r>
              <w:rPr>
                <w:bCs/>
                <w:b/>
              </w:rPr>
              <w:t xml:space="preserve">Dependencies</w:t>
            </w:r>
          </w:p>
        </w:tc>
        <w:tc>
          <w:tcPr/>
          <w:p>
            <w:pPr>
              <w:pStyle w:val="Compact"/>
              <w:jc w:val="left"/>
            </w:pPr>
            <w:r>
              <w:t xml:space="preserve">AC03 (Consent &amp; Privacy Manager), PR01 (Processing Purpose Registry), PR04 (DPIA Workflow), PR06 (Retention Clock), AC01, AC04 (Compliance Policy)</w:t>
            </w:r>
          </w:p>
        </w:tc>
      </w:tr>
      <w:tr>
        <w:tc>
          <w:tcPr/>
          <w:p>
            <w:pPr>
              <w:pStyle w:val="Compact"/>
              <w:jc w:val="left"/>
            </w:pPr>
            <w:r>
              <w:rPr>
                <w:bCs/>
                <w:b/>
              </w:rPr>
              <w:t xml:space="preserve">Depended On By</w:t>
            </w:r>
          </w:p>
        </w:tc>
        <w:tc>
          <w:tcPr/>
          <w:p>
            <w:pPr>
              <w:pStyle w:val="Compact"/>
              <w:jc w:val="left"/>
            </w:pPr>
            <w:r>
              <w:t xml:space="preserve">Every screen that shows entity data; O04 consent gate; ED01 edge consent propagation; PR02 DSAR workflow</w:t>
            </w:r>
          </w:p>
        </w:tc>
      </w:tr>
      <w:tr>
        <w:tc>
          <w:tcPr/>
          <w:p>
            <w:pPr>
              <w:pStyle w:val="Compact"/>
              <w:jc w:val="left"/>
            </w:pPr>
            <w:r>
              <w:rPr>
                <w:bCs/>
                <w:b/>
              </w:rPr>
              <w:t xml:space="preserve">Owner</w:t>
            </w:r>
          </w:p>
        </w:tc>
        <w:tc>
          <w:tcPr/>
          <w:p>
            <w:pPr>
              <w:pStyle w:val="Compact"/>
              <w:jc w:val="left"/>
            </w:pPr>
            <w:r>
              <w:t xml:space="preserve">Privacy / Compliance Lead</w:t>
            </w:r>
          </w:p>
        </w:tc>
      </w:tr>
    </w:tbl>
    <w:bookmarkStart w:id="488" w:name="purpose-53"/>
    <w:p>
      <w:pPr>
        <w:pStyle w:val="Heading2"/>
      </w:pPr>
      <w:r>
        <w:t xml:space="preserve">Purpose</w:t>
      </w:r>
    </w:p>
    <w:p>
      <w:pPr>
        <w:pStyle w:val="FirstParagraph"/>
      </w:pPr>
      <w:r>
        <w:t xml:space="preserve">SCR-16 is the tenant's interface to AC03 and PR01. Tenants define processing purposes, manage consent states, respond to withdrawal, and monitor consent coverage across the active entity population. SCR-16 is compliance-critical — every action is audit-logged and many are visible to regulators on demand.</w:t>
      </w:r>
    </w:p>
    <w:bookmarkEnd w:id="488"/>
    <w:bookmarkStart w:id="497" w:name="functional-requirements-29"/>
    <w:p>
      <w:pPr>
        <w:pStyle w:val="Heading2"/>
      </w:pPr>
      <w:r>
        <w:t xml:space="preserve">Functional Requirements</w:t>
      </w:r>
    </w:p>
    <w:bookmarkStart w:id="489" w:name="processing-purpose-registry"/>
    <w:p>
      <w:pPr>
        <w:pStyle w:val="Heading3"/>
      </w:pPr>
      <w:r>
        <w:t xml:space="preserve">Processing Purpose Registry</w:t>
      </w:r>
    </w:p>
    <w:p>
      <w:pPr>
        <w:pStyle w:val="FirstParagraph"/>
      </w:pPr>
      <w:r>
        <w:rPr>
          <w:bCs/>
          <w:b/>
        </w:rPr>
        <w:t xml:space="preserve">SCR-16-FR-001</w:t>
      </w:r>
      <w:r>
        <w:t xml:space="preserve"> </w:t>
      </w:r>
      <w:r>
        <w:t xml:space="preserve">The Purpose Registry SHALL list every declared PR01 purpose with: purpose_id, display name, description, lawful basis (CONSENT, LEGITIMATE_INTEREST, CONTRACT, LEGAL_OBLIGATION, VITAL_INTEREST, PUBLIC_TASK per DPDP and GDPR), is_mandatory, requires_explicit_opt_in, retention policy, associated data categories, downstream modules referencing the purpose, current active-entity count.</w:t>
      </w:r>
    </w:p>
    <w:p>
      <w:pPr>
        <w:pStyle w:val="BodyText"/>
      </w:pPr>
      <w:r>
        <w:rPr>
          <w:bCs/>
          <w:b/>
        </w:rPr>
        <w:t xml:space="preserve">SCR-16-FR-002</w:t>
      </w:r>
      <w:r>
        <w:t xml:space="preserve"> </w:t>
      </w:r>
      <w:r>
        <w:t xml:space="preserve">Purpose Authoring wizard: name, description, lawful basis, data categories impacted (from D01 PII classifications), retention period, opt-in requirements, sub-processors involved (linked to PR05), consent collection touchpoint(s). Purposes flagged as high-risk by PR04 DPIA rules MUST complete the DPIA workflow before activation.</w:t>
      </w:r>
    </w:p>
    <w:bookmarkEnd w:id="489"/>
    <w:bookmarkStart w:id="490" w:name="consent-state-overview"/>
    <w:p>
      <w:pPr>
        <w:pStyle w:val="Heading3"/>
      </w:pPr>
      <w:r>
        <w:t xml:space="preserve">Consent State Overview</w:t>
      </w:r>
    </w:p>
    <w:p>
      <w:pPr>
        <w:pStyle w:val="FirstParagraph"/>
      </w:pPr>
      <w:r>
        <w:rPr>
          <w:bCs/>
          <w:b/>
        </w:rPr>
        <w:t xml:space="preserve">SCR-16-FR-003</w:t>
      </w:r>
      <w:r>
        <w:t xml:space="preserve"> </w:t>
      </w:r>
      <w:r>
        <w:t xml:space="preserve">Aggregate consent coverage per purpose SHALL be visible: % of entities in scope with granted consent, withdrawn consent, pending consent, no-consent-captured. Trend over last 90 days per purpose. Rollup score appears in SCR-01 Health Scorecard.</w:t>
      </w:r>
    </w:p>
    <w:bookmarkEnd w:id="490"/>
    <w:bookmarkStart w:id="491" w:name="per-entity-consent"/>
    <w:p>
      <w:pPr>
        <w:pStyle w:val="Heading3"/>
      </w:pPr>
      <w:r>
        <w:t xml:space="preserve">Per-Entity Consent</w:t>
      </w:r>
    </w:p>
    <w:p>
      <w:pPr>
        <w:pStyle w:val="FirstParagraph"/>
      </w:pPr>
      <w:r>
        <w:rPr>
          <w:bCs/>
          <w:b/>
        </w:rPr>
        <w:t xml:space="preserve">SCR-16-FR-004</w:t>
      </w:r>
      <w:r>
        <w:t xml:space="preserve"> </w:t>
      </w:r>
      <w:r>
        <w:t xml:space="preserve">Per-entity consent view (accessed from CX-03 Customer 360 or via search): full consent history per purpose, source of consent (which touchpoint captured it, which consent template version), timestamp, withdrawal events, re-grant events.</w:t>
      </w:r>
    </w:p>
    <w:bookmarkEnd w:id="491"/>
    <w:bookmarkStart w:id="492" w:name="consent-collection-configuration"/>
    <w:p>
      <w:pPr>
        <w:pStyle w:val="Heading3"/>
      </w:pPr>
      <w:r>
        <w:t xml:space="preserve">Consent Collection Configuration</w:t>
      </w:r>
    </w:p>
    <w:p>
      <w:pPr>
        <w:pStyle w:val="FirstParagraph"/>
      </w:pPr>
      <w:r>
        <w:rPr>
          <w:bCs/>
          <w:b/>
        </w:rPr>
        <w:t xml:space="preserve">SCR-16-FR-005</w:t>
      </w:r>
      <w:r>
        <w:t xml:space="preserve"> </w:t>
      </w:r>
      <w:r>
        <w:t xml:space="preserve">For tenant-owned channels (consumer PWA, mobile app, in-store kiosk, staff tablet, email), SCR-16 SHALL provide: consent template authoring per purpose, version control, preview, multi-locale (IC02) support, publish to touchpoints via SDK (DX01).</w:t>
      </w:r>
    </w:p>
    <w:p>
      <w:pPr>
        <w:pStyle w:val="BodyText"/>
      </w:pPr>
      <w:r>
        <w:rPr>
          <w:bCs/>
          <w:b/>
        </w:rPr>
        <w:t xml:space="preserve">SCR-16-FR-006</w:t>
      </w:r>
      <w:r>
        <w:t xml:space="preserve"> </w:t>
      </w:r>
      <w:r>
        <w:t xml:space="preserve">Body Shop two-touchpoint model (general consent + biometric consent) is supported natively: templates can be grouped into multi-purpose consent bundles with clear separation between optional and required purposes.</w:t>
      </w:r>
    </w:p>
    <w:bookmarkEnd w:id="492"/>
    <w:bookmarkStart w:id="493" w:name="withdrawal-cascade-monitor"/>
    <w:p>
      <w:pPr>
        <w:pStyle w:val="Heading3"/>
      </w:pPr>
      <w:r>
        <w:t xml:space="preserve">Withdrawal Cascade Monitor</w:t>
      </w:r>
    </w:p>
    <w:p>
      <w:pPr>
        <w:pStyle w:val="FirstParagraph"/>
      </w:pPr>
      <w:r>
        <w:rPr>
          <w:bCs/>
          <w:b/>
        </w:rPr>
        <w:t xml:space="preserve">SCR-16-FR-007</w:t>
      </w:r>
      <w:r>
        <w:t xml:space="preserve"> </w:t>
      </w:r>
      <w:r>
        <w:t xml:space="preserve">When an entity withdraws consent, AC03's cascade initiates across dependent modules. SCR-16 SHALL display per-withdrawal propagation state: which modules have confirmed withdrawal, which are pending, which are overdue against SLA. Per AC03 acceptance: 15-minute immediate stop, 1-hour real-time pipelines, 24-hour analytics layer, 7-day full erasure where applicable.</w:t>
      </w:r>
    </w:p>
    <w:bookmarkEnd w:id="493"/>
    <w:bookmarkStart w:id="494" w:name="dpia-workflow-pr04"/>
    <w:p>
      <w:pPr>
        <w:pStyle w:val="Heading3"/>
      </w:pPr>
      <w:r>
        <w:t xml:space="preserve">DPIA Workflow (PR04)</w:t>
      </w:r>
    </w:p>
    <w:p>
      <w:pPr>
        <w:pStyle w:val="FirstParagraph"/>
      </w:pPr>
      <w:r>
        <w:rPr>
          <w:bCs/>
          <w:b/>
        </w:rPr>
        <w:t xml:space="preserve">SCR-16-FR-008</w:t>
      </w:r>
      <w:r>
        <w:t xml:space="preserve"> </w:t>
      </w:r>
      <w:r>
        <w:t xml:space="preserve">For purposes flagged high-risk, SCR-16 SHALL trigger PR04 DPIA workflow: template questionnaire (risk assessment, mitigations, necessity justification), stakeholder review routing, sign-off capture. No high-risk purpose is activatable without completed DPIA.</w:t>
      </w:r>
    </w:p>
    <w:bookmarkEnd w:id="494"/>
    <w:bookmarkStart w:id="495" w:name="retention-clock-pr06"/>
    <w:p>
      <w:pPr>
        <w:pStyle w:val="Heading3"/>
      </w:pPr>
      <w:r>
        <w:t xml:space="preserve">Retention Clock (PR06)</w:t>
      </w:r>
    </w:p>
    <w:p>
      <w:pPr>
        <w:pStyle w:val="FirstParagraph"/>
      </w:pPr>
      <w:r>
        <w:rPr>
          <w:bCs/>
          <w:b/>
        </w:rPr>
        <w:t xml:space="preserve">SCR-16-FR-009</w:t>
      </w:r>
      <w:r>
        <w:t xml:space="preserve"> </w:t>
      </w:r>
      <w:r>
        <w:t xml:space="preserve">Per PR06-FR-006, for each purpose, SCR-16 shows: entity count in ACTIVE (purpose not fulfilled), RETENTION (fulfilled, clock ticking), OVERDUE (past expiry, not yet deleted), HELD (under legal hold). Alerts when OVERDUE exceeds 1% of total. Auto-erasure triggers when retention expires absent legal hold.</w:t>
      </w:r>
    </w:p>
    <w:bookmarkEnd w:id="495"/>
    <w:bookmarkStart w:id="496" w:name="consent-reporting"/>
    <w:p>
      <w:pPr>
        <w:pStyle w:val="Heading3"/>
      </w:pPr>
      <w:r>
        <w:t xml:space="preserve">Consent Reporting</w:t>
      </w:r>
    </w:p>
    <w:p>
      <w:pPr>
        <w:pStyle w:val="FirstParagraph"/>
      </w:pPr>
      <w:r>
        <w:rPr>
          <w:bCs/>
          <w:b/>
        </w:rPr>
        <w:t xml:space="preserve">SCR-16-FR-010</w:t>
      </w:r>
      <w:r>
        <w:t xml:space="preserve"> </w:t>
      </w:r>
      <w:r>
        <w:t xml:space="preserve">Export consent posture reports for auditors: filterable by purpose, time range, data category, entity cohort. Reports include consent timestamps, versioning, and SHA-chained integrity proof from the audit log (SCR-20).</w:t>
      </w:r>
    </w:p>
    <w:bookmarkEnd w:id="496"/>
    <w:bookmarkEnd w:id="497"/>
    <w:bookmarkStart w:id="498" w:name="acceptance-criteria-44"/>
    <w:p>
      <w:pPr>
        <w:pStyle w:val="Heading2"/>
      </w:pPr>
      <w:r>
        <w:t xml:space="preserve">Acceptance Criteria</w:t>
      </w:r>
    </w:p>
    <w:p>
      <w:pPr>
        <w:numPr>
          <w:ilvl w:val="0"/>
          <w:numId w:val="1022"/>
        </w:numPr>
      </w:pPr>
      <w:r>
        <w:t xml:space="preserve">A new processing purpose is authored, DPIA-approved (if required), and activated in under 30 minutes of admin time (excluding the DPIA's own review clock).</w:t>
      </w:r>
    </w:p>
    <w:p>
      <w:pPr>
        <w:numPr>
          <w:ilvl w:val="0"/>
          <w:numId w:val="1022"/>
        </w:numPr>
      </w:pPr>
      <w:r>
        <w:t xml:space="preserve">Consent withdrawal cascade meets AC03 SLA 100% of the time: 15-minute immediate, 1-hour real-time, 24-hour analytics layers.</w:t>
      </w:r>
    </w:p>
    <w:p>
      <w:pPr>
        <w:numPr>
          <w:ilvl w:val="0"/>
          <w:numId w:val="1022"/>
        </w:numPr>
      </w:pPr>
      <w:r>
        <w:t xml:space="preserve">Consent coverage score in SCR-01 updates within 5 minutes of consent state change.</w:t>
      </w:r>
    </w:p>
    <w:p>
      <w:pPr>
        <w:numPr>
          <w:ilvl w:val="0"/>
          <w:numId w:val="1022"/>
        </w:numPr>
      </w:pPr>
      <w:r>
        <w:t xml:space="preserve">DPIA workflow is enforced for every new high-risk purpose — no bypass path exists in the UI or API.</w:t>
      </w:r>
    </w:p>
    <w:p>
      <w:pPr>
        <w:numPr>
          <w:ilvl w:val="0"/>
          <w:numId w:val="1022"/>
        </w:numPr>
      </w:pPr>
      <w:r>
        <w:t xml:space="preserve">Consent posture export for a 90-day window generates in under 10 minutes with integrity proof attached.</w:t>
      </w:r>
    </w:p>
    <w:bookmarkEnd w:id="498"/>
    <w:bookmarkEnd w:id="499"/>
    <w:bookmarkStart w:id="510" w:name="scr-20-audit-activity-log-with-lineage"/>
    <w:p>
      <w:pPr>
        <w:pStyle w:val="Heading1"/>
      </w:pPr>
      <w:r>
        <w:t xml:space="preserve">SCR-20 — Audit &amp; Activity Log (with Lineage)</w:t>
      </w:r>
    </w:p>
    <w:tbl>
      <w:tblPr>
        <w:tblStyle w:val="Table"/>
        <w:tblW w:type="pct" w:w="4933"/>
        <w:tblLook w:firstRow="0" w:lastRow="0" w:firstColumn="0" w:lastColumn="0" w:noHBand="0" w:noVBand="0" w:val="0000"/>
        <w:jc w:val="start"/>
      </w:tblPr>
      <w:tblGrid>
        <w:gridCol w:w="1161"/>
        <w:gridCol w:w="6652"/>
      </w:tblGrid>
      <w:tr>
        <w:tc>
          <w:tcPr/>
          <w:p>
            <w:pPr>
              <w:pStyle w:val="Compact"/>
              <w:jc w:val="left"/>
            </w:pPr>
            <w:r>
              <w:rPr>
                <w:bCs/>
                <w:b/>
              </w:rPr>
              <w:t xml:space="preserve">Module ID</w:t>
            </w:r>
          </w:p>
        </w:tc>
        <w:tc>
          <w:tcPr/>
          <w:p>
            <w:pPr>
              <w:pStyle w:val="Compact"/>
              <w:jc w:val="left"/>
            </w:pPr>
            <w:r>
              <w:t xml:space="preserve">SCR-20</w:t>
            </w:r>
          </w:p>
        </w:tc>
      </w:tr>
      <w:tr>
        <w:tc>
          <w:tcPr/>
          <w:p>
            <w:pPr>
              <w:pStyle w:val="Compact"/>
              <w:jc w:val="left"/>
            </w:pPr>
            <w:r>
              <w:rPr>
                <w:bCs/>
                <w:b/>
              </w:rPr>
              <w:t xml:space="preserve">Phase</w:t>
            </w:r>
          </w:p>
        </w:tc>
        <w:tc>
          <w:tcPr/>
          <w:p>
            <w:pPr>
              <w:pStyle w:val="Compact"/>
              <w:jc w:val="left"/>
            </w:pPr>
            <w:r>
              <w:t xml:space="preserve">1 (Core Admin Experience — compliance critical)</w:t>
            </w:r>
          </w:p>
        </w:tc>
      </w:tr>
      <w:tr>
        <w:tc>
          <w:tcPr/>
          <w:p>
            <w:pPr>
              <w:pStyle w:val="Compact"/>
              <w:jc w:val="left"/>
            </w:pPr>
            <w:r>
              <w:rPr>
                <w:bCs/>
                <w:b/>
              </w:rPr>
              <w:t xml:space="preserve">Complexity</w:t>
            </w:r>
          </w:p>
        </w:tc>
        <w:tc>
          <w:tcPr/>
          <w:p>
            <w:pPr>
              <w:pStyle w:val="Compact"/>
              <w:jc w:val="left"/>
            </w:pPr>
            <w:r>
              <w:t xml:space="preserve">Medium</w:t>
            </w:r>
          </w:p>
        </w:tc>
      </w:tr>
      <w:tr>
        <w:tc>
          <w:tcPr/>
          <w:p>
            <w:pPr>
              <w:pStyle w:val="Compact"/>
              <w:jc w:val="left"/>
            </w:pPr>
            <w:r>
              <w:rPr>
                <w:bCs/>
                <w:b/>
              </w:rPr>
              <w:t xml:space="preserve">Dependencies</w:t>
            </w:r>
          </w:p>
        </w:tc>
        <w:tc>
          <w:tcPr/>
          <w:p>
            <w:pPr>
              <w:pStyle w:val="Compact"/>
              <w:jc w:val="left"/>
            </w:pPr>
            <w:r>
              <w:t xml:space="preserve">D05 (Lineage &amp; Provenance), A07 (Explainability — Decision Log), AC01 (RBAC), F01 (Multi-Tenancy), every auditable module</w:t>
            </w:r>
          </w:p>
        </w:tc>
      </w:tr>
      <w:tr>
        <w:tc>
          <w:tcPr/>
          <w:p>
            <w:pPr>
              <w:pStyle w:val="Compact"/>
              <w:jc w:val="left"/>
            </w:pPr>
            <w:r>
              <w:rPr>
                <w:bCs/>
                <w:b/>
              </w:rPr>
              <w:t xml:space="preserve">Depended On By</w:t>
            </w:r>
          </w:p>
        </w:tc>
        <w:tc>
          <w:tcPr/>
          <w:p>
            <w:pPr>
              <w:pStyle w:val="Compact"/>
              <w:jc w:val="left"/>
            </w:pPr>
            <w:r>
              <w:t xml:space="preserve">All compliance workflows, SCR-22 Compliance Operations, SCR-23 DSAR, SCR-24 Platform Ops, external regulator queries</w:t>
            </w:r>
          </w:p>
        </w:tc>
      </w:tr>
      <w:tr>
        <w:tc>
          <w:tcPr/>
          <w:p>
            <w:pPr>
              <w:pStyle w:val="Compact"/>
              <w:jc w:val="left"/>
            </w:pPr>
            <w:r>
              <w:rPr>
                <w:bCs/>
                <w:b/>
              </w:rPr>
              <w:t xml:space="preserve">Owner</w:t>
            </w:r>
          </w:p>
        </w:tc>
        <w:tc>
          <w:tcPr/>
          <w:p>
            <w:pPr>
              <w:pStyle w:val="Compact"/>
              <w:jc w:val="left"/>
            </w:pPr>
            <w:r>
              <w:t xml:space="preserve">Platform Engineering Lead</w:t>
            </w:r>
          </w:p>
        </w:tc>
      </w:tr>
    </w:tbl>
    <w:bookmarkStart w:id="500" w:name="purpose-54"/>
    <w:p>
      <w:pPr>
        <w:pStyle w:val="Heading2"/>
      </w:pPr>
      <w:r>
        <w:t xml:space="preserve">Purpose</w:t>
      </w:r>
    </w:p>
    <w:p>
      <w:pPr>
        <w:pStyle w:val="FirstParagraph"/>
      </w:pPr>
      <w:r>
        <w:t xml:space="preserve">SCR-20 is the tenant-scoped audit trail — every admin action, every data access of note, every configuration change, every model decision emitted. It also hosts the D05 Data Lineage explorer (D05-FR-004) and the A07 Decision Log (A07-FR-002). Together these three capabilities answer 'who did what, when, using what data, producing what decision' — the question every regulator asks first.</w:t>
      </w:r>
    </w:p>
    <w:bookmarkEnd w:id="500"/>
    <w:bookmarkStart w:id="508" w:name="functional-requirements-30"/>
    <w:p>
      <w:pPr>
        <w:pStyle w:val="Heading2"/>
      </w:pPr>
      <w:r>
        <w:t xml:space="preserve">Functional Requirements</w:t>
      </w:r>
    </w:p>
    <w:bookmarkStart w:id="501" w:name="audit-feed"/>
    <w:p>
      <w:pPr>
        <w:pStyle w:val="Heading3"/>
      </w:pPr>
      <w:r>
        <w:t xml:space="preserve">Audit Feed</w:t>
      </w:r>
    </w:p>
    <w:p>
      <w:pPr>
        <w:pStyle w:val="FirstParagraph"/>
      </w:pPr>
      <w:r>
        <w:rPr>
          <w:bCs/>
          <w:b/>
        </w:rPr>
        <w:t xml:space="preserve">SCR-20-FR-001</w:t>
      </w:r>
      <w:r>
        <w:t xml:space="preserve"> </w:t>
      </w:r>
      <w:r>
        <w:t xml:space="preserve">A unified chronological audit feed SHALL capture events from every module with: event type, actor (user or service account), resource affected, action, before / after state where applicable, source IP, user agent, session ID, tenant context, workspace. Events are immutable once written.</w:t>
      </w:r>
    </w:p>
    <w:p>
      <w:pPr>
        <w:pStyle w:val="BodyText"/>
      </w:pPr>
      <w:r>
        <w:rPr>
          <w:bCs/>
          <w:b/>
        </w:rPr>
        <w:t xml:space="preserve">SCR-20-FR-002</w:t>
      </w:r>
      <w:r>
        <w:t xml:space="preserve"> </w:t>
      </w:r>
      <w:r>
        <w:t xml:space="preserve">Event coverage includes at minimum: authentication events, permission changes, configuration changes (via F04), data source connects / disconnects, mapping commits, DQ rule changes, consent state changes, DSAR events, decision emissions, model promotions, cross-tenant access (when flagged by SCR-24), breach detection events (PR03).</w:t>
      </w:r>
    </w:p>
    <w:bookmarkEnd w:id="501"/>
    <w:bookmarkStart w:id="502" w:name="filtering-search-export"/>
    <w:p>
      <w:pPr>
        <w:pStyle w:val="Heading3"/>
      </w:pPr>
      <w:r>
        <w:t xml:space="preserve">Filtering, Search, Export</w:t>
      </w:r>
    </w:p>
    <w:p>
      <w:pPr>
        <w:pStyle w:val="FirstParagraph"/>
      </w:pPr>
      <w:r>
        <w:rPr>
          <w:bCs/>
          <w:b/>
        </w:rPr>
        <w:t xml:space="preserve">SCR-20-FR-003</w:t>
      </w:r>
      <w:r>
        <w:t xml:space="preserve"> </w:t>
      </w:r>
      <w:r>
        <w:t xml:space="preserve">Filtering by actor, event type, resource type, time range, severity, workspace, outcome. Full-text search over event detail fields. Saved searches per user.</w:t>
      </w:r>
    </w:p>
    <w:p>
      <w:pPr>
        <w:pStyle w:val="BodyText"/>
      </w:pPr>
      <w:r>
        <w:rPr>
          <w:bCs/>
          <w:b/>
        </w:rPr>
        <w:t xml:space="preserve">SCR-20-FR-004</w:t>
      </w:r>
      <w:r>
        <w:t xml:space="preserve"> </w:t>
      </w:r>
      <w:r>
        <w:t xml:space="preserve">Export formats: CSV, JSON Lines, and signed PDF for regulatory use. Exports are RBAC-gated (EXPORT_AUDIT permission) and themselves audit-logged.</w:t>
      </w:r>
    </w:p>
    <w:bookmarkEnd w:id="502"/>
    <w:bookmarkStart w:id="503" w:name="lineage-explorer-d05"/>
    <w:p>
      <w:pPr>
        <w:pStyle w:val="Heading3"/>
      </w:pPr>
      <w:r>
        <w:t xml:space="preserve">Lineage Explorer (D05)</w:t>
      </w:r>
    </w:p>
    <w:p>
      <w:pPr>
        <w:pStyle w:val="FirstParagraph"/>
      </w:pPr>
      <w:r>
        <w:rPr>
          <w:bCs/>
          <w:b/>
        </w:rPr>
        <w:t xml:space="preserve">SCR-20-FR-005</w:t>
      </w:r>
      <w:r>
        <w:t xml:space="preserve"> </w:t>
      </w:r>
      <w:r>
        <w:t xml:space="preserve">Per D05-FR-004, the Lineage Explorer SHALL render interactive DAGs of data flow from source through transformations to consumption (dashboards, decisions, external exports). Nodes are datasets or transformations; edges are flow relationships with record counts and latency. Zoomable, filterable, shareable via URL.</w:t>
      </w:r>
    </w:p>
    <w:p>
      <w:pPr>
        <w:pStyle w:val="BodyText"/>
      </w:pPr>
      <w:r>
        <w:rPr>
          <w:bCs/>
          <w:b/>
        </w:rPr>
        <w:t xml:space="preserve">SCR-20-FR-006</w:t>
      </w:r>
      <w:r>
        <w:t xml:space="preserve"> </w:t>
      </w:r>
      <w:r>
        <w:t xml:space="preserve">Impact Analysis: select a field or dataset; SCR-20 surfaces every downstream consumer (KPIs, features, models, dashboards, decisions) that would be affected by a change. Used before any schema deprecation or mapping rewrite.</w:t>
      </w:r>
    </w:p>
    <w:bookmarkEnd w:id="503"/>
    <w:bookmarkStart w:id="504" w:name="decision-log-a07"/>
    <w:p>
      <w:pPr>
        <w:pStyle w:val="Heading3"/>
      </w:pPr>
      <w:r>
        <w:t xml:space="preserve">Decision Log (A07)</w:t>
      </w:r>
    </w:p>
    <w:p>
      <w:pPr>
        <w:pStyle w:val="FirstParagraph"/>
      </w:pPr>
      <w:r>
        <w:rPr>
          <w:bCs/>
          <w:b/>
        </w:rPr>
        <w:t xml:space="preserve">SCR-20-FR-007</w:t>
      </w:r>
      <w:r>
        <w:t xml:space="preserve"> </w:t>
      </w:r>
      <w:r>
        <w:t xml:space="preserve">Per A07-FR-002, the Decision Log SHALL archive every algorithmic decision with: decision_id, pipeline_id, entity_id, input feature snapshot, output, algorithm version, model version, explanation (SHAP or LLM-generated rationale), timestamp, outcome linkage (FB02) when available. Retained for 7 years per regulatory requirement.</w:t>
      </w:r>
    </w:p>
    <w:p>
      <w:pPr>
        <w:pStyle w:val="BodyText"/>
      </w:pPr>
      <w:r>
        <w:rPr>
          <w:bCs/>
          <w:b/>
        </w:rPr>
        <w:t xml:space="preserve">SCR-20-FR-008</w:t>
      </w:r>
      <w:r>
        <w:t xml:space="preserve"> </w:t>
      </w:r>
      <w:r>
        <w:t xml:space="preserve">Decision Log SHALL be queryable by entity, by pipeline, by decision outcome, by model version. Results export to CSV / JSON for regulator responses.</w:t>
      </w:r>
    </w:p>
    <w:bookmarkEnd w:id="504"/>
    <w:bookmarkStart w:id="505" w:name="integrity-guarantees"/>
    <w:p>
      <w:pPr>
        <w:pStyle w:val="Heading3"/>
      </w:pPr>
      <w:r>
        <w:t xml:space="preserve">Integrity Guarantees</w:t>
      </w:r>
    </w:p>
    <w:p>
      <w:pPr>
        <w:pStyle w:val="FirstParagraph"/>
      </w:pPr>
      <w:r>
        <w:rPr>
          <w:bCs/>
          <w:b/>
        </w:rPr>
        <w:t xml:space="preserve">SCR-20-FR-009</w:t>
      </w:r>
      <w:r>
        <w:t xml:space="preserve"> </w:t>
      </w:r>
      <w:r>
        <w:t xml:space="preserve">The audit log SHALL be append-only at the storage layer; attempts to modify are architecturally impossible. Every record is cryptographically chained (SHA-256 hash of previous record + current record content). Tamper detection runs continuously; any chain break raises a CRITICAL SCR-10 incident and SCR-19 alert within 5 minutes.</w:t>
      </w:r>
    </w:p>
    <w:p>
      <w:pPr>
        <w:pStyle w:val="BodyText"/>
      </w:pPr>
      <w:r>
        <w:rPr>
          <w:bCs/>
          <w:b/>
        </w:rPr>
        <w:t xml:space="preserve">SCR-20-FR-010</w:t>
      </w:r>
      <w:r>
        <w:t xml:space="preserve"> </w:t>
      </w:r>
      <w:r>
        <w:t xml:space="preserve">Signed audit exports: exports are signed with tenant's designated signing key; signature and public key included so auditors can verify integrity offline.</w:t>
      </w:r>
    </w:p>
    <w:bookmarkEnd w:id="505"/>
    <w:bookmarkStart w:id="506" w:name="retention-archival"/>
    <w:p>
      <w:pPr>
        <w:pStyle w:val="Heading3"/>
      </w:pPr>
      <w:r>
        <w:t xml:space="preserve">Retention &amp; Archival</w:t>
      </w:r>
    </w:p>
    <w:p>
      <w:pPr>
        <w:pStyle w:val="FirstParagraph"/>
      </w:pPr>
      <w:r>
        <w:rPr>
          <w:bCs/>
          <w:b/>
        </w:rPr>
        <w:t xml:space="preserve">SCR-20-FR-011</w:t>
      </w:r>
      <w:r>
        <w:t xml:space="preserve"> </w:t>
      </w:r>
      <w:r>
        <w:t xml:space="preserve">Audit events live in warm storage for 1 year by default (configurable per tenant per event type), then archive to cold storage (GCS nearline / coldline). Archived events remain queryable with higher latency.</w:t>
      </w:r>
    </w:p>
    <w:bookmarkEnd w:id="506"/>
    <w:bookmarkStart w:id="507" w:name="sensitive-event-highlighting"/>
    <w:p>
      <w:pPr>
        <w:pStyle w:val="Heading3"/>
      </w:pPr>
      <w:r>
        <w:t xml:space="preserve">Sensitive Event Highlighting</w:t>
      </w:r>
    </w:p>
    <w:p>
      <w:pPr>
        <w:pStyle w:val="FirstParagraph"/>
      </w:pPr>
      <w:r>
        <w:rPr>
          <w:bCs/>
          <w:b/>
        </w:rPr>
        <w:t xml:space="preserve">SCR-20-FR-012</w:t>
      </w:r>
      <w:r>
        <w:t xml:space="preserve"> </w:t>
      </w:r>
      <w:r>
        <w:t xml:space="preserve">Specific event types SHALL be flagged for elevated review: permission grants to high-privilege roles, cross-tenant access by Sevyn8 staff, consent withdrawals not followed by successful cascade, export of large record sets, disabling of audit sources. These surface in SCR-22 Compliance Operations for monthly review.</w:t>
      </w:r>
    </w:p>
    <w:bookmarkEnd w:id="507"/>
    <w:bookmarkEnd w:id="508"/>
    <w:bookmarkStart w:id="509" w:name="acceptance-criteria-45"/>
    <w:p>
      <w:pPr>
        <w:pStyle w:val="Heading2"/>
      </w:pPr>
      <w:r>
        <w:t xml:space="preserve">Acceptance Criteria</w:t>
      </w:r>
    </w:p>
    <w:p>
      <w:pPr>
        <w:numPr>
          <w:ilvl w:val="0"/>
          <w:numId w:val="1023"/>
        </w:numPr>
      </w:pPr>
      <w:r>
        <w:t xml:space="preserve">Any admin action is retrievable in SCR-20 within 5 seconds of occurrence.</w:t>
      </w:r>
    </w:p>
    <w:p>
      <w:pPr>
        <w:numPr>
          <w:ilvl w:val="0"/>
          <w:numId w:val="1023"/>
        </w:numPr>
      </w:pPr>
      <w:r>
        <w:t xml:space="preserve">Audit log SHA chain verification runs continuously; tampering attempts raise CRITICAL alerts within 5 minutes.</w:t>
      </w:r>
    </w:p>
    <w:p>
      <w:pPr>
        <w:numPr>
          <w:ilvl w:val="0"/>
          <w:numId w:val="1023"/>
        </w:numPr>
      </w:pPr>
      <w:r>
        <w:t xml:space="preserve">Lineage queries from a consumer dataset back to originating source complete in under 3 seconds for DAGs up to 50 nodes.</w:t>
      </w:r>
    </w:p>
    <w:p>
      <w:pPr>
        <w:numPr>
          <w:ilvl w:val="0"/>
          <w:numId w:val="1023"/>
        </w:numPr>
      </w:pPr>
      <w:r>
        <w:t xml:space="preserve">Decision Log queries by entity_id return all decisions for that entity in under 2 seconds.</w:t>
      </w:r>
    </w:p>
    <w:p>
      <w:pPr>
        <w:numPr>
          <w:ilvl w:val="0"/>
          <w:numId w:val="1023"/>
        </w:numPr>
      </w:pPr>
      <w:r>
        <w:t xml:space="preserve">Signed audit export for a 90-day window completes in under 10 minutes and verifies offline via provided public key.</w:t>
      </w:r>
    </w:p>
    <w:bookmarkEnd w:id="509"/>
    <w:bookmarkEnd w:id="510"/>
    <w:bookmarkStart w:id="523" w:name="scr-22-compliance-operations"/>
    <w:p>
      <w:pPr>
        <w:pStyle w:val="Heading1"/>
      </w:pPr>
      <w:r>
        <w:t xml:space="preserve">SCR-22 — Compliance Operations</w:t>
      </w:r>
    </w:p>
    <w:tbl>
      <w:tblPr>
        <w:tblStyle w:val="Table"/>
        <w:tblW w:type="pct" w:w="4950"/>
        <w:tblLook w:firstRow="0" w:lastRow="0" w:firstColumn="0" w:lastColumn="0" w:noHBand="0" w:noVBand="0" w:val="0000"/>
        <w:jc w:val="start"/>
      </w:tblPr>
      <w:tblGrid>
        <w:gridCol w:w="875"/>
        <w:gridCol w:w="6964"/>
      </w:tblGrid>
      <w:tr>
        <w:tc>
          <w:tcPr/>
          <w:p>
            <w:pPr>
              <w:pStyle w:val="Compact"/>
              <w:jc w:val="left"/>
            </w:pPr>
            <w:r>
              <w:rPr>
                <w:bCs/>
                <w:b/>
              </w:rPr>
              <w:t xml:space="preserve">Module ID</w:t>
            </w:r>
          </w:p>
        </w:tc>
        <w:tc>
          <w:tcPr/>
          <w:p>
            <w:pPr>
              <w:pStyle w:val="Compact"/>
              <w:jc w:val="left"/>
            </w:pPr>
            <w:r>
              <w:t xml:space="preserve">SCR-22</w:t>
            </w:r>
          </w:p>
        </w:tc>
      </w:tr>
      <w:tr>
        <w:tc>
          <w:tcPr/>
          <w:p>
            <w:pPr>
              <w:pStyle w:val="Compact"/>
              <w:jc w:val="left"/>
            </w:pPr>
            <w:r>
              <w:rPr>
                <w:bCs/>
                <w:b/>
              </w:rPr>
              <w:t xml:space="preserve">Phase</w:t>
            </w:r>
          </w:p>
        </w:tc>
        <w:tc>
          <w:tcPr/>
          <w:p>
            <w:pPr>
              <w:pStyle w:val="Compact"/>
              <w:jc w:val="left"/>
            </w:pPr>
            <w:r>
              <w:t xml:space="preserve">2 (Compliance Maturity)</w:t>
            </w:r>
          </w:p>
        </w:tc>
      </w:tr>
      <w:tr>
        <w:tc>
          <w:tcPr/>
          <w:p>
            <w:pPr>
              <w:pStyle w:val="Compact"/>
              <w:jc w:val="left"/>
            </w:pPr>
            <w:r>
              <w:rPr>
                <w:bCs/>
                <w:b/>
              </w:rPr>
              <w:t xml:space="preserve">Complexity</w:t>
            </w:r>
          </w:p>
        </w:tc>
        <w:tc>
          <w:tcPr/>
          <w:p>
            <w:pPr>
              <w:pStyle w:val="Compact"/>
              <w:jc w:val="left"/>
            </w:pPr>
            <w:r>
              <w:t xml:space="preserve">High</w:t>
            </w:r>
          </w:p>
        </w:tc>
      </w:tr>
      <w:tr>
        <w:tc>
          <w:tcPr/>
          <w:p>
            <w:pPr>
              <w:pStyle w:val="Compact"/>
              <w:jc w:val="left"/>
            </w:pPr>
            <w:r>
              <w:rPr>
                <w:bCs/>
                <w:b/>
              </w:rPr>
              <w:t xml:space="preserve">Dependencies</w:t>
            </w:r>
          </w:p>
        </w:tc>
        <w:tc>
          <w:tcPr/>
          <w:p>
            <w:pPr>
              <w:pStyle w:val="Compact"/>
              <w:jc w:val="left"/>
            </w:pPr>
            <w:r>
              <w:t xml:space="preserve">AC04 (Compliance-as-Code Policy Engine), PR03 (Breach Detection), PR04 (DPIA), PR05 (Sub-Processor Registry), PR06 (Retention Clock), SCR-16 (Consent), SCR-20 (Audit), SCR-23 (DSAR)</w:t>
            </w:r>
          </w:p>
        </w:tc>
      </w:tr>
      <w:tr>
        <w:tc>
          <w:tcPr/>
          <w:p>
            <w:pPr>
              <w:pStyle w:val="Compact"/>
              <w:jc w:val="left"/>
            </w:pPr>
            <w:r>
              <w:rPr>
                <w:bCs/>
                <w:b/>
              </w:rPr>
              <w:t xml:space="preserve">Depended On By</w:t>
            </w:r>
          </w:p>
        </w:tc>
        <w:tc>
          <w:tcPr/>
          <w:p>
            <w:pPr>
              <w:pStyle w:val="Compact"/>
              <w:jc w:val="left"/>
            </w:pPr>
            <w:r>
              <w:t xml:space="preserve">Data Protection Officer, external auditors, Sevyn8 CSM for regulatory support</w:t>
            </w:r>
          </w:p>
        </w:tc>
      </w:tr>
      <w:tr>
        <w:tc>
          <w:tcPr/>
          <w:p>
            <w:pPr>
              <w:pStyle w:val="Compact"/>
              <w:jc w:val="left"/>
            </w:pPr>
            <w:r>
              <w:rPr>
                <w:bCs/>
                <w:b/>
              </w:rPr>
              <w:t xml:space="preserve">Owner</w:t>
            </w:r>
          </w:p>
        </w:tc>
        <w:tc>
          <w:tcPr/>
          <w:p>
            <w:pPr>
              <w:pStyle w:val="Compact"/>
              <w:jc w:val="left"/>
            </w:pPr>
            <w:r>
              <w:t xml:space="preserve">Privacy / Compliance Lead</w:t>
            </w:r>
          </w:p>
        </w:tc>
      </w:tr>
    </w:tbl>
    <w:bookmarkStart w:id="511" w:name="purpose-55"/>
    <w:p>
      <w:pPr>
        <w:pStyle w:val="Heading2"/>
      </w:pPr>
      <w:r>
        <w:t xml:space="preserve">Purpose</w:t>
      </w:r>
    </w:p>
    <w:p>
      <w:pPr>
        <w:pStyle w:val="FirstParagraph"/>
      </w:pPr>
      <w:r>
        <w:t xml:space="preserve">SCR-22 is the compliance officer's cockpit. It aggregates every compliance signal — policy violations, retention overdue, breach incidents, DPIA status, sub-processor posture, consent coverage — into a single accountable dashboard, and provides the tools to respond to regulator queries, generate evidence packages, and conduct external audits.</w:t>
      </w:r>
    </w:p>
    <w:bookmarkEnd w:id="511"/>
    <w:bookmarkStart w:id="521" w:name="functional-requirements-31"/>
    <w:p>
      <w:pPr>
        <w:pStyle w:val="Heading2"/>
      </w:pPr>
      <w:r>
        <w:t xml:space="preserve">Functional Requirements</w:t>
      </w:r>
    </w:p>
    <w:bookmarkStart w:id="512" w:name="compliance-score-dashboard"/>
    <w:p>
      <w:pPr>
        <w:pStyle w:val="Heading3"/>
      </w:pPr>
      <w:r>
        <w:t xml:space="preserve">Compliance Score &amp; Dashboard</w:t>
      </w:r>
    </w:p>
    <w:p>
      <w:pPr>
        <w:pStyle w:val="FirstParagraph"/>
      </w:pPr>
      <w:r>
        <w:rPr>
          <w:bCs/>
          <w:b/>
        </w:rPr>
        <w:t xml:space="preserve">SCR-22-FR-001</w:t>
      </w:r>
      <w:r>
        <w:t xml:space="preserve"> </w:t>
      </w:r>
      <w:r>
        <w:t xml:space="preserve">An aggregate Compliance Score (0-100) SHALL compute from underlying signals across DPDP, GDPR (if applicable), and vertical-specific frameworks (PCI-DSS, Solvency II, HIPAA as activated by the vertical package). Breakdown by dimension: consent coverage, retention hygiene, DPIA completeness, breach response posture, sub-processor compliance.</w:t>
      </w:r>
    </w:p>
    <w:p>
      <w:pPr>
        <w:pStyle w:val="BodyText"/>
      </w:pPr>
      <w:r>
        <w:rPr>
          <w:bCs/>
          <w:b/>
        </w:rPr>
        <w:t xml:space="preserve">SCR-22-FR-002</w:t>
      </w:r>
      <w:r>
        <w:t xml:space="preserve"> </w:t>
      </w:r>
      <w:r>
        <w:t xml:space="preserve">Per AC04-FR-005, the Compliance Policy Dashboard SHALL show: active policies by category, violation count (blocked + audited), policy coverage percentage, compliance score per policy.</w:t>
      </w:r>
    </w:p>
    <w:bookmarkEnd w:id="512"/>
    <w:bookmarkStart w:id="513" w:name="policy-library"/>
    <w:p>
      <w:pPr>
        <w:pStyle w:val="Heading3"/>
      </w:pPr>
      <w:r>
        <w:t xml:space="preserve">Policy Library</w:t>
      </w:r>
    </w:p>
    <w:p>
      <w:pPr>
        <w:pStyle w:val="FirstParagraph"/>
      </w:pPr>
      <w:r>
        <w:rPr>
          <w:bCs/>
          <w:b/>
        </w:rPr>
        <w:t xml:space="preserve">SCR-22-FR-003</w:t>
      </w:r>
      <w:r>
        <w:t xml:space="preserve"> </w:t>
      </w:r>
      <w:r>
        <w:t xml:space="preserve">Every compliance rule applied in the tenant SHALL be listed: regulatory (DPDP, GDPR), vertical (PCI-DSS for retail, Solvency II for reinsurance), and tenant-custom. Each policy shows: version, effective date, enforcement mode (BLOCK / AUDIT / INFO), owner, last violation.</w:t>
      </w:r>
    </w:p>
    <w:bookmarkEnd w:id="513"/>
    <w:bookmarkStart w:id="514" w:name="policy-authoring-enterprise"/>
    <w:p>
      <w:pPr>
        <w:pStyle w:val="Heading3"/>
      </w:pPr>
      <w:r>
        <w:t xml:space="preserve">Policy Authoring (Enterprise)</w:t>
      </w:r>
    </w:p>
    <w:p>
      <w:pPr>
        <w:pStyle w:val="FirstParagraph"/>
      </w:pPr>
      <w:r>
        <w:rPr>
          <w:bCs/>
          <w:b/>
        </w:rPr>
        <w:t xml:space="preserve">SCR-22-FR-004</w:t>
      </w:r>
      <w:r>
        <w:t xml:space="preserve"> </w:t>
      </w:r>
      <w:r>
        <w:t xml:space="preserve">Enterprise-tier tenants MAY author custom compliance rules in a declarative policy language (OPA Rego). Test mode validates the policy against recent events before enforcement; policy activation is gated by DPO sign-off.</w:t>
      </w:r>
    </w:p>
    <w:bookmarkEnd w:id="514"/>
    <w:bookmarkStart w:id="515" w:name="breach-incident-register"/>
    <w:p>
      <w:pPr>
        <w:pStyle w:val="Heading3"/>
      </w:pPr>
      <w:r>
        <w:t xml:space="preserve">Breach Incident Register</w:t>
      </w:r>
    </w:p>
    <w:p>
      <w:pPr>
        <w:pStyle w:val="FirstParagraph"/>
      </w:pPr>
      <w:r>
        <w:rPr>
          <w:bCs/>
          <w:b/>
        </w:rPr>
        <w:t xml:space="preserve">SCR-22-FR-005</w:t>
      </w:r>
      <w:r>
        <w:t xml:space="preserve"> </w:t>
      </w:r>
      <w:r>
        <w:t xml:space="preserve">Per PR03, every breach detection event SHALL appear in the Breach Register with: incident_id, detection time, affected data categories, estimated affected entity count, investigation status, notification deadlines (e.g., 72 hours for DPDP notifiable breaches), regulator communication log, remediation actions.</w:t>
      </w:r>
    </w:p>
    <w:bookmarkEnd w:id="515"/>
    <w:bookmarkStart w:id="516" w:name="retention-operations"/>
    <w:p>
      <w:pPr>
        <w:pStyle w:val="Heading3"/>
      </w:pPr>
      <w:r>
        <w:t xml:space="preserve">Retention Operations</w:t>
      </w:r>
    </w:p>
    <w:p>
      <w:pPr>
        <w:pStyle w:val="FirstParagraph"/>
      </w:pPr>
      <w:r>
        <w:rPr>
          <w:bCs/>
          <w:b/>
        </w:rPr>
        <w:t xml:space="preserve">SCR-22-FR-006</w:t>
      </w:r>
      <w:r>
        <w:t xml:space="preserve"> </w:t>
      </w:r>
      <w:r>
        <w:t xml:space="preserve">Per PR06-FR-006, retention status dashboard: data volume in ACTIVE / RETENTION / OVERDUE / HELD states, with alerts when OVERDUE exceeds 1% of total. Scheduled erasure jobs, their outcomes, and any that failed (with reason).</w:t>
      </w:r>
    </w:p>
    <w:bookmarkEnd w:id="516"/>
    <w:bookmarkStart w:id="517" w:name="dpia-registry"/>
    <w:p>
      <w:pPr>
        <w:pStyle w:val="Heading3"/>
      </w:pPr>
      <w:r>
        <w:t xml:space="preserve">DPIA Registry</w:t>
      </w:r>
    </w:p>
    <w:p>
      <w:pPr>
        <w:pStyle w:val="FirstParagraph"/>
      </w:pPr>
      <w:r>
        <w:rPr>
          <w:bCs/>
          <w:b/>
        </w:rPr>
        <w:t xml:space="preserve">SCR-22-FR-007</w:t>
      </w:r>
      <w:r>
        <w:t xml:space="preserve"> </w:t>
      </w:r>
      <w:r>
        <w:t xml:space="preserve">Per PR04, every completed and in-progress DPIA is listed: purpose covered, residual risks identified, mitigations, sign-off actor, next review date. Alerts when a DPIA's review date approaches.</w:t>
      </w:r>
    </w:p>
    <w:bookmarkEnd w:id="517"/>
    <w:bookmarkStart w:id="518" w:name="sub-processor-registry"/>
    <w:p>
      <w:pPr>
        <w:pStyle w:val="Heading3"/>
      </w:pPr>
      <w:r>
        <w:t xml:space="preserve">Sub-Processor Registry</w:t>
      </w:r>
    </w:p>
    <w:p>
      <w:pPr>
        <w:pStyle w:val="FirstParagraph"/>
      </w:pPr>
      <w:r>
        <w:rPr>
          <w:bCs/>
          <w:b/>
        </w:rPr>
        <w:t xml:space="preserve">SCR-22-FR-008</w:t>
      </w:r>
      <w:r>
        <w:t xml:space="preserve"> </w:t>
      </w:r>
      <w:r>
        <w:t xml:space="preserve">Per PR05, all sub-processors used by the tenant: vendor name, services provided, data categories shared, DPA signed date, most-recent audit evidence, risk assessment, alternative providers documented.</w:t>
      </w:r>
    </w:p>
    <w:bookmarkEnd w:id="518"/>
    <w:bookmarkStart w:id="519" w:name="evidence-package-generator"/>
    <w:p>
      <w:pPr>
        <w:pStyle w:val="Heading3"/>
      </w:pPr>
      <w:r>
        <w:t xml:space="preserve">Evidence Package Generator</w:t>
      </w:r>
    </w:p>
    <w:p>
      <w:pPr>
        <w:pStyle w:val="FirstParagraph"/>
      </w:pPr>
      <w:r>
        <w:rPr>
          <w:bCs/>
          <w:b/>
        </w:rPr>
        <w:t xml:space="preserve">SCR-22-FR-009</w:t>
      </w:r>
      <w:r>
        <w:t xml:space="preserve"> </w:t>
      </w:r>
      <w:r>
        <w:t xml:space="preserve">One-click regulator evidence package generation SHALL compile, for a named regulatory query and time window: applicable policies, audit logs (signed), DPIA records, breach response records, consent records, DSAR fulfilment records. Output is a zipped bundle with manifest and integrity hashes.</w:t>
      </w:r>
    </w:p>
    <w:bookmarkEnd w:id="519"/>
    <w:bookmarkStart w:id="520" w:name="external-audit-mode"/>
    <w:p>
      <w:pPr>
        <w:pStyle w:val="Heading3"/>
      </w:pPr>
      <w:r>
        <w:t xml:space="preserve">External Audit Mode</w:t>
      </w:r>
    </w:p>
    <w:p>
      <w:pPr>
        <w:pStyle w:val="FirstParagraph"/>
      </w:pPr>
      <w:r>
        <w:rPr>
          <w:bCs/>
          <w:b/>
        </w:rPr>
        <w:t xml:space="preserve">SCR-22-FR-010</w:t>
      </w:r>
      <w:r>
        <w:t xml:space="preserve"> </w:t>
      </w:r>
      <w:r>
        <w:t xml:space="preserve">A time-bounded, read-only external auditor role SHALL be creatable in SCR-22. The auditor sees SCR-22 and SCR-20 in read-only mode, scoped to the audit's declared time window. Every auditor action is logged; access auto-expires at declared end.</w:t>
      </w:r>
    </w:p>
    <w:bookmarkEnd w:id="520"/>
    <w:bookmarkEnd w:id="521"/>
    <w:bookmarkStart w:id="522" w:name="acceptance-criteria-46"/>
    <w:p>
      <w:pPr>
        <w:pStyle w:val="Heading2"/>
      </w:pPr>
      <w:r>
        <w:t xml:space="preserve">Acceptance Criteria</w:t>
      </w:r>
    </w:p>
    <w:p>
      <w:pPr>
        <w:numPr>
          <w:ilvl w:val="0"/>
          <w:numId w:val="1024"/>
        </w:numPr>
      </w:pPr>
      <w:r>
        <w:t xml:space="preserve">Compliance Score reflects all underlying signal changes within 15 minutes.</w:t>
      </w:r>
    </w:p>
    <w:p>
      <w:pPr>
        <w:numPr>
          <w:ilvl w:val="0"/>
          <w:numId w:val="1024"/>
        </w:numPr>
      </w:pPr>
      <w:r>
        <w:t xml:space="preserve">A regulator evidence package for a 90-day window generates in under 30 minutes.</w:t>
      </w:r>
    </w:p>
    <w:p>
      <w:pPr>
        <w:numPr>
          <w:ilvl w:val="0"/>
          <w:numId w:val="1024"/>
        </w:numPr>
      </w:pPr>
      <w:r>
        <w:t xml:space="preserve">Every high-risk processing purpose has a completed DPIA before activation — zero activations without DPIA proved.</w:t>
      </w:r>
    </w:p>
    <w:p>
      <w:pPr>
        <w:numPr>
          <w:ilvl w:val="0"/>
          <w:numId w:val="1024"/>
        </w:numPr>
      </w:pPr>
      <w:r>
        <w:t xml:space="preserve">External audit access is strictly time-bounded and read-only; every auditor action appears in SCR-20 with auditor identity.</w:t>
      </w:r>
    </w:p>
    <w:p>
      <w:pPr>
        <w:numPr>
          <w:ilvl w:val="0"/>
          <w:numId w:val="1024"/>
        </w:numPr>
      </w:pPr>
      <w:r>
        <w:t xml:space="preserve">Breach incidents reach the register within 5 minutes of detection by PR03, with notification deadlines auto-computed.</w:t>
      </w:r>
    </w:p>
    <w:bookmarkEnd w:id="522"/>
    <w:bookmarkEnd w:id="523"/>
    <w:bookmarkStart w:id="535" w:name="Xe081122b90ec5b3a0e8923c998f6fa82f167b5f"/>
    <w:p>
      <w:pPr>
        <w:pStyle w:val="Heading1"/>
      </w:pPr>
      <w:r>
        <w:t xml:space="preserve">SCR-23 — DSAR Console (Data Principal Portal Admin)</w:t>
      </w:r>
    </w:p>
    <w:tbl>
      <w:tblPr>
        <w:tblStyle w:val="Table"/>
        <w:tblW w:type="pct" w:w="4906"/>
        <w:tblLook w:firstRow="0" w:lastRow="0" w:firstColumn="0" w:lastColumn="0" w:noHBand="0" w:noVBand="0" w:val="0000"/>
        <w:jc w:val="start"/>
      </w:tblPr>
      <w:tblGrid>
        <w:gridCol w:w="1643"/>
        <w:gridCol w:w="6126"/>
      </w:tblGrid>
      <w:tr>
        <w:tc>
          <w:tcPr/>
          <w:p>
            <w:pPr>
              <w:pStyle w:val="Compact"/>
              <w:jc w:val="left"/>
            </w:pPr>
            <w:r>
              <w:rPr>
                <w:bCs/>
                <w:b/>
              </w:rPr>
              <w:t xml:space="preserve">Module ID</w:t>
            </w:r>
          </w:p>
        </w:tc>
        <w:tc>
          <w:tcPr/>
          <w:p>
            <w:pPr>
              <w:pStyle w:val="Compact"/>
              <w:jc w:val="left"/>
            </w:pPr>
            <w:r>
              <w:t xml:space="preserve">SCR-23</w:t>
            </w:r>
          </w:p>
        </w:tc>
      </w:tr>
      <w:tr>
        <w:tc>
          <w:tcPr/>
          <w:p>
            <w:pPr>
              <w:pStyle w:val="Compact"/>
              <w:jc w:val="left"/>
            </w:pPr>
            <w:r>
              <w:rPr>
                <w:bCs/>
                <w:b/>
              </w:rPr>
              <w:t xml:space="preserve">Phase</w:t>
            </w:r>
          </w:p>
        </w:tc>
        <w:tc>
          <w:tcPr/>
          <w:p>
            <w:pPr>
              <w:pStyle w:val="Compact"/>
              <w:jc w:val="left"/>
            </w:pPr>
            <w:r>
              <w:t xml:space="preserve">2 (Compliance Maturity)</w:t>
            </w:r>
          </w:p>
        </w:tc>
      </w:tr>
      <w:tr>
        <w:tc>
          <w:tcPr/>
          <w:p>
            <w:pPr>
              <w:pStyle w:val="Compact"/>
              <w:jc w:val="left"/>
            </w:pPr>
            <w:r>
              <w:rPr>
                <w:bCs/>
                <w:b/>
              </w:rPr>
              <w:t xml:space="preserve">Complexity</w:t>
            </w:r>
          </w:p>
        </w:tc>
        <w:tc>
          <w:tcPr/>
          <w:p>
            <w:pPr>
              <w:pStyle w:val="Compact"/>
              <w:jc w:val="left"/>
            </w:pPr>
            <w:r>
              <w:t xml:space="preserve">Medium</w:t>
            </w:r>
          </w:p>
        </w:tc>
      </w:tr>
      <w:tr>
        <w:tc>
          <w:tcPr/>
          <w:p>
            <w:pPr>
              <w:pStyle w:val="Compact"/>
              <w:jc w:val="left"/>
            </w:pPr>
            <w:r>
              <w:rPr>
                <w:bCs/>
                <w:b/>
              </w:rPr>
              <w:t xml:space="preserve">Dependencies</w:t>
            </w:r>
          </w:p>
        </w:tc>
        <w:tc>
          <w:tcPr/>
          <w:p>
            <w:pPr>
              <w:pStyle w:val="Compact"/>
              <w:jc w:val="left"/>
            </w:pPr>
            <w:r>
              <w:t xml:space="preserve">PR02 (DSAR Pipeline), I01 (Identity Registry), SCR-20 (Audit), SCR-16 (Consent), AC01</w:t>
            </w:r>
          </w:p>
        </w:tc>
      </w:tr>
      <w:tr>
        <w:tc>
          <w:tcPr/>
          <w:p>
            <w:pPr>
              <w:pStyle w:val="Compact"/>
              <w:jc w:val="left"/>
            </w:pPr>
            <w:r>
              <w:rPr>
                <w:bCs/>
                <w:b/>
              </w:rPr>
              <w:t xml:space="preserve">Depended On By</w:t>
            </w:r>
          </w:p>
        </w:tc>
        <w:tc>
          <w:tcPr/>
          <w:p>
            <w:pPr>
              <w:pStyle w:val="Compact"/>
              <w:jc w:val="left"/>
            </w:pPr>
            <w:r>
              <w:t xml:space="preserve">Data Protection Officer, DPDP and GDPR compliance posture</w:t>
            </w:r>
          </w:p>
        </w:tc>
      </w:tr>
      <w:tr>
        <w:tc>
          <w:tcPr/>
          <w:p>
            <w:pPr>
              <w:pStyle w:val="Compact"/>
              <w:jc w:val="left"/>
            </w:pPr>
            <w:r>
              <w:rPr>
                <w:bCs/>
                <w:b/>
              </w:rPr>
              <w:t xml:space="preserve">Owner</w:t>
            </w:r>
          </w:p>
        </w:tc>
        <w:tc>
          <w:tcPr/>
          <w:p>
            <w:pPr>
              <w:pStyle w:val="Compact"/>
              <w:jc w:val="left"/>
            </w:pPr>
            <w:r>
              <w:t xml:space="preserve">Privacy / Compliance Lead</w:t>
            </w:r>
          </w:p>
        </w:tc>
      </w:tr>
    </w:tbl>
    <w:bookmarkStart w:id="524" w:name="purpose-56"/>
    <w:p>
      <w:pPr>
        <w:pStyle w:val="Heading2"/>
      </w:pPr>
      <w:r>
        <w:t xml:space="preserve">Purpose</w:t>
      </w:r>
    </w:p>
    <w:p>
      <w:pPr>
        <w:pStyle w:val="FirstParagraph"/>
      </w:pPr>
      <w:r>
        <w:t xml:space="preserve">SCR-23 is the admin-side of the Data Subject Access Request pipeline. It receives requests from the consumer-facing Data Principal Portal, email, and physical intake forms; coordinates identity verification through I01; tracks fulfilment against the 30-day DPDP SLA; and produces the final data export, correction, erasure, or portability response.</w:t>
      </w:r>
    </w:p>
    <w:bookmarkEnd w:id="524"/>
    <w:bookmarkStart w:id="533" w:name="functional-requirements-32"/>
    <w:p>
      <w:pPr>
        <w:pStyle w:val="Heading2"/>
      </w:pPr>
      <w:r>
        <w:t xml:space="preserve">Functional Requirements</w:t>
      </w:r>
    </w:p>
    <w:bookmarkStart w:id="525" w:name="dsar-queue"/>
    <w:p>
      <w:pPr>
        <w:pStyle w:val="Heading3"/>
      </w:pPr>
      <w:r>
        <w:t xml:space="preserve">DSAR Queue</w:t>
      </w:r>
    </w:p>
    <w:p>
      <w:pPr>
        <w:pStyle w:val="FirstParagraph"/>
      </w:pPr>
      <w:r>
        <w:rPr>
          <w:bCs/>
          <w:b/>
        </w:rPr>
        <w:t xml:space="preserve">SCR-23-FR-001</w:t>
      </w:r>
      <w:r>
        <w:t xml:space="preserve"> </w:t>
      </w:r>
      <w:r>
        <w:t xml:space="preserve">The DSAR Queue SHALL list every open and recent request with: request_id, requester handle (pseudonymised by default, unmasked per RBAC), request type (ACCESS / CORRECTION / ERASURE / PORTABILITY / WITHDRAWAL / OBJECTION), status (RECEIVED / IDENTITY_VERIFYING / COMPILING / REVIEW / READY / DELIVERED / REJECTED), received date, SLA deadline, days remaining, assignee.</w:t>
      </w:r>
    </w:p>
    <w:bookmarkEnd w:id="525"/>
    <w:bookmarkStart w:id="526" w:name="request-intake"/>
    <w:p>
      <w:pPr>
        <w:pStyle w:val="Heading3"/>
      </w:pPr>
      <w:r>
        <w:t xml:space="preserve">Request Intake</w:t>
      </w:r>
    </w:p>
    <w:p>
      <w:pPr>
        <w:pStyle w:val="FirstParagraph"/>
      </w:pPr>
      <w:r>
        <w:rPr>
          <w:bCs/>
          <w:b/>
        </w:rPr>
        <w:t xml:space="preserve">SCR-23-FR-002</w:t>
      </w:r>
      <w:r>
        <w:t xml:space="preserve"> </w:t>
      </w:r>
      <w:r>
        <w:t xml:space="preserve">Intake channels: automated (consumer portal, API), manual (admin-entered from email or physical letter with scan upload). Every request triggers identity verification via I01 before any fulfilment work begins.</w:t>
      </w:r>
    </w:p>
    <w:bookmarkEnd w:id="526"/>
    <w:bookmarkStart w:id="527" w:name="identity-verification"/>
    <w:p>
      <w:pPr>
        <w:pStyle w:val="Heading3"/>
      </w:pPr>
      <w:r>
        <w:t xml:space="preserve">Identity Verification</w:t>
      </w:r>
    </w:p>
    <w:p>
      <w:pPr>
        <w:pStyle w:val="FirstParagraph"/>
      </w:pPr>
      <w:r>
        <w:rPr>
          <w:bCs/>
          <w:b/>
        </w:rPr>
        <w:t xml:space="preserve">SCR-23-FR-003</w:t>
      </w:r>
      <w:r>
        <w:t xml:space="preserve"> </w:t>
      </w:r>
      <w:r>
        <w:t xml:space="preserve">Identity verification SHALL present challenge options based on request sensitivity and tenant policy: email OTP, SMS OTP, government-ID upload (with PII masking after match), live video verification for high-sensitivity erasure requests. Escalation path when identity remains uncertain — DPO adjudicates with documented reasoning.</w:t>
      </w:r>
    </w:p>
    <w:bookmarkEnd w:id="527"/>
    <w:bookmarkStart w:id="528" w:name="fulfilment-workspace"/>
    <w:p>
      <w:pPr>
        <w:pStyle w:val="Heading3"/>
      </w:pPr>
      <w:r>
        <w:t xml:space="preserve">Fulfilment Workspace</w:t>
      </w:r>
    </w:p>
    <w:p>
      <w:pPr>
        <w:pStyle w:val="FirstParagraph"/>
      </w:pPr>
      <w:r>
        <w:rPr>
          <w:bCs/>
          <w:b/>
        </w:rPr>
        <w:t xml:space="preserve">SCR-23-FR-004</w:t>
      </w:r>
      <w:r>
        <w:t xml:space="preserve"> </w:t>
      </w:r>
      <w:r>
        <w:t xml:space="preserve">For each request type, SCR-23 SHALL auto-compile the response: ACCESS assembles all records for the entity from every module, consent history, decision log entries, and third-party disclosures. CORRECTION presents the requested changes with impact analysis. ERASURE enumerates all records to be deleted and any legal-hold conflicts. PORTABILITY produces a standard-format export (JSON and CSV). Every auto-compiled response is admin-reviewed before release.</w:t>
      </w:r>
    </w:p>
    <w:bookmarkEnd w:id="528"/>
    <w:bookmarkStart w:id="529" w:name="sla-tracker"/>
    <w:p>
      <w:pPr>
        <w:pStyle w:val="Heading3"/>
      </w:pPr>
      <w:r>
        <w:t xml:space="preserve">SLA Tracker</w:t>
      </w:r>
    </w:p>
    <w:p>
      <w:pPr>
        <w:pStyle w:val="FirstParagraph"/>
      </w:pPr>
      <w:r>
        <w:rPr>
          <w:bCs/>
          <w:b/>
        </w:rPr>
        <w:t xml:space="preserve">SCR-23-FR-005</w:t>
      </w:r>
      <w:r>
        <w:t xml:space="preserve"> </w:t>
      </w:r>
      <w:r>
        <w:t xml:space="preserve">Per PR02-FR-007, the 30-day legal deadline is tracked per request. Escalation at 20 days (auto-escalate to Tenant Admin with Slack / email notification), 25 days (auto-escalate to Super Admin via SCR-24). Visible countdown per request in the queue.</w:t>
      </w:r>
    </w:p>
    <w:bookmarkEnd w:id="529"/>
    <w:bookmarkStart w:id="530" w:name="erasure-workflow"/>
    <w:p>
      <w:pPr>
        <w:pStyle w:val="Heading3"/>
      </w:pPr>
      <w:r>
        <w:t xml:space="preserve">Erasure Workflow</w:t>
      </w:r>
    </w:p>
    <w:p>
      <w:pPr>
        <w:pStyle w:val="FirstParagraph"/>
      </w:pPr>
      <w:r>
        <w:rPr>
          <w:bCs/>
          <w:b/>
        </w:rPr>
        <w:t xml:space="preserve">SCR-23-FR-006</w:t>
      </w:r>
      <w:r>
        <w:t xml:space="preserve"> </w:t>
      </w:r>
      <w:r>
        <w:t xml:space="preserve">ERASURE initiates a cascading delete across all modules referencing the entity (per D05 lineage). Cascade includes: F01 tenant datasets, ED02 edge buffers (through AC03 cascade propagation to SCR-15), SCR-17 outbound queues, A01 feature store entries. Legal-hold markers block erasure for the held portion; admin decisions on held items are documented.</w:t>
      </w:r>
    </w:p>
    <w:p>
      <w:pPr>
        <w:pStyle w:val="BodyText"/>
      </w:pPr>
      <w:r>
        <w:rPr>
          <w:bCs/>
          <w:b/>
        </w:rPr>
        <w:t xml:space="preserve">SCR-23-FR-007</w:t>
      </w:r>
      <w:r>
        <w:t xml:space="preserve"> </w:t>
      </w:r>
      <w:r>
        <w:t xml:space="preserve">Erasure receipt: upon completion, a signed erasure confirmation is generated and delivered to the requester, listing all data categories erased and the timestamp.</w:t>
      </w:r>
    </w:p>
    <w:bookmarkEnd w:id="530"/>
    <w:bookmarkStart w:id="531" w:name="request-history-analytics"/>
    <w:p>
      <w:pPr>
        <w:pStyle w:val="Heading3"/>
      </w:pPr>
      <w:r>
        <w:t xml:space="preserve">Request History &amp; Analytics</w:t>
      </w:r>
    </w:p>
    <w:p>
      <w:pPr>
        <w:pStyle w:val="FirstParagraph"/>
      </w:pPr>
      <w:r>
        <w:rPr>
          <w:bCs/>
          <w:b/>
        </w:rPr>
        <w:t xml:space="preserve">SCR-23-FR-008</w:t>
      </w:r>
      <w:r>
        <w:t xml:space="preserve"> </w:t>
      </w:r>
      <w:r>
        <w:t xml:space="preserve">Aggregate metrics per tenant: average fulfilment time, SLA compliance rate, request type mix, requester verification success rate, denial rate with reason. Trend over 90 days surfaces systemic issues (e.g., rising ACCESS requests suggest a privacy concern worth investigating).</w:t>
      </w:r>
    </w:p>
    <w:bookmarkEnd w:id="531"/>
    <w:bookmarkStart w:id="532" w:name="inter-system-coordination"/>
    <w:p>
      <w:pPr>
        <w:pStyle w:val="Heading3"/>
      </w:pPr>
      <w:r>
        <w:t xml:space="preserve">Inter-System Coordination</w:t>
      </w:r>
    </w:p>
    <w:p>
      <w:pPr>
        <w:pStyle w:val="FirstParagraph"/>
      </w:pPr>
      <w:r>
        <w:rPr>
          <w:bCs/>
          <w:b/>
        </w:rPr>
        <w:t xml:space="preserve">SCR-23-FR-009</w:t>
      </w:r>
      <w:r>
        <w:t xml:space="preserve"> </w:t>
      </w:r>
      <w:r>
        <w:t xml:space="preserve">SCR-23 coordinates with downstream systems: triggers SCR-15 for edge-cached data propagation, triggers SCR-17 to halt further outbound actions for the entity, triggers A03 to disable decision pipelines involving the entity. All coordination is audit-logged to SCR-20.</w:t>
      </w:r>
    </w:p>
    <w:bookmarkEnd w:id="532"/>
    <w:bookmarkEnd w:id="533"/>
    <w:bookmarkStart w:id="534" w:name="acceptance-criteria-47"/>
    <w:p>
      <w:pPr>
        <w:pStyle w:val="Heading2"/>
      </w:pPr>
      <w:r>
        <w:t xml:space="preserve">Acceptance Criteria</w:t>
      </w:r>
    </w:p>
    <w:p>
      <w:pPr>
        <w:numPr>
          <w:ilvl w:val="0"/>
          <w:numId w:val="1025"/>
        </w:numPr>
      </w:pPr>
      <w:r>
        <w:t xml:space="preserve">100% of DSAR requests are processed within the 30-day legal deadline.</w:t>
      </w:r>
    </w:p>
    <w:p>
      <w:pPr>
        <w:numPr>
          <w:ilvl w:val="0"/>
          <w:numId w:val="1025"/>
        </w:numPr>
      </w:pPr>
      <w:r>
        <w:t xml:space="preserve">Identity verification for ACCESS / CORRECTION requests completes within 48 hours; ERASURE requires secondary review with an additional 24-hour adjudication window.</w:t>
      </w:r>
    </w:p>
    <w:p>
      <w:pPr>
        <w:numPr>
          <w:ilvl w:val="0"/>
          <w:numId w:val="1025"/>
        </w:numPr>
      </w:pPr>
      <w:r>
        <w:t xml:space="preserve">Erasure cascade completes across all modules within 7 days; erasure receipt is delivered to requester with verifiable signature.</w:t>
      </w:r>
    </w:p>
    <w:p>
      <w:pPr>
        <w:numPr>
          <w:ilvl w:val="0"/>
          <w:numId w:val="1025"/>
        </w:numPr>
      </w:pPr>
      <w:r>
        <w:t xml:space="preserve">External regulator queries on DSAR compliance are answered from SCR-23 without manual data compilation — the query is the workflow.</w:t>
      </w:r>
    </w:p>
    <w:p>
      <w:pPr>
        <w:numPr>
          <w:ilvl w:val="0"/>
          <w:numId w:val="1025"/>
        </w:numPr>
      </w:pPr>
      <w:r>
        <w:t xml:space="preserve">Legal-hold conflicts in ERASURE requests are surfaced for DPO adjudication; no silent bypass of holds.</w:t>
      </w:r>
    </w:p>
    <w:p>
      <w:pPr>
        <w:pStyle w:val="FirstParagraph"/>
      </w:pPr>
      <w:r>
        <w:rPr>
          <w:bCs/>
          <w:b/>
        </w:rPr>
        <w:t xml:space="preserve">PART VIII</w:t>
      </w:r>
    </w:p>
    <w:p>
      <w:pPr>
        <w:pStyle w:val="BodyText"/>
      </w:pPr>
      <w:r>
        <w:t xml:space="preserve">Vertical Extensions &amp; Platform Wizards</w:t>
      </w:r>
    </w:p>
    <w:p>
      <w:pPr>
        <w:pStyle w:val="BodyText"/>
      </w:pPr>
      <w:r>
        <w:rPr>
          <w:bCs/>
          <w:b/>
        </w:rPr>
        <w:t xml:space="preserve">Display Data vertical screen + Tenant Onboarding Wizard</w:t>
      </w:r>
    </w:p>
    <w:p>
      <w:pPr>
        <w:pStyle w:val="BodyText"/>
      </w:pPr>
      <w:r>
        <w:t xml:space="preserve">Part VIII establishes two patterns that will expand over time. First, vertical-extension analytical screens — screens registered via IC01 vertical packages rather than in the core retail catalog. CX-DD-01 is the first such screen, built for the Display Data vertical. Second, platform wizards — structured first-time-use flows that stitch together multiple admin screens into a guided experience. W01 is the first wizard, handling tenant onboarding.</w:t>
      </w:r>
    </w:p>
    <w:p>
      <w:pPr>
        <w:pStyle w:val="BodyText"/>
      </w:pPr>
      <w:r>
        <w:t xml:space="preserve">Both patterns are foundational. Every future vertical (digital signage, F&amp;B, healthcare, reinsurance) will contribute vertical-extension screens on the same pattern as CX-DD-01. Every future system event that warrants a guided flow (bulk data migration, vertical switch, deep compliance setup) will be a wizard on the pattern of W01.</w:t>
      </w:r>
    </w:p>
    <w:p>
      <w:pPr>
        <w:pStyle w:val="BodyText"/>
      </w:pPr>
      <w:r>
        <w:t xml:space="preserve">Sevyn8 Cortex — v2.0 — April 2026 — CONFIDENTIAL</w:t>
      </w:r>
    </w:p>
    <w:bookmarkEnd w:id="534"/>
    <w:bookmarkEnd w:id="535"/>
    <w:bookmarkStart w:id="546" w:name="Xd1045bfb6ed487d426b2f0e366e84c43fb15741"/>
    <w:p>
      <w:pPr>
        <w:pStyle w:val="Heading1"/>
      </w:pPr>
      <w:r>
        <w:t xml:space="preserve">CX-DD-01 — Shelf &amp; Planogram Intelligence (Display Data vertical extension)</w:t>
      </w:r>
    </w:p>
    <w:tbl>
      <w:tblPr>
        <w:tblStyle w:val="Table"/>
        <w:tblW w:type="pct" w:w="4947"/>
        <w:tblLook w:firstRow="0" w:lastRow="0" w:firstColumn="0" w:lastColumn="0" w:noHBand="0" w:noVBand="0" w:val="0000"/>
        <w:jc w:val="start"/>
      </w:tblPr>
      <w:tblGrid>
        <w:gridCol w:w="1167"/>
        <w:gridCol w:w="6669"/>
      </w:tblGrid>
      <w:tr>
        <w:tc>
          <w:tcPr/>
          <w:p>
            <w:pPr>
              <w:pStyle w:val="Compact"/>
              <w:jc w:val="left"/>
            </w:pPr>
            <w:r>
              <w:rPr>
                <w:bCs/>
                <w:b/>
              </w:rPr>
              <w:t xml:space="preserve">Screen ID</w:t>
            </w:r>
          </w:p>
        </w:tc>
        <w:tc>
          <w:tcPr/>
          <w:p>
            <w:pPr>
              <w:pStyle w:val="Compact"/>
              <w:jc w:val="left"/>
            </w:pPr>
            <w:r>
              <w:t xml:space="preserve">CX-DD-01</w:t>
            </w:r>
          </w:p>
        </w:tc>
      </w:tr>
      <w:tr>
        <w:tc>
          <w:tcPr/>
          <w:p>
            <w:pPr>
              <w:pStyle w:val="Compact"/>
              <w:jc w:val="left"/>
            </w:pPr>
            <w:r>
              <w:rPr>
                <w:bCs/>
                <w:b/>
              </w:rPr>
              <w:t xml:space="preserve">Phase</w:t>
            </w:r>
          </w:p>
        </w:tc>
        <w:tc>
          <w:tcPr/>
          <w:p>
            <w:pPr>
              <w:pStyle w:val="Compact"/>
              <w:jc w:val="left"/>
            </w:pPr>
            <w:r>
              <w:t xml:space="preserve">1 (Display Data Phase 1 deliverable)</w:t>
            </w:r>
          </w:p>
        </w:tc>
      </w:tr>
      <w:tr>
        <w:tc>
          <w:tcPr/>
          <w:p>
            <w:pPr>
              <w:pStyle w:val="Compact"/>
              <w:jc w:val="left"/>
            </w:pPr>
            <w:r>
              <w:rPr>
                <w:bCs/>
                <w:b/>
              </w:rPr>
              <w:t xml:space="preserve">Primary Users</w:t>
            </w:r>
          </w:p>
        </w:tc>
        <w:tc>
          <w:tcPr/>
          <w:p>
            <w:pPr>
              <w:pStyle w:val="Compact"/>
              <w:jc w:val="left"/>
            </w:pPr>
            <w:r>
              <w:t xml:space="preserve">Ithina downstream retail clients: Category Managers, Store Managers, Field Merchandisers</w:t>
            </w:r>
          </w:p>
        </w:tc>
      </w:tr>
      <w:tr>
        <w:tc>
          <w:tcPr/>
          <w:p>
            <w:pPr>
              <w:pStyle w:val="Compact"/>
              <w:jc w:val="left"/>
            </w:pPr>
            <w:r>
              <w:rPr>
                <w:bCs/>
                <w:b/>
              </w:rPr>
              <w:t xml:space="preserve">Key Question</w:t>
            </w:r>
          </w:p>
        </w:tc>
        <w:tc>
          <w:tcPr/>
          <w:p>
            <w:pPr>
              <w:pStyle w:val="Compact"/>
              <w:jc w:val="left"/>
            </w:pPr>
            <w:r>
              <w:t xml:space="preserve">Is our shelf execution matching plan, and where are the exceptions costing us?</w:t>
            </w:r>
          </w:p>
        </w:tc>
      </w:tr>
      <w:tr>
        <w:tc>
          <w:tcPr/>
          <w:p>
            <w:pPr>
              <w:pStyle w:val="Compact"/>
              <w:jc w:val="left"/>
            </w:pPr>
            <w:r>
              <w:rPr>
                <w:bCs/>
                <w:b/>
              </w:rPr>
              <w:t xml:space="preserve">Backend Modules</w:t>
            </w:r>
          </w:p>
        </w:tc>
        <w:tc>
          <w:tcPr/>
          <w:p>
            <w:pPr>
              <w:pStyle w:val="Compact"/>
              <w:jc w:val="left"/>
            </w:pPr>
            <w:r>
              <w:t xml:space="preserve">D01 (retail.Product, retail.Shelf, retail.Planogram, retail.Promotion), G01 (ROOS Kafka connector, HHT webhook), G04 (video), G06 (IoT shelf sensors), AC02 (hierarchy), A03 (agents), FB02 (outcomes)</w:t>
            </w:r>
          </w:p>
        </w:tc>
      </w:tr>
      <w:tr>
        <w:tc>
          <w:tcPr/>
          <w:p>
            <w:pPr>
              <w:pStyle w:val="Compact"/>
              <w:jc w:val="left"/>
            </w:pPr>
            <w:r>
              <w:rPr>
                <w:bCs/>
                <w:b/>
              </w:rPr>
              <w:t xml:space="preserve">Agents</w:t>
            </w:r>
          </w:p>
        </w:tc>
        <w:tc>
          <w:tcPr/>
          <w:p>
            <w:pPr>
              <w:pStyle w:val="Compact"/>
              <w:jc w:val="left"/>
            </w:pPr>
            <w:r>
              <w:t xml:space="preserve">PAC (Planogram Auto-Compliance), Promotion, Planogram, Perishable — all authored as SCR-12 decision pipelines. Complementary to (not replacing) Ithina’s existing ROOS agents (PA, PAC, PROMO, POG).</w:t>
            </w:r>
          </w:p>
        </w:tc>
      </w:tr>
      <w:tr>
        <w:tc>
          <w:tcPr/>
          <w:p>
            <w:pPr>
              <w:pStyle w:val="Compact"/>
              <w:jc w:val="left"/>
            </w:pPr>
            <w:r>
              <w:rPr>
                <w:bCs/>
                <w:b/>
              </w:rPr>
              <w:t xml:space="preserve">Required Data Sources</w:t>
            </w:r>
          </w:p>
        </w:tc>
        <w:tc>
          <w:tcPr/>
          <w:p>
            <w:pPr>
              <w:pStyle w:val="Compact"/>
              <w:jc w:val="left"/>
            </w:pPr>
            <w:r>
              <w:t xml:space="preserve">Retail transactions from ROOS via G01 Kafka consumer on</w:t>
            </w:r>
            <w:r>
              <w:t xml:space="preserve"> </w:t>
            </w:r>
            <w:r>
              <w:rPr>
                <w:rStyle w:val="VerbatimChar"/>
              </w:rPr>
              <w:t xml:space="preserve">dis.golden.roos</w:t>
            </w:r>
            <w:r>
              <w:t xml:space="preserve"> </w:t>
            </w:r>
            <w:r>
              <w:t xml:space="preserve">(ADR-SCOPE-009); shelf imagery via G01 HTTPS webhook from Ithina HHT app or fixed cameras; inventory data; active planogram definitions</w:t>
            </w:r>
          </w:p>
        </w:tc>
      </w:tr>
      <w:tr>
        <w:tc>
          <w:tcPr/>
          <w:p>
            <w:pPr>
              <w:pStyle w:val="Compact"/>
              <w:jc w:val="left"/>
            </w:pPr>
            <w:r>
              <w:rPr>
                <w:bCs/>
                <w:b/>
              </w:rPr>
              <w:t xml:space="preserve">Registry Flag</w:t>
            </w:r>
          </w:p>
        </w:tc>
        <w:tc>
          <w:tcPr/>
          <w:p>
            <w:pPr>
              <w:pStyle w:val="Compact"/>
              <w:jc w:val="left"/>
            </w:pPr>
            <w:r>
              <w:t xml:space="preserve">CONDITIONAL — auto-hides in Screen Registry if shelf imagery source not connected</w:t>
            </w:r>
          </w:p>
        </w:tc>
      </w:tr>
      <w:tr>
        <w:tc>
          <w:tcPr/>
          <w:p>
            <w:pPr>
              <w:pStyle w:val="Compact"/>
              <w:jc w:val="left"/>
            </w:pPr>
            <w:r>
              <w:rPr>
                <w:bCs/>
                <w:b/>
              </w:rPr>
              <w:t xml:space="preserve">Activation</w:t>
            </w:r>
          </w:p>
        </w:tc>
        <w:tc>
          <w:tcPr/>
          <w:p>
            <w:pPr>
              <w:pStyle w:val="Compact"/>
              <w:jc w:val="left"/>
            </w:pPr>
            <w:r>
              <w:t xml:space="preserve">Auto-instantiated for tenants activating the Display Data vertical extension package in IC01</w:t>
            </w:r>
          </w:p>
        </w:tc>
      </w:tr>
    </w:tbl>
    <w:bookmarkStart w:id="536" w:name="purpose-57"/>
    <w:p>
      <w:pPr>
        <w:pStyle w:val="Heading2"/>
      </w:pPr>
      <w:r>
        <w:t xml:space="preserve">Purpose</w:t>
      </w:r>
    </w:p>
    <w:p>
      <w:pPr>
        <w:pStyle w:val="FirstParagraph"/>
      </w:pPr>
      <w:r>
        <w:t xml:space="preserve">CX-DD-01 is the primary analytical screen for Display Data's Ithina product line. It surfaces the output of the four domain agents (PAC, Promotion, Planogram, Perishable) as a unified retail execution cockpit. It is a vertical-extension screen — registered through IC01's Display Data package, not a core platform screen.</w:t>
      </w:r>
    </w:p>
    <w:p>
      <w:pPr>
        <w:pStyle w:val="BodyText"/>
      </w:pPr>
      <w:r>
        <w:t xml:space="preserve">CX-DD-01 demonstrates the full Cortex flow in action: ingestion via DIS, canonicalisation via D02, agent-authored pipelines via SCR-12, and analytical rendering via UX01 Widget Library — all ending in a single screen a store manager actually looks at each morning.</w:t>
      </w:r>
    </w:p>
    <w:bookmarkEnd w:id="536"/>
    <w:bookmarkStart w:id="544" w:name="functional-requirements-33"/>
    <w:p>
      <w:pPr>
        <w:pStyle w:val="Heading2"/>
      </w:pPr>
      <w:r>
        <w:t xml:space="preserve">Functional Requirements</w:t>
      </w:r>
    </w:p>
    <w:bookmarkStart w:id="537" w:name="layout-row-1-filters"/>
    <w:p>
      <w:pPr>
        <w:pStyle w:val="Heading3"/>
      </w:pPr>
      <w:r>
        <w:t xml:space="preserve">Layout — Row 1: Filters</w:t>
      </w:r>
    </w:p>
    <w:p>
      <w:pPr>
        <w:pStyle w:val="FirstParagraph"/>
      </w:pPr>
      <w:r>
        <w:t xml:space="preserve">Full-width filter bar: date range (default: today), store / region picker (hierarchy-scoped via AC02), category picker (product hierarchy), planogram version picker (active version by default, historical selectable for retrospective analysis).</w:t>
      </w:r>
    </w:p>
    <w:bookmarkEnd w:id="537"/>
    <w:bookmarkStart w:id="538" w:name="layout-row-2-kpi-cards"/>
    <w:p>
      <w:pPr>
        <w:pStyle w:val="Heading3"/>
      </w:pPr>
      <w:r>
        <w:t xml:space="preserve">Layout — Row 2: KPI Cards</w:t>
      </w:r>
    </w:p>
    <w:p>
      <w:pPr>
        <w:pStyle w:val="FirstParagraph"/>
      </w:pPr>
      <w:r>
        <w:t xml:space="preserve">Four KPI cards, 3 columns each. Planogram Compliance Score (overall % of planogram adherence across the scope). Out-of-Stock Facings (count of empty shelf positions where the planogram expects product). Misplaced SKUs (count of products on the wrong shelf or position). Promotion Execution Rate (% of promoted SKUs with correct promotional display, signage, and positioning). Each card shows current value, trend vs. previous period, and drill-down to exception detail.</w:t>
      </w:r>
    </w:p>
    <w:bookmarkEnd w:id="538"/>
    <w:bookmarkStart w:id="539" w:name="X1c11cb20655da9f151f63fc6234da85b6cb7194"/>
    <w:p>
      <w:pPr>
        <w:pStyle w:val="Heading3"/>
      </w:pPr>
      <w:r>
        <w:t xml:space="preserve">Layout — Row 3: Planogram Compliance Heatmap</w:t>
      </w:r>
    </w:p>
    <w:p>
      <w:pPr>
        <w:pStyle w:val="FirstParagraph"/>
      </w:pPr>
      <w:r>
        <w:t xml:space="preserve">Full-width heatmap: rows are stores, columns are product categories (or vice versa if the store-count is large). Cell colour reflects compliance score for that store × category. Click a cell to open the store-category shelf detail: before / after shelf images, agent findings, recommended corrective actions.</w:t>
      </w:r>
    </w:p>
    <w:bookmarkEnd w:id="539"/>
    <w:bookmarkStart w:id="540" w:name="Xdf3d31dfd1bbba92160438d4ea1cd0a11a7edcc"/>
    <w:p>
      <w:pPr>
        <w:pStyle w:val="Heading3"/>
      </w:pPr>
      <w:r>
        <w:t xml:space="preserve">Layout — Row 4: Agent Findings Feed and Execution Trends</w:t>
      </w:r>
    </w:p>
    <w:p>
      <w:pPr>
        <w:pStyle w:val="FirstParagraph"/>
      </w:pPr>
      <w:r>
        <w:t xml:space="preserve">Left 6-column: Live Agent Findings Feed — chronological output from PAC, Promotion, Planogram, Perishable agents. Each finding includes: store location, shelf position, observed issue, agent confidence, impact estimate (e.g., 'estimated lost sales ₹4,200/day if uncorrected'), recommended action, one-click task assignment (routes via SCR-17 to the appropriate store team).</w:t>
      </w:r>
    </w:p>
    <w:p>
      <w:pPr>
        <w:pStyle w:val="BodyText"/>
      </w:pPr>
      <w:r>
        <w:t xml:space="preserve">Right 6-column: Execution Trends — time series of overall compliance score by region and by category, with events overlaid: promotion starts, planogram version changes, staff rotation events. Useful for identifying whether trends correlate with controllable operational events.</w:t>
      </w:r>
    </w:p>
    <w:bookmarkEnd w:id="540"/>
    <w:bookmarkStart w:id="541" w:name="layout-row-5-shelf-image-gallery"/>
    <w:p>
      <w:pPr>
        <w:pStyle w:val="Heading3"/>
      </w:pPr>
      <w:r>
        <w:t xml:space="preserve">Layout — Row 5: Shelf Image Gallery</w:t>
      </w:r>
    </w:p>
    <w:p>
      <w:pPr>
        <w:pStyle w:val="FirstParagraph"/>
      </w:pPr>
      <w:r>
        <w:t xml:space="preserve">Full-width grid of recent shelf images from HHT captures and fixed cameras, with agent annotations overlaid: detected products with SKU tags, facing counts per SKU, gaps where product is missing, misplaced items flagged. Click-to-review opens a full-resolution annotated view with per-detection confidence scores.</w:t>
      </w:r>
    </w:p>
    <w:bookmarkEnd w:id="541"/>
    <w:bookmarkStart w:id="542" w:name="Xe9fb0df9ff26cb4fa8c4eea9c935189c7ec6f2a"/>
    <w:p>
      <w:pPr>
        <w:pStyle w:val="Heading3"/>
      </w:pPr>
      <w:r>
        <w:t xml:space="preserve">Layout — Row 6: Perishable Waste Tracking (conditional)</w:t>
      </w:r>
    </w:p>
    <w:p>
      <w:pPr>
        <w:pStyle w:val="FirstParagraph"/>
      </w:pPr>
      <w:r>
        <w:t xml:space="preserve">Full-width, visible only if perishable SKUs exist in the tenant's product catalog: expiring stock by store (sorted by expiry urgency), suggested markdowns with forecasted sell-through, estimated waste value if no action taken, historical waste rate vs. target. Powered by the Perishable agent.</w:t>
      </w:r>
    </w:p>
    <w:bookmarkEnd w:id="542"/>
    <w:bookmarkStart w:id="543" w:name="interactions-2"/>
    <w:p>
      <w:pPr>
        <w:pStyle w:val="Heading3"/>
      </w:pPr>
      <w:r>
        <w:t xml:space="preserve">Interactions</w:t>
      </w:r>
    </w:p>
    <w:p>
      <w:pPr>
        <w:pStyle w:val="FirstParagraph"/>
      </w:pPr>
      <w:r>
        <w:t xml:space="preserve">Click a heatmap cell opens the store-category shelf detail view. Click a finding in the Agent Feed opens the shelf image with AI annotations and an inline 'Create Task' button routing a field-merchandising action via SCR-17. 'Ask PAC' button above the feed opens a natural-language query against the agent for deeper investigation ('Why was compliance low in MUM-BKC-001 last week?' produces a structured diagnostic response). Export agent findings as CSV for operations teams.</w:t>
      </w:r>
    </w:p>
    <w:bookmarkEnd w:id="543"/>
    <w:bookmarkEnd w:id="544"/>
    <w:bookmarkStart w:id="545" w:name="acceptance-criteria-48"/>
    <w:p>
      <w:pPr>
        <w:pStyle w:val="Heading2"/>
      </w:pPr>
      <w:r>
        <w:t xml:space="preserve">Acceptance Criteria</w:t>
      </w:r>
    </w:p>
    <w:p>
      <w:pPr>
        <w:numPr>
          <w:ilvl w:val="0"/>
          <w:numId w:val="1026"/>
        </w:numPr>
      </w:pPr>
      <w:r>
        <w:t xml:space="preserve">CX-DD-01 renders in under 2 seconds at p95 for a tenant with 100 stores and 10,000 SKUs.</w:t>
      </w:r>
    </w:p>
    <w:p>
      <w:pPr>
        <w:numPr>
          <w:ilvl w:val="0"/>
          <w:numId w:val="1026"/>
        </w:numPr>
      </w:pPr>
      <w:r>
        <w:t xml:space="preserve">Agent findings appear in the feed within 5 minutes of underlying shelf image capture.</w:t>
      </w:r>
    </w:p>
    <w:p>
      <w:pPr>
        <w:numPr>
          <w:ilvl w:val="0"/>
          <w:numId w:val="1026"/>
        </w:numPr>
      </w:pPr>
      <w:r>
        <w:t xml:space="preserve">Compliance heatmap cell click-through to shelf detail opens within 500ms.</w:t>
      </w:r>
    </w:p>
    <w:p>
      <w:pPr>
        <w:numPr>
          <w:ilvl w:val="0"/>
          <w:numId w:val="1026"/>
        </w:numPr>
      </w:pPr>
      <w:r>
        <w:t xml:space="preserve">Creating a corrective task from a finding routes to the correct store team via SCR-17 within 30 seconds.</w:t>
      </w:r>
    </w:p>
    <w:p>
      <w:pPr>
        <w:numPr>
          <w:ilvl w:val="0"/>
          <w:numId w:val="1026"/>
        </w:numPr>
      </w:pPr>
      <w:r>
        <w:t xml:space="preserve">'Ask PAC' natural-language queries return a structured response with citations to underlying findings within 10 seconds at p95.</w:t>
      </w:r>
    </w:p>
    <w:bookmarkEnd w:id="545"/>
    <w:bookmarkEnd w:id="546"/>
    <w:bookmarkStart w:id="560" w:name="w01-tenant-onboarding-wizard"/>
    <w:p>
      <w:pPr>
        <w:pStyle w:val="Heading1"/>
      </w:pPr>
      <w:r>
        <w:t xml:space="preserve">W01 — Tenant Onboarding Wizard</w:t>
      </w:r>
    </w:p>
    <w:tbl>
      <w:tblPr>
        <w:tblStyle w:val="Table"/>
        <w:tblW w:type="pct" w:w="4938"/>
        <w:tblLook w:firstRow="0" w:lastRow="0" w:firstColumn="0" w:lastColumn="0" w:noHBand="0" w:noVBand="0" w:val="0000"/>
        <w:jc w:val="start"/>
      </w:tblPr>
      <w:tblGrid>
        <w:gridCol w:w="1075"/>
        <w:gridCol w:w="6746"/>
      </w:tblGrid>
      <w:tr>
        <w:tc>
          <w:tcPr/>
          <w:p>
            <w:pPr>
              <w:pStyle w:val="Compact"/>
              <w:jc w:val="left"/>
            </w:pPr>
            <w:r>
              <w:rPr>
                <w:bCs/>
                <w:b/>
              </w:rPr>
              <w:t xml:space="preserve">Module ID</w:t>
            </w:r>
          </w:p>
        </w:tc>
        <w:tc>
          <w:tcPr/>
          <w:p>
            <w:pPr>
              <w:pStyle w:val="Compact"/>
              <w:jc w:val="left"/>
            </w:pPr>
            <w:r>
              <w:t xml:space="preserve">W01</w:t>
            </w:r>
          </w:p>
        </w:tc>
      </w:tr>
      <w:tr>
        <w:tc>
          <w:tcPr/>
          <w:p>
            <w:pPr>
              <w:pStyle w:val="Compact"/>
              <w:jc w:val="left"/>
            </w:pPr>
            <w:r>
              <w:rPr>
                <w:bCs/>
                <w:b/>
              </w:rPr>
              <w:t xml:space="preserve">Phase</w:t>
            </w:r>
          </w:p>
        </w:tc>
        <w:tc>
          <w:tcPr/>
          <w:p>
            <w:pPr>
              <w:pStyle w:val="Compact"/>
              <w:jc w:val="left"/>
            </w:pPr>
            <w:r>
              <w:t xml:space="preserve">1 (Core — every new tenant depends on this)</w:t>
            </w:r>
          </w:p>
        </w:tc>
      </w:tr>
      <w:tr>
        <w:tc>
          <w:tcPr/>
          <w:p>
            <w:pPr>
              <w:pStyle w:val="Compact"/>
              <w:jc w:val="left"/>
            </w:pPr>
            <w:r>
              <w:rPr>
                <w:bCs/>
                <w:b/>
              </w:rPr>
              <w:t xml:space="preserve">Complexity</w:t>
            </w:r>
          </w:p>
        </w:tc>
        <w:tc>
          <w:tcPr/>
          <w:p>
            <w:pPr>
              <w:pStyle w:val="Compact"/>
              <w:jc w:val="left"/>
            </w:pPr>
            <w:r>
              <w:t xml:space="preserve">Medium</w:t>
            </w:r>
          </w:p>
        </w:tc>
      </w:tr>
      <w:tr>
        <w:tc>
          <w:tcPr/>
          <w:p>
            <w:pPr>
              <w:pStyle w:val="Compact"/>
              <w:jc w:val="left"/>
            </w:pPr>
            <w:r>
              <w:rPr>
                <w:bCs/>
                <w:b/>
              </w:rPr>
              <w:t xml:space="preserve">Dependencies</w:t>
            </w:r>
          </w:p>
        </w:tc>
        <w:tc>
          <w:tcPr/>
          <w:p>
            <w:pPr>
              <w:pStyle w:val="Compact"/>
              <w:jc w:val="left"/>
            </w:pPr>
            <w:r>
              <w:t xml:space="preserve">F02 (Tenant Lifecycle), F04 (Configuration Plane), IC01 (Industry Ontology), AC01 (RBAC), SCR-02, SCR-04, SCR-05, SCR-08, SCR-16; provisioned from SCR-24</w:t>
            </w:r>
          </w:p>
        </w:tc>
      </w:tr>
      <w:tr>
        <w:tc>
          <w:tcPr/>
          <w:p>
            <w:pPr>
              <w:pStyle w:val="Compact"/>
              <w:jc w:val="left"/>
            </w:pPr>
            <w:r>
              <w:rPr>
                <w:bCs/>
                <w:b/>
              </w:rPr>
              <w:t xml:space="preserve">Depended On By</w:t>
            </w:r>
          </w:p>
        </w:tc>
        <w:tc>
          <w:tcPr/>
          <w:p>
            <w:pPr>
              <w:pStyle w:val="Compact"/>
              <w:jc w:val="left"/>
            </w:pPr>
            <w:r>
              <w:t xml:space="preserve">Every new tenant's first experience; Sevyn8 CSM onboarding workflows</w:t>
            </w:r>
          </w:p>
        </w:tc>
      </w:tr>
      <w:tr>
        <w:tc>
          <w:tcPr/>
          <w:p>
            <w:pPr>
              <w:pStyle w:val="Compact"/>
              <w:jc w:val="left"/>
            </w:pPr>
            <w:r>
              <w:rPr>
                <w:bCs/>
                <w:b/>
              </w:rPr>
              <w:t xml:space="preserve">Owner</w:t>
            </w:r>
          </w:p>
        </w:tc>
        <w:tc>
          <w:tcPr/>
          <w:p>
            <w:pPr>
              <w:pStyle w:val="Compact"/>
              <w:jc w:val="left"/>
            </w:pPr>
            <w:r>
              <w:t xml:space="preserve">Platform Engineering Lead</w:t>
            </w:r>
          </w:p>
        </w:tc>
      </w:tr>
    </w:tbl>
    <w:bookmarkStart w:id="547" w:name="purpose-58"/>
    <w:p>
      <w:pPr>
        <w:pStyle w:val="Heading2"/>
      </w:pPr>
      <w:r>
        <w:t xml:space="preserve">Purpose</w:t>
      </w:r>
    </w:p>
    <w:p>
      <w:pPr>
        <w:pStyle w:val="FirstParagraph"/>
      </w:pPr>
      <w:r>
        <w:t xml:space="preserve">W01 is the structured onboarding wizard that takes a new tenant from zero to first analytical value. It is not a standalone screen — it is a flow that stitches SCR-02, SCR-04, SCR-05, SCR-08, SCR-16, and other admin surfaces into a first-time experience with defaults, validation, and continuity.</w:t>
      </w:r>
    </w:p>
    <w:p>
      <w:pPr>
        <w:pStyle w:val="BodyText"/>
      </w:pPr>
      <w:r>
        <w:t xml:space="preserve">W01 is invoked automatically from SCR-24 at tenant creation. It is also re-entrant — a Tenant Admin may re-run any step at any time as configuration evolves.</w:t>
      </w:r>
    </w:p>
    <w:bookmarkEnd w:id="547"/>
    <w:bookmarkStart w:id="558" w:name="functional-requirements-34"/>
    <w:p>
      <w:pPr>
        <w:pStyle w:val="Heading2"/>
      </w:pPr>
      <w:r>
        <w:t xml:space="preserve">Functional Requirements</w:t>
      </w:r>
    </w:p>
    <w:bookmarkStart w:id="548" w:name="step-1-welcome-tenant-context"/>
    <w:p>
      <w:pPr>
        <w:pStyle w:val="Heading3"/>
      </w:pPr>
      <w:r>
        <w:t xml:space="preserve">Step 1 — Welcome &amp; Tenant Context</w:t>
      </w:r>
    </w:p>
    <w:p>
      <w:pPr>
        <w:pStyle w:val="FirstParagraph"/>
      </w:pPr>
      <w:r>
        <w:rPr>
          <w:bCs/>
          <w:b/>
        </w:rPr>
        <w:t xml:space="preserve">W01-FR-001</w:t>
      </w:r>
      <w:r>
        <w:t xml:space="preserve"> </w:t>
      </w:r>
      <w:r>
        <w:t xml:space="preserve">Confirm tenant legal name, primary contact, timezone (IC02), default locale, vertical selection from IC01 catalog. For the Display Data tenant specifically, vertical is pre-selected to 'retail + Display Data extension' by Sevyn8 CSM at SCR-24 provisioning, so this step is confirmation not selection.</w:t>
      </w:r>
    </w:p>
    <w:bookmarkEnd w:id="548"/>
    <w:bookmarkStart w:id="549" w:name="step-2-brand-theme-hands-off-to-scr-04"/>
    <w:p>
      <w:pPr>
        <w:pStyle w:val="Heading3"/>
      </w:pPr>
      <w:r>
        <w:t xml:space="preserve">Step 2 — Brand &amp; Theme (hands off to SCR-04)</w:t>
      </w:r>
    </w:p>
    <w:p>
      <w:pPr>
        <w:pStyle w:val="FirstParagraph"/>
      </w:pPr>
      <w:r>
        <w:rPr>
          <w:bCs/>
          <w:b/>
        </w:rPr>
        <w:t xml:space="preserve">W01-FR-002</w:t>
      </w:r>
      <w:r>
        <w:t xml:space="preserve"> </w:t>
      </w:r>
      <w:r>
        <w:t xml:space="preserve">Logo uploads (light + dark mode), primary and accent colours, font selection, email from-address. Live preview throughout. For tenants where Sevyn8 CSM has pre-loaded brand assets (e.g., Display Data), this step is a review-and-confirm.</w:t>
      </w:r>
    </w:p>
    <w:bookmarkEnd w:id="549"/>
    <w:bookmarkStart w:id="550" w:name="step-3-custom-domain-enterprise"/>
    <w:p>
      <w:pPr>
        <w:pStyle w:val="Heading3"/>
      </w:pPr>
      <w:r>
        <w:t xml:space="preserve">Step 3 — Custom Domain (Enterprise)</w:t>
      </w:r>
    </w:p>
    <w:p>
      <w:pPr>
        <w:pStyle w:val="FirstParagraph"/>
      </w:pPr>
      <w:r>
        <w:rPr>
          <w:bCs/>
          <w:b/>
        </w:rPr>
        <w:t xml:space="preserve">W01-FR-003</w:t>
      </w:r>
      <w:r>
        <w:t xml:space="preserve"> </w:t>
      </w:r>
      <w:r>
        <w:t xml:space="preserve">For Enterprise-tier tenants, the custom domain wizard captures the desired domain (e.g., insights.ithina.com), generates the required DNS CNAME record for the tenant's DNS admin, validates DNS propagation, and provisions TLS via Google-managed certificates. Step can be deferred and completed post-onboarding without blocking wizard completion.</w:t>
      </w:r>
    </w:p>
    <w:bookmarkEnd w:id="550"/>
    <w:bookmarkStart w:id="551" w:name="step-4-hierarchy-hands-off-to-scr-05"/>
    <w:p>
      <w:pPr>
        <w:pStyle w:val="Heading3"/>
      </w:pPr>
      <w:r>
        <w:t xml:space="preserve">Step 4 — Hierarchy (hands off to SCR-05)</w:t>
      </w:r>
    </w:p>
    <w:p>
      <w:pPr>
        <w:pStyle w:val="FirstParagraph"/>
      </w:pPr>
      <w:r>
        <w:rPr>
          <w:bCs/>
          <w:b/>
        </w:rPr>
        <w:t xml:space="preserve">W01-FR-004</w:t>
      </w:r>
      <w:r>
        <w:t xml:space="preserve"> </w:t>
      </w:r>
      <w:r>
        <w:t xml:space="preserve">Bulk hierarchy import (CSV) or minimal start (single root node, build out later). Vertical-specific defaults pre-populate node types: for retail, the 5-level Chain → Region → City → Store → Zone structure is the suggested starting point.</w:t>
      </w:r>
    </w:p>
    <w:bookmarkEnd w:id="551"/>
    <w:bookmarkStart w:id="552" w:name="Xdc674ab85523f8623f15ac2d39e2cac2510794a"/>
    <w:p>
      <w:pPr>
        <w:pStyle w:val="Heading3"/>
      </w:pPr>
      <w:r>
        <w:t xml:space="preserve">Step 5 — User Invitation (hands off to SCR-02)</w:t>
      </w:r>
    </w:p>
    <w:p>
      <w:pPr>
        <w:pStyle w:val="FirstParagraph"/>
      </w:pPr>
      <w:r>
        <w:rPr>
          <w:bCs/>
          <w:b/>
        </w:rPr>
        <w:t xml:space="preserve">W01-FR-005</w:t>
      </w:r>
      <w:r>
        <w:t xml:space="preserve"> </w:t>
      </w:r>
      <w:r>
        <w:t xml:space="preserve">Invite initial Tenant Admins and key team leads. Optional SSO configuration (SAML or OIDC) with test-login verification before wizard completes. SCIM provisioning setup deferred to post-onboarding if not immediately required.</w:t>
      </w:r>
    </w:p>
    <w:bookmarkEnd w:id="552"/>
    <w:bookmarkStart w:id="553" w:name="step-6-workspace-structure"/>
    <w:p>
      <w:pPr>
        <w:pStyle w:val="Heading3"/>
      </w:pPr>
      <w:r>
        <w:t xml:space="preserve">Step 6 — Workspace Structure</w:t>
      </w:r>
    </w:p>
    <w:p>
      <w:pPr>
        <w:pStyle w:val="FirstParagraph"/>
      </w:pPr>
      <w:r>
        <w:rPr>
          <w:bCs/>
          <w:b/>
        </w:rPr>
        <w:t xml:space="preserve">W01-FR-006</w:t>
      </w:r>
      <w:r>
        <w:t xml:space="preserve"> </w:t>
      </w:r>
      <w:r>
        <w:t xml:space="preserve">Tenants declare whether they will operate in single-workspace or multi-workspace mode. Multi-workspace tenants (including Display Data from day one) define their initial workspaces at this step: workspace name, intended scope (e.g., 'Ithina Phase 1 — Retail Client A'), default owner, data source ownership boundaries, user membership. At least one workspace must exist before proceeding.</w:t>
      </w:r>
    </w:p>
    <w:p>
      <w:pPr>
        <w:pStyle w:val="BodyText"/>
      </w:pPr>
      <w:r>
        <w:rPr>
          <w:bCs/>
          <w:b/>
        </w:rPr>
        <w:t xml:space="preserve">W01-FR-007</w:t>
      </w:r>
      <w:r>
        <w:t xml:space="preserve"> </w:t>
      </w:r>
      <w:r>
        <w:t xml:space="preserve">For Display Data specifically: the tenant is configured multi-workspace from day one. Initial workspace structure captures each intended downstream Ithina retail client as a workspace, even if only one is active at go-live. This keeps the sub-tenant boundary model aligned from the start and avoids painful retrofitting later.</w:t>
      </w:r>
    </w:p>
    <w:bookmarkEnd w:id="553"/>
    <w:bookmarkStart w:id="554" w:name="Xb61dbf3683b2ffe27c0496d0d079c03c9b9efb7"/>
    <w:p>
      <w:pPr>
        <w:pStyle w:val="Heading3"/>
      </w:pPr>
      <w:r>
        <w:t xml:space="preserve">Step 7 — Data Source Connection (hands off to SCR-08)</w:t>
      </w:r>
    </w:p>
    <w:p>
      <w:pPr>
        <w:pStyle w:val="FirstParagraph"/>
      </w:pPr>
      <w:r>
        <w:rPr>
          <w:bCs/>
          <w:b/>
        </w:rPr>
        <w:t xml:space="preserve">W01-FR-008</w:t>
      </w:r>
      <w:r>
        <w:t xml:space="preserve"> </w:t>
      </w:r>
      <w:r>
        <w:t xml:space="preserve">Guided connection of at least one data source to enable first Silver-tier data. Vertical's recommended connector catalog is pre-surfaced. Success criterion: at least one source ingesting data successfully — downstream screens show empty states otherwise.</w:t>
      </w:r>
    </w:p>
    <w:bookmarkEnd w:id="554"/>
    <w:bookmarkStart w:id="555" w:name="Xb7b679c1ef3d9c00ab1bef39a41d2d4eeded8c8"/>
    <w:p>
      <w:pPr>
        <w:pStyle w:val="Heading3"/>
      </w:pPr>
      <w:r>
        <w:t xml:space="preserve">Step 8 — Consent Purposes (hands off to SCR-16)</w:t>
      </w:r>
    </w:p>
    <w:p>
      <w:pPr>
        <w:pStyle w:val="FirstParagraph"/>
      </w:pPr>
      <w:r>
        <w:rPr>
          <w:bCs/>
          <w:b/>
        </w:rPr>
        <w:t xml:space="preserve">W01-FR-009</w:t>
      </w:r>
      <w:r>
        <w:t xml:space="preserve"> </w:t>
      </w:r>
      <w:r>
        <w:t xml:space="preserve">Activate the vertical package's default processing purposes. Tenant MAY customise at this step or defer. High-risk purposes defer to post-onboarding because DPIA completion is not feasible within wizard scope.</w:t>
      </w:r>
    </w:p>
    <w:bookmarkEnd w:id="555"/>
    <w:bookmarkStart w:id="556" w:name="step-9-first-dashboard-completion"/>
    <w:p>
      <w:pPr>
        <w:pStyle w:val="Heading3"/>
      </w:pPr>
      <w:r>
        <w:t xml:space="preserve">Step 9 — First Dashboard &amp; Completion</w:t>
      </w:r>
    </w:p>
    <w:p>
      <w:pPr>
        <w:pStyle w:val="FirstParagraph"/>
      </w:pPr>
      <w:r>
        <w:rPr>
          <w:bCs/>
          <w:b/>
        </w:rPr>
        <w:t xml:space="preserve">W01-FR-010</w:t>
      </w:r>
      <w:r>
        <w:t xml:space="preserve"> </w:t>
      </w:r>
      <w:r>
        <w:t xml:space="preserve">Confirm that CX-01 Executive Dashboard loads with at least some ingested data (indicating the full pipeline is working end-to-end). This is the onboarding success milestone.</w:t>
      </w:r>
    </w:p>
    <w:bookmarkEnd w:id="556"/>
    <w:bookmarkStart w:id="557" w:name="step-10-next-steps-checklist"/>
    <w:p>
      <w:pPr>
        <w:pStyle w:val="Heading3"/>
      </w:pPr>
      <w:r>
        <w:t xml:space="preserve">Step 10 — Next Steps Checklist</w:t>
      </w:r>
    </w:p>
    <w:p>
      <w:pPr>
        <w:pStyle w:val="FirstParagraph"/>
      </w:pPr>
      <w:r>
        <w:rPr>
          <w:bCs/>
          <w:b/>
        </w:rPr>
        <w:t xml:space="preserve">W01-FR-011</w:t>
      </w:r>
      <w:r>
        <w:t xml:space="preserve"> </w:t>
      </w:r>
      <w:r>
        <w:t xml:space="preserve">On wizard completion, the residual setup items not completed during onboarding (custom domain if deferred, additional data sources, feature store initialization, model packs, additional workspaces, remaining SSO / SCIM setup) appear as a persistent checklist in SCR-01 Attention Panel, dismissible individually as they are completed.</w:t>
      </w:r>
    </w:p>
    <w:p>
      <w:pPr>
        <w:pStyle w:val="BodyText"/>
      </w:pPr>
      <w:r>
        <w:rPr>
          <w:bCs/>
          <w:b/>
        </w:rPr>
        <w:t xml:space="preserve">W01-FR-012</w:t>
      </w:r>
      <w:r>
        <w:t xml:space="preserve"> </w:t>
      </w:r>
      <w:r>
        <w:t xml:space="preserve">W01 completion telemetry (which step was the last completed, time per step, drop-off points, field-level friction) SHALL flow to SCR-24 for product improvement across the tenant fleet. Data is aggregated and anonymised for product analysis.</w:t>
      </w:r>
    </w:p>
    <w:bookmarkEnd w:id="557"/>
    <w:bookmarkEnd w:id="558"/>
    <w:bookmarkStart w:id="559" w:name="acceptance-criteria-49"/>
    <w:p>
      <w:pPr>
        <w:pStyle w:val="Heading2"/>
      </w:pPr>
      <w:r>
        <w:t xml:space="preserve">Acceptance Criteria</w:t>
      </w:r>
    </w:p>
    <w:p>
      <w:pPr>
        <w:numPr>
          <w:ilvl w:val="0"/>
          <w:numId w:val="1027"/>
        </w:numPr>
      </w:pPr>
      <w:r>
        <w:t xml:space="preserve">A Standard-tier tenant completes W01 end-to-end in under 2 hours of admin time, including first data source ingestion to Silver.</w:t>
      </w:r>
    </w:p>
    <w:p>
      <w:pPr>
        <w:numPr>
          <w:ilvl w:val="0"/>
          <w:numId w:val="1027"/>
        </w:numPr>
      </w:pPr>
      <w:r>
        <w:t xml:space="preserve">An Enterprise-tier tenant completes W01 in under 4 hours including custom domain DNS verification and SSO setup.</w:t>
      </w:r>
    </w:p>
    <w:p>
      <w:pPr>
        <w:numPr>
          <w:ilvl w:val="0"/>
          <w:numId w:val="1027"/>
        </w:numPr>
      </w:pPr>
      <w:r>
        <w:t xml:space="preserve">Multi-workspace configuration at Step 6 supports creation of 2–10 workspaces with distinct scope, users, and data boundaries before any data is ingested — the Display Data tenant provisions multi-workspace from day one with zero rework later.</w:t>
      </w:r>
    </w:p>
    <w:p>
      <w:pPr>
        <w:numPr>
          <w:ilvl w:val="0"/>
          <w:numId w:val="1027"/>
        </w:numPr>
      </w:pPr>
      <w:r>
        <w:t xml:space="preserve">Tenant admins can re-enter any W01 step at any time via SCR-04 or direct navigation; the wizard is a flow, not a gate.</w:t>
      </w:r>
    </w:p>
    <w:p>
      <w:pPr>
        <w:numPr>
          <w:ilvl w:val="0"/>
          <w:numId w:val="1027"/>
        </w:numPr>
      </w:pPr>
      <w:r>
        <w:t xml:space="preserve">W01 drop-off telemetry is visible in SCR-24 aggregated across tenants; individual-tenant step data respects standard RBAC.</w:t>
      </w:r>
    </w:p>
    <w:bookmarkEnd w:id="559"/>
    <w:bookmarkEnd w:id="560"/>
    <w:bookmarkStart w:id="561" w:name="integration-notes-v2.1-changes-from-v2.0"/>
    <w:p>
      <w:pPr>
        <w:pStyle w:val="Heading1"/>
      </w:pPr>
      <w:r>
        <w:t xml:space="preserve">Integration Notes — v2.1 Changes From v2.0</w:t>
      </w:r>
    </w:p>
    <w:p>
      <w:pPr>
        <w:pStyle w:val="FirstParagraph"/>
      </w:pPr>
      <w:r>
        <w:t xml:space="preserve">Version 2.1 does not add new modules, screens, or functional requirements. It captures two architectural decisions made between v2.0 publication and the start of the Phase 1 build, and integrates their implications into G01 and CX-DD-01. Both decisions are documented in full in the Architectural Decisions section below.</w:t>
      </w:r>
    </w:p>
    <w:p>
      <w:pPr>
        <w:pStyle w:val="BodyText"/>
      </w:pPr>
      <w:r>
        <w:rPr>
          <w:bCs/>
          <w:b/>
        </w:rPr>
        <w:t xml:space="preserve">Changes from v2.0:</w:t>
      </w:r>
    </w:p>
    <w:p>
      <w:pPr>
        <w:numPr>
          <w:ilvl w:val="0"/>
          <w:numId w:val="1028"/>
        </w:numPr>
        <w:pStyle w:val="Compact"/>
      </w:pPr>
      <w:r>
        <w:rPr>
          <w:bCs/>
          <w:b/>
        </w:rPr>
        <w:t xml:space="preserve">G01 §4.1a</w:t>
      </w:r>
      <w:r>
        <w:rPr>
          <w:bCs/>
          <w:b/>
        </w:rPr>
        <w:t xml:space="preserve"> </w:t>
      </w:r>
      <w:r>
        <w:rPr>
          <w:bCs/>
          <w:b/>
        </w:rPr>
        <w:t xml:space="preserve">“</w:t>
      </w:r>
      <w:r>
        <w:rPr>
          <w:bCs/>
          <w:b/>
        </w:rPr>
        <w:t xml:space="preserve">External Systems Boundary</w:t>
      </w:r>
      <w:r>
        <w:rPr>
          <w:bCs/>
          <w:b/>
        </w:rPr>
        <w:t xml:space="preserve">”</w:t>
      </w:r>
      <w:r>
        <w:rPr>
          <w:bCs/>
          <w:b/>
        </w:rPr>
        <w:t xml:space="preserve"> </w:t>
      </w:r>
      <w:r>
        <w:rPr>
          <w:bCs/>
          <w:b/>
        </w:rPr>
        <w:t xml:space="preserve">added.</w:t>
      </w:r>
      <w:r>
        <w:t xml:space="preserve"> </w:t>
      </w:r>
      <w:r>
        <w:t xml:space="preserve">Clarifies that ROOS is external to Cortex and that G01 is the strict integration seam. Distinguishes what Cortex builds vs what Cortex does not build.</w:t>
      </w:r>
    </w:p>
    <w:p>
      <w:pPr>
        <w:numPr>
          <w:ilvl w:val="0"/>
          <w:numId w:val="1028"/>
        </w:numPr>
        <w:pStyle w:val="Compact"/>
      </w:pPr>
      <w:r>
        <w:rPr>
          <w:bCs/>
          <w:b/>
        </w:rPr>
        <w:t xml:space="preserve">CX-DD-01 Backend Modules and Required Data Sources rows updated.</w:t>
      </w:r>
      <w:r>
        <w:t xml:space="preserve"> </w:t>
      </w:r>
      <w:r>
        <w:t xml:space="preserve">Explicitly names ROOS (via G01 Kafka connector) as the retail transaction data source. Clarifies that Cortex agents are complementary to, not replacements for, Ithina’s existing ROOS agents.</w:t>
      </w:r>
    </w:p>
    <w:p>
      <w:pPr>
        <w:numPr>
          <w:ilvl w:val="0"/>
          <w:numId w:val="1028"/>
        </w:numPr>
        <w:pStyle w:val="Compact"/>
      </w:pPr>
      <w:r>
        <w:rPr>
          <w:bCs/>
          <w:b/>
        </w:rPr>
        <w:t xml:space="preserve">Architectural Decisions section added</w:t>
      </w:r>
      <w:r>
        <w:t xml:space="preserve"> </w:t>
      </w:r>
      <w:r>
        <w:t xml:space="preserve">at the end of this document. Captures ADR-SCOPE-009 (ROOS external) and ADR-INFRA-001 (Pub/Sub internal, Kafka at edges) inline so the spec is self-contained.</w:t>
      </w:r>
    </w:p>
    <w:p>
      <w:pPr>
        <w:numPr>
          <w:ilvl w:val="0"/>
          <w:numId w:val="1028"/>
        </w:numPr>
        <w:pStyle w:val="Compact"/>
      </w:pPr>
      <w:r>
        <w:rPr>
          <w:bCs/>
          <w:b/>
        </w:rPr>
        <w:t xml:space="preserve">No functional requirements changed.</w:t>
      </w:r>
      <w:r>
        <w:t xml:space="preserve"> </w:t>
      </w:r>
      <w:r>
        <w:t xml:space="preserve">All FR-NNN from v2.0 remain intact.</w:t>
      </w:r>
    </w:p>
    <w:bookmarkEnd w:id="561"/>
    <w:bookmarkStart w:id="563" w:name="integration-notes-v2.0-changes-from-v1.0"/>
    <w:p>
      <w:pPr>
        <w:pStyle w:val="Heading1"/>
      </w:pPr>
      <w:r>
        <w:t xml:space="preserve">Integration Notes — v2.0 Changes From v1.0</w:t>
      </w:r>
    </w:p>
    <w:p>
      <w:pPr>
        <w:pStyle w:val="FirstParagraph"/>
      </w:pPr>
      <w:r>
        <w:t xml:space="preserve">Version 2.0 added Parts VII and VIII to the previously published v1.0 specification. No content in Parts I–VI was modified; screen references throughout the existing module specifications (e.g.,</w:t>
      </w:r>
      <w:r>
        <w:t xml:space="preserve"> </w:t>
      </w:r>
      <w:r>
        <w:t xml:space="preserve">“</w:t>
      </w:r>
      <w:r>
        <w:t xml:space="preserve">SCR-08 Data Source Wizard</w:t>
      </w:r>
      <w:r>
        <w:t xml:space="preserve">”</w:t>
      </w:r>
      <w:r>
        <w:t xml:space="preserve"> </w:t>
      </w:r>
      <w:r>
        <w:t xml:space="preserve">in G02-FR-011,</w:t>
      </w:r>
      <w:r>
        <w:t xml:space="preserve"> </w:t>
      </w:r>
      <w:r>
        <w:t xml:space="preserve">“</w:t>
      </w:r>
      <w:r>
        <w:t xml:space="preserve">SCR-11 Entity Resolution Console</w:t>
      </w:r>
      <w:r>
        <w:t xml:space="preserve">”</w:t>
      </w:r>
      <w:r>
        <w:t xml:space="preserve"> </w:t>
      </w:r>
      <w:r>
        <w:t xml:space="preserve">in I01 acceptance criteria,</w:t>
      </w:r>
      <w:r>
        <w:t xml:space="preserve"> </w:t>
      </w:r>
      <w:r>
        <w:t xml:space="preserve">“</w:t>
      </w:r>
      <w:r>
        <w:t xml:space="preserve">SCR-20 Audit &amp; Activity Log</w:t>
      </w:r>
      <w:r>
        <w:t xml:space="preserve">”</w:t>
      </w:r>
      <w:r>
        <w:t xml:space="preserve"> </w:t>
      </w:r>
      <w:r>
        <w:t xml:space="preserve">in D05-FR-004,</w:t>
      </w:r>
      <w:r>
        <w:t xml:space="preserve"> </w:t>
      </w:r>
      <w:r>
        <w:t xml:space="preserve">“</w:t>
      </w:r>
      <w:r>
        <w:t xml:space="preserve">SCR-22 Compliance Operations</w:t>
      </w:r>
      <w:r>
        <w:t xml:space="preserve">”</w:t>
      </w:r>
      <w:r>
        <w:t xml:space="preserve"> </w:t>
      </w:r>
      <w:r>
        <w:t xml:space="preserve">in AC04-FR-005,</w:t>
      </w:r>
      <w:r>
        <w:t xml:space="preserve"> </w:t>
      </w:r>
      <w:r>
        <w:t xml:space="preserve">“</w:t>
      </w:r>
      <w:r>
        <w:t xml:space="preserve">SCR-23 DSAR Console</w:t>
      </w:r>
      <w:r>
        <w:t xml:space="preserve">”</w:t>
      </w:r>
      <w:r>
        <w:t xml:space="preserve"> </w:t>
      </w:r>
      <w:r>
        <w:t xml:space="preserve">in PR02-FR-007) now resolve to fully-specified modules in Part VII.</w:t>
      </w:r>
    </w:p>
    <w:p>
      <w:pPr>
        <w:pStyle w:val="BodyText"/>
      </w:pPr>
      <w:r>
        <w:t xml:space="preserve">The UX01 Screen Composition Engine referenced in §1.1 as producing the Admin Console layer (screens SCR-01–SCR-24) is now backed by a complete screen specification. The Customer-Facing Analytical Screens section is extended by CX-DD-01 in Part VIII; the CX-01 through CX-10 retail-core screens are unchanged.</w:t>
      </w:r>
    </w:p>
    <w:bookmarkStart w:id="562" w:name="updated-platform-totals"/>
    <w:p>
      <w:pPr>
        <w:pStyle w:val="Heading2"/>
      </w:pPr>
      <w:r>
        <w:t xml:space="preserve">Updated platform totals</w:t>
      </w:r>
    </w:p>
    <w:p>
      <w:pPr>
        <w:numPr>
          <w:ilvl w:val="0"/>
          <w:numId w:val="1029"/>
        </w:numPr>
        <w:pStyle w:val="Compact"/>
      </w:pPr>
      <w:r>
        <w:t xml:space="preserve">61 backend modules (unchanged)</w:t>
      </w:r>
    </w:p>
    <w:p>
      <w:pPr>
        <w:numPr>
          <w:ilvl w:val="0"/>
          <w:numId w:val="1029"/>
        </w:numPr>
        <w:pStyle w:val="Compact"/>
      </w:pPr>
      <w:r>
        <w:t xml:space="preserve">24 Admin Console screens (SCR-01–SCR-24, fully specified in Part VII)</w:t>
      </w:r>
    </w:p>
    <w:p>
      <w:pPr>
        <w:numPr>
          <w:ilvl w:val="0"/>
          <w:numId w:val="1029"/>
        </w:numPr>
        <w:pStyle w:val="Compact"/>
      </w:pPr>
      <w:r>
        <w:t xml:space="preserve">10 Customer-Facing Analytical screens in the retail core package (CX-01 to CX-10, unchanged)</w:t>
      </w:r>
    </w:p>
    <w:p>
      <w:pPr>
        <w:numPr>
          <w:ilvl w:val="0"/>
          <w:numId w:val="1029"/>
        </w:numPr>
        <w:pStyle w:val="Compact"/>
      </w:pPr>
      <w:r>
        <w:t xml:space="preserve">1 vertical-extension analytical screen (CX-DD-01, Display Data extension)</w:t>
      </w:r>
    </w:p>
    <w:p>
      <w:pPr>
        <w:numPr>
          <w:ilvl w:val="0"/>
          <w:numId w:val="1029"/>
        </w:numPr>
        <w:pStyle w:val="Compact"/>
      </w:pPr>
      <w:r>
        <w:t xml:space="preserve">1 platform wizard (W01, Tenant Onboarding)</w:t>
      </w:r>
    </w:p>
    <w:p>
      <w:pPr>
        <w:numPr>
          <w:ilvl w:val="0"/>
          <w:numId w:val="1029"/>
        </w:numPr>
        <w:pStyle w:val="Compact"/>
      </w:pPr>
      <w:r>
        <w:t xml:space="preserve">UX01 Screen Composition Engine (unchanged, now fully backed by Admin Console specification)</w:t>
      </w:r>
    </w:p>
    <w:p>
      <w:pPr>
        <w:numPr>
          <w:ilvl w:val="0"/>
          <w:numId w:val="1029"/>
        </w:numPr>
        <w:pStyle w:val="Compact"/>
      </w:pPr>
      <w:r>
        <w:t xml:space="preserve">O04 Integration &amp; Action Hub (unchanged)</w:t>
      </w:r>
    </w:p>
    <w:bookmarkEnd w:id="562"/>
    <w:bookmarkEnd w:id="563"/>
    <w:bookmarkStart w:id="569" w:name="architectural-decisions-added-in-v2.1"/>
    <w:p>
      <w:pPr>
        <w:pStyle w:val="Heading1"/>
      </w:pPr>
      <w:r>
        <w:t xml:space="preserve">Architectural Decisions (added in v2.1)</w:t>
      </w:r>
    </w:p>
    <w:p>
      <w:pPr>
        <w:pStyle w:val="FirstParagraph"/>
      </w:pPr>
      <w:r>
        <w:t xml:space="preserve">This section captures architectural decisions that govern Phase 1 implementation. Decisions are recorded as ADRs in the Cortex repository at</w:t>
      </w:r>
      <w:r>
        <w:t xml:space="preserve"> </w:t>
      </w:r>
      <w:r>
        <w:rPr>
          <w:rStyle w:val="VerbatimChar"/>
        </w:rPr>
        <w:t xml:space="preserve">/docs/architecture/decisions/</w:t>
      </w:r>
      <w:r>
        <w:t xml:space="preserve">. The two most consequential decisions are summarised here inline so this specification is self-contained.</w:t>
      </w:r>
    </w:p>
    <w:bookmarkStart w:id="564" w:name="Xc04eef7a0f49d2e3f50c0e2345e3853c5a673e5"/>
    <w:p>
      <w:pPr>
        <w:pStyle w:val="Heading2"/>
      </w:pPr>
      <w:r>
        <w:t xml:space="preserve">ADR-SCOPE-009 — ROOS Remains External to Cortex</w:t>
      </w:r>
    </w:p>
    <w:p>
      <w:pPr>
        <w:pStyle w:val="FirstParagraph"/>
      </w:pPr>
      <w:r>
        <w:rPr>
          <w:bCs/>
          <w:b/>
        </w:rPr>
        <w:t xml:space="preserve">Status:</w:t>
      </w:r>
      <w:r>
        <w:t xml:space="preserve"> </w:t>
      </w:r>
      <w:r>
        <w:t xml:space="preserve">Accepted, April 2026</w:t>
      </w:r>
    </w:p>
    <w:p>
      <w:pPr>
        <w:pStyle w:val="BodyText"/>
      </w:pPr>
      <w:r>
        <w:rPr>
          <w:bCs/>
          <w:b/>
        </w:rPr>
        <w:t xml:space="preserve">Context:</w:t>
      </w:r>
      <w:r>
        <w:t xml:space="preserve"> </w:t>
      </w:r>
      <w:r>
        <w:t xml:space="preserve">Ithina operates ROOS, a production Kafka-based multi-tenant retail event ingestion platform (DIS v13). ROOS ingests POS webhooks, enriches payloads, stores raw events in a Bronze tier, transforms to a canonical Gold tier, and publishes on</w:t>
      </w:r>
      <w:r>
        <w:t xml:space="preserve"> </w:t>
      </w:r>
      <w:r>
        <w:rPr>
          <w:rStyle w:val="VerbatimChar"/>
        </w:rPr>
        <w:t xml:space="preserve">dis.golden.roos</w:t>
      </w:r>
      <w:r>
        <w:t xml:space="preserve">. Ithina has existing agents (PA, PAC, PROMO, POG) running on ROOS. Cortex’s v2.0 specification includes its own ingestion layer (G01, G02) and its own agents planned for Display Data (Planogram, PAC, Promotion, Perishable).</w:t>
      </w:r>
    </w:p>
    <w:p>
      <w:pPr>
        <w:pStyle w:val="BodyText"/>
      </w:pPr>
      <w:r>
        <w:rPr>
          <w:bCs/>
          <w:b/>
        </w:rPr>
        <w:t xml:space="preserve">Decision:</w:t>
      </w:r>
      <w:r>
        <w:t xml:space="preserve"> </w:t>
      </w:r>
      <w:r>
        <w:t xml:space="preserve">Cortex consumes from ROOS as an upstream external source. Cortex does not build POS-specific listeners, does not subsume ROOS functionality, does not replace Ithina’s ROOS agents. The boundary is strict and narrow: Cortex subscribes to the</w:t>
      </w:r>
      <w:r>
        <w:t xml:space="preserve"> </w:t>
      </w:r>
      <w:r>
        <w:rPr>
          <w:rStyle w:val="VerbatimChar"/>
        </w:rPr>
        <w:t xml:space="preserve">dis.golden.roos</w:t>
      </w:r>
      <w:r>
        <w:t xml:space="preserve"> </w:t>
      </w:r>
      <w:r>
        <w:t xml:space="preserve">Kafka topic and nothing else.</w:t>
      </w:r>
    </w:p>
    <w:p>
      <w:pPr>
        <w:pStyle w:val="BodyText"/>
      </w:pPr>
      <w:r>
        <w:rPr>
          <w:bCs/>
          <w:b/>
        </w:rPr>
        <w:t xml:space="preserve">Rationale:</w:t>
      </w:r>
      <w:r>
        <w:t xml:space="preserve"> </w:t>
      </w:r>
      <w:r>
        <w:t xml:space="preserve">- Phase 1 scope stays focused on Cortex’s differentiator (CV + LLM-driven retail intelligence), not on re-implementing ingestion Ithina already does in production</w:t>
      </w:r>
      <w:r>
        <w:t xml:space="preserve"> </w:t>
      </w:r>
      <w:r>
        <w:t xml:space="preserve">- ROOS works; rebuilding it carries no user-visible benefit and significant engineering and operational cost</w:t>
      </w:r>
      <w:r>
        <w:t xml:space="preserve"> </w:t>
      </w:r>
      <w:r>
        <w:t xml:space="preserve">- Pre-revenue small team cannot realistically take on 24/7 operational responsibility for external POS ingestion</w:t>
      </w:r>
      <w:r>
        <w:t xml:space="preserve"> </w:t>
      </w:r>
      <w:r>
        <w:t xml:space="preserve">- Commercial clarity: Ithina owns POS integration relationships; Sevyn8 owns intelligence-output relationships; no turf confusion</w:t>
      </w:r>
      <w:r>
        <w:t xml:space="preserve"> </w:t>
      </w:r>
      <w:r>
        <w:t xml:space="preserve">- Clean interface (one topic, one protocol, one contract document) is easier to reason about than a</w:t>
      </w:r>
      <w:r>
        <w:t xml:space="preserve"> </w:t>
      </w:r>
      <w:r>
        <w:t xml:space="preserve">“</w:t>
      </w:r>
      <w:r>
        <w:t xml:space="preserve">hybrid evolving</w:t>
      </w:r>
      <w:r>
        <w:t xml:space="preserve">”</w:t>
      </w:r>
      <w:r>
        <w:t xml:space="preserve"> </w:t>
      </w:r>
      <w:r>
        <w:t xml:space="preserve">boundary</w:t>
      </w:r>
    </w:p>
    <w:p>
      <w:pPr>
        <w:pStyle w:val="BodyText"/>
      </w:pPr>
      <w:r>
        <w:rPr>
          <w:bCs/>
          <w:b/>
        </w:rPr>
        <w:t xml:space="preserve">What Cortex builds for the integration:</w:t>
      </w:r>
      <w:r>
        <w:t xml:space="preserve"> </w:t>
      </w:r>
      <w:r>
        <w:t xml:space="preserve">Generic Kafka consumer framework in G01, with the ROOS connector as the flagship specialisation. Schema translation rules in D02 to map ROOS canonical events to Cortex canonical entities. Joint runbook for ROOS integration outages. Consumer lag monitoring surfaced in SCR-08.</w:t>
      </w:r>
    </w:p>
    <w:p>
      <w:pPr>
        <w:pStyle w:val="BodyText"/>
      </w:pPr>
      <w:r>
        <w:rPr>
          <w:bCs/>
          <w:b/>
        </w:rPr>
        <w:t xml:space="preserve">What Cortex explicitly does NOT build:</w:t>
      </w:r>
      <w:r>
        <w:t xml:space="preserve"> </w:t>
      </w:r>
      <w:r>
        <w:t xml:space="preserve">Square / Clover / Lightspeed / any POS-specific connectors. Fat-skinny enrichment patterns. Ithina’s internal topics (</w:t>
      </w:r>
      <w:r>
        <w:rPr>
          <w:rStyle w:val="VerbatimChar"/>
        </w:rPr>
        <w:t xml:space="preserve">dis.ingest.*</w:t>
      </w:r>
      <w:r>
        <w:t xml:space="preserve">) are out of scope. ROOS’s Bronze tier, Redis cache, Kafka cluster operations — all remain Ithina’s.</w:t>
      </w:r>
    </w:p>
    <w:p>
      <w:pPr>
        <w:pStyle w:val="BodyText"/>
      </w:pPr>
      <w:r>
        <w:rPr>
          <w:bCs/>
          <w:b/>
        </w:rPr>
        <w:t xml:space="preserve">Cortex agents complementary to ROOS agents:</w:t>
      </w:r>
      <w:r>
        <w:t xml:space="preserve"> </w:t>
      </w:r>
      <w:r>
        <w:t xml:space="preserve">Cortex agents (Planogram, PAC, Promotion, Perishable) operate primarily on data types ROOS does not handle today — shelf imagery via the Ithina HHT app (webhook path, not ROOS path), computer-vision outputs combined with ROOS canonical events. Where nomenclature collides (ROOS PAC vs Cortex PAC), the distinction is: ROOS PAC is transaction-analytics-driven; Cortex PAC is CV-assortment-driven. Joint document</w:t>
      </w:r>
      <w:r>
        <w:t xml:space="preserve"> </w:t>
      </w:r>
      <w:r>
        <w:rPr>
          <w:rStyle w:val="VerbatimChar"/>
        </w:rPr>
        <w:t xml:space="preserve">/docs/integrations/roos-agent-boundaries.md</w:t>
      </w:r>
      <w:r>
        <w:t xml:space="preserve"> </w:t>
      </w:r>
      <w:r>
        <w:t xml:space="preserve">captures specific responsibilities.</w:t>
      </w:r>
    </w:p>
    <w:p>
      <w:pPr>
        <w:pStyle w:val="BodyText"/>
      </w:pPr>
      <w:r>
        <w:rPr>
          <w:bCs/>
          <w:b/>
        </w:rPr>
        <w:t xml:space="preserve">Revisit triggers:</w:t>
      </w:r>
      <w:r>
        <w:t xml:space="preserve"> </w:t>
      </w:r>
      <w:r>
        <w:t xml:space="preserve">Ithina requests Sevyn8 take over ROOS operations; non-Ithina retail clients at volume justifying native POS ingestion; ROOS reliability becomes a sustained drag on Cortex value delivery; Sevyn8 and Ithina restructure their relationship.</w:t>
      </w:r>
    </w:p>
    <w:bookmarkEnd w:id="564"/>
    <w:bookmarkStart w:id="565" w:name="X0bdd43b275f73d48689c9c468ce58acb0a206f1"/>
    <w:p>
      <w:pPr>
        <w:pStyle w:val="Heading2"/>
      </w:pPr>
      <w:r>
        <w:t xml:space="preserve">ADR-INFRA-001 — Event Bus: Pub/Sub Internal, Kafka at Integration Edges</w:t>
      </w:r>
    </w:p>
    <w:p>
      <w:pPr>
        <w:pStyle w:val="FirstParagraph"/>
      </w:pPr>
      <w:r>
        <w:rPr>
          <w:bCs/>
          <w:b/>
        </w:rPr>
        <w:t xml:space="preserve">Status:</w:t>
      </w:r>
      <w:r>
        <w:t xml:space="preserve"> </w:t>
      </w:r>
      <w:r>
        <w:t xml:space="preserve">Accepted, April 2026</w:t>
      </w:r>
    </w:p>
    <w:p>
      <w:pPr>
        <w:pStyle w:val="BodyText"/>
      </w:pPr>
      <w:r>
        <w:rPr>
          <w:bCs/>
          <w:b/>
        </w:rPr>
        <w:t xml:space="preserve">Context:</w:t>
      </w:r>
      <w:r>
        <w:t xml:space="preserve"> </w:t>
      </w:r>
      <w:r>
        <w:t xml:space="preserve">Cortex’s v2.0 specification defaults to GCP Pub/Sub for internal eventing (topics like</w:t>
      </w:r>
      <w:r>
        <w:t xml:space="preserve"> </w:t>
      </w:r>
      <w:r>
        <w:rPr>
          <w:rStyle w:val="VerbatimChar"/>
        </w:rPr>
        <w:t xml:space="preserve">ingest.raw</w:t>
      </w:r>
      <w:r>
        <w:t xml:space="preserve">,</w:t>
      </w:r>
      <w:r>
        <w:t xml:space="preserve"> </w:t>
      </w:r>
      <w:r>
        <w:rPr>
          <w:rStyle w:val="VerbatimChar"/>
        </w:rPr>
        <w:t xml:space="preserve">decisions.emitted</w:t>
      </w:r>
      <w:r>
        <w:t xml:space="preserve">,</w:t>
      </w:r>
      <w:r>
        <w:t xml:space="preserve"> </w:t>
      </w:r>
      <w:r>
        <w:rPr>
          <w:rStyle w:val="VerbatimChar"/>
        </w:rPr>
        <w:t xml:space="preserve">audit.events</w:t>
      </w:r>
      <w:r>
        <w:t xml:space="preserve">, etc.). ROOS uses Kafka. The retail data ecosystem broadly skews Kafka. Question: should Cortex migrate its internal event backbone to Kafka for ecosystem alignment?</w:t>
      </w:r>
    </w:p>
    <w:p>
      <w:pPr>
        <w:pStyle w:val="BodyText"/>
      </w:pPr>
      <w:r>
        <w:rPr>
          <w:bCs/>
          <w:b/>
        </w:rPr>
        <w:t xml:space="preserve">Decision:</w:t>
      </w:r>
      <w:r>
        <w:t xml:space="preserve"> </w:t>
      </w:r>
      <w:r>
        <w:t xml:space="preserve">Pub/Sub for internal Cortex eventing. Kafka as a first-class external-facing protocol in G01. An internal abstraction package (</w:t>
      </w:r>
      <w:r>
        <w:rPr>
          <w:rStyle w:val="VerbatimChar"/>
        </w:rPr>
        <w:t xml:space="preserve">@cortex/event-bus</w:t>
      </w:r>
      <w:r>
        <w:t xml:space="preserve">) isolates the internal bus choice so it can be swapped in the future without touching service code.</w:t>
      </w:r>
    </w:p>
    <w:p>
      <w:pPr>
        <w:pStyle w:val="BodyText"/>
      </w:pPr>
      <w:r>
        <w:rPr>
          <w:bCs/>
          <w:b/>
        </w:rPr>
        <w:t xml:space="preserve">Rationale:</w:t>
      </w:r>
      <w:r>
        <w:t xml:space="preserve"> </w:t>
      </w:r>
      <w:r>
        <w:t xml:space="preserve">- Operational simplicity at Phase 1 stage — a small team gains weeks of engineering per year by not operating Kafka (even managed Confluent Cloud requires partition, ACL, retention management)</w:t>
      </w:r>
      <w:r>
        <w:t xml:space="preserve"> </w:t>
      </w:r>
      <w:r>
        <w:t xml:space="preserve">- Native GCP integrations — Pub/Sub connects natively to Dataflow (S01 streaming engine), Eventarc, Cloud Run, BigQuery, GCS without bespoke bridging</w:t>
      </w:r>
      <w:r>
        <w:t xml:space="preserve"> </w:t>
      </w:r>
      <w:r>
        <w:t xml:space="preserve">- Cost — Pub/Sub at Phase 1 volumes is ₹2,000–₹4,000/month (~$25–50); minimum Confluent Cloud cluster is $500–800/month baseline</w:t>
      </w:r>
      <w:r>
        <w:t xml:space="preserve"> </w:t>
      </w:r>
      <w:r>
        <w:t xml:space="preserve">- Portability preserved through abstraction — the</w:t>
      </w:r>
      <w:r>
        <w:t xml:space="preserve"> </w:t>
      </w:r>
      <w:r>
        <w:rPr>
          <w:rStyle w:val="VerbatimChar"/>
        </w:rPr>
        <w:t xml:space="preserve">@cortex/event-bus</w:t>
      </w:r>
      <w:r>
        <w:t xml:space="preserve"> </w:t>
      </w:r>
      <w:r>
        <w:t xml:space="preserve">package is the seam for any future migration</w:t>
      </w:r>
      <w:r>
        <w:t xml:space="preserve"> </w:t>
      </w:r>
      <w:r>
        <w:t xml:space="preserve">- External Kafka is NOT banned — it is first-class at G01, with ROOS as the flagship consumer. Engineers comfortable with Kafka build it confidently; it just doesn’t leak into Cortex internals.</w:t>
      </w:r>
    </w:p>
    <w:p>
      <w:pPr>
        <w:pStyle w:val="BodyText"/>
      </w:pPr>
      <w:r>
        <w:rPr>
          <w:bCs/>
          <w:b/>
        </w:rPr>
        <w:t xml:space="preserve">What Cortex builds:</w:t>
      </w:r>
      <w:r>
        <w:t xml:space="preserve"> </w:t>
      </w:r>
      <w:r>
        <w:rPr>
          <w:rStyle w:val="VerbatimChar"/>
        </w:rPr>
        <w:t xml:space="preserve">@cortex/event-bus</w:t>
      </w:r>
      <w:r>
        <w:t xml:space="preserve"> </w:t>
      </w:r>
      <w:r>
        <w:t xml:space="preserve">package with</w:t>
      </w:r>
      <w:r>
        <w:t xml:space="preserve"> </w:t>
      </w:r>
      <w:r>
        <w:rPr>
          <w:rStyle w:val="VerbatimChar"/>
        </w:rPr>
        <w:t xml:space="preserve">publish()</w:t>
      </w:r>
      <w:r>
        <w:t xml:space="preserve"> </w:t>
      </w:r>
      <w:r>
        <w:t xml:space="preserve">and</w:t>
      </w:r>
      <w:r>
        <w:t xml:space="preserve"> </w:t>
      </w:r>
      <w:r>
        <w:rPr>
          <w:rStyle w:val="VerbatimChar"/>
        </w:rPr>
        <w:t xml:space="preserve">subscribe()</w:t>
      </w:r>
      <w:r>
        <w:t xml:space="preserve"> </w:t>
      </w:r>
      <w:r>
        <w:t xml:space="preserve">primitives backed by Pub/Sub. Every internal service uses this package — direct imports of the Pub/Sub client outside</w:t>
      </w:r>
      <w:r>
        <w:t xml:space="preserve"> </w:t>
      </w:r>
      <w:r>
        <w:rPr>
          <w:rStyle w:val="VerbatimChar"/>
        </w:rPr>
        <w:t xml:space="preserve">@cortex/event-bus</w:t>
      </w:r>
      <w:r>
        <w:t xml:space="preserve"> </w:t>
      </w:r>
      <w:r>
        <w:t xml:space="preserve">fail CI lint. In G01, a</w:t>
      </w:r>
      <w:r>
        <w:t xml:space="preserve"> </w:t>
      </w:r>
      <w:r>
        <w:rPr>
          <w:rStyle w:val="VerbatimChar"/>
        </w:rPr>
        <w:t xml:space="preserve">kafkajs</w:t>
      </w:r>
      <w:r>
        <w:t xml:space="preserve">-based consumer framework for external Kafka sources; Kafka-to-Pub/Sub bridge pattern translates external events into the internal topic taxonomy.</w:t>
      </w:r>
    </w:p>
    <w:p>
      <w:pPr>
        <w:pStyle w:val="BodyText"/>
      </w:pPr>
      <w:r>
        <w:rPr>
          <w:bCs/>
          <w:b/>
        </w:rPr>
        <w:t xml:space="preserve">Consequences accepted:</w:t>
      </w:r>
      <w:r>
        <w:t xml:space="preserve"> </w:t>
      </w:r>
      <w:r>
        <w:t xml:space="preserve">Cortex is GCP-locked for the internal bus. If a future client requires on-prem or non-GCP deployment, migrating the internal bus is a real project (estimated 4–6 weeks), with</w:t>
      </w:r>
      <w:r>
        <w:t xml:space="preserve"> </w:t>
      </w:r>
      <w:r>
        <w:rPr>
          <w:rStyle w:val="VerbatimChar"/>
        </w:rPr>
        <w:t xml:space="preserve">@cortex/event-bus</w:t>
      </w:r>
      <w:r>
        <w:t xml:space="preserve"> </w:t>
      </w:r>
      <w:r>
        <w:t xml:space="preserve">as the seam. Pub/Sub’s 7-day message retention ceiling is accepted for Phase 1; historical replay needs are served by F03 bi-temporal storage and BigQuery archives, not by the event bus.</w:t>
      </w:r>
    </w:p>
    <w:p>
      <w:pPr>
        <w:pStyle w:val="BodyText"/>
      </w:pPr>
      <w:r>
        <w:rPr>
          <w:bCs/>
          <w:b/>
        </w:rPr>
        <w:t xml:space="preserve">Revisit triggers:</w:t>
      </w:r>
      <w:r>
        <w:t xml:space="preserve"> </w:t>
      </w:r>
      <w:r>
        <w:t xml:space="preserve">Client requires non-GCP deployment; internal volume exceeds Pub/Sub’s pricing sweet spot (&gt;1B events/month sustained); a specific replay use case Pub/Sub’s 7-day retention cannot serve emerges; team growth past ~10 engineers changes the Kafka operational calculus.</w:t>
      </w:r>
    </w:p>
    <w:bookmarkEnd w:id="565"/>
    <w:bookmarkStart w:id="566" w:name="additional-baked-in-decisions"/>
    <w:p>
      <w:pPr>
        <w:pStyle w:val="Heading2"/>
      </w:pPr>
      <w:r>
        <w:t xml:space="preserve">Additional baked-in decisions</w:t>
      </w:r>
    </w:p>
    <w:p>
      <w:pPr>
        <w:pStyle w:val="FirstParagraph"/>
      </w:pPr>
      <w:r>
        <w:t xml:space="preserve">The full v3 build prompts document (</w:t>
      </w:r>
      <w:r>
        <w:rPr>
          <w:rStyle w:val="VerbatimChar"/>
        </w:rPr>
        <w:t xml:space="preserve">cortex_build_prompts_v3.md</w:t>
      </w:r>
      <w:r>
        <w:t xml:space="preserve">) contains 26 further ADRs spanning stack choices (auth provider: WorkOS; ORM: Drizzle; monorepo: Turborepo; CSS: Tailwind 4; email: SendGrid; i18n: next-intl), scope cuts (I03 deferred to Phase 2; Dashboard Builder parked to Phase 3; SCR-24 minimal cut for Phase 1; ED01 deferred to Phase 2), and non-functional targets (RPO 1h / RTO 2h for Enterprise tier; authz p99 &lt;5ms; WCAG 2.1 AA; Lighthouse budgets). Those decisions govern implementation but do not affect this specification’s functional requirements.</w:t>
      </w:r>
    </w:p>
    <w:bookmarkEnd w:id="566"/>
    <w:bookmarkStart w:id="567" w:name="X7ad778a8b874314bf4ddf69ad8aa5541181b863"/>
    <w:p>
      <w:pPr>
        <w:pStyle w:val="Heading2"/>
      </w:pPr>
      <w:r>
        <w:t xml:space="preserve">Display Data tenant configuration — confirmed for Phase 1 provisioning</w:t>
      </w:r>
    </w:p>
    <w:p>
      <w:pPr>
        <w:pStyle w:val="FirstParagraph"/>
      </w:pPr>
      <w:r>
        <w:t xml:space="preserve">Multi-workspace structure from day one; each downstream Ithina retail client provisioned as a workspace within the Display Data tenant. Custom domain enabled at go-live. Enterprise tier with dedicated Cloud SQL instance. Region: asia-south1 (Mumbai) primary, asia-south2 (Delhi) DR. Vertical: retail with Display Data extension package. This configuration becomes the first record in SCR-24’s tenant registry and drives W01’s default paths throughout.</w:t>
      </w:r>
    </w:p>
    <w:bookmarkEnd w:id="567"/>
    <w:bookmarkStart w:id="568" w:name="open-decisions-remaining"/>
    <w:p>
      <w:pPr>
        <w:pStyle w:val="Heading2"/>
      </w:pPr>
      <w:r>
        <w:t xml:space="preserve">Open decisions remaining</w:t>
      </w:r>
    </w:p>
    <w:p>
      <w:pPr>
        <w:pStyle w:val="FirstParagraph"/>
      </w:pPr>
      <w:r>
        <w:t xml:space="preserve">Two decisions remain open and should be resolved before Phase 1 frontend implementation begins.</w:t>
      </w:r>
    </w:p>
    <w:p>
      <w:pPr>
        <w:pStyle w:val="BodyText"/>
      </w:pPr>
      <w:r>
        <w:rPr>
          <w:bCs/>
          <w:b/>
        </w:rPr>
        <w:t xml:space="preserve">Screen ownership.</w:t>
      </w:r>
      <w:r>
        <w:t xml:space="preserve"> </w:t>
      </w:r>
      <w:r>
        <w:t xml:space="preserve">Each screen in Part VII has a nominal module owner; the question is whether a single Frontend Lead owns consistency across all screens, or ownership is distributed to the domain teams owning the backing modules. Recommendation: a dedicated Frontend Lead owns the UX01 composition layer and design system; backing-module owners sign off on functional correctness. This is reflected implicitly in the owner assignments per screen.</w:t>
      </w:r>
    </w:p>
    <w:p>
      <w:pPr>
        <w:pStyle w:val="BodyText"/>
      </w:pPr>
      <w:r>
        <w:rPr>
          <w:bCs/>
          <w:b/>
        </w:rPr>
        <w:t xml:space="preserve">Agent Proposal UX primitive.</w:t>
      </w:r>
      <w:r>
        <w:t xml:space="preserve"> </w:t>
      </w:r>
      <w:r>
        <w:t xml:space="preserve">SCR-09 (mappings), SCR-10 (DQ rules), SCR-11 (identity merges), SCR-12 (pipeline changes), SCR-16 (purpose suggestions), and CX-DD-01 (agent findings) all require an approval surface for agent-generated proposals. A single reusable Proposal Inbox widget in the UX01 library is the correct pattern. Design spike before the first consuming screen (SCR-09) is built.</w:t>
      </w:r>
    </w:p>
    <w:p>
      <w:pPr>
        <w:pStyle w:val="BodyText"/>
      </w:pPr>
      <w:r>
        <w:t xml:space="preserve">The Dashboard Builder buy-vs-build question previously flagged is parked. Sevyn8 authors all dashboards in Phase 1 and Phase 2 using the in-house Widget Library; the tenant-facing drag-and-drop Dashboard Builder (UX01-FR-022, Enterprise tier) is a Phase 3 capability whose buy-vs-build decision can be revisited when actual demand surfaces.</w:t>
      </w:r>
    </w:p>
    <w:bookmarkEnd w:id="568"/>
    <w:bookmarkEnd w:id="5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2026-04-20T06:31:15Z</dcterms:created>
  <dcterms:modified xsi:type="dcterms:W3CDTF">2026-04-20T06:31:15Z</dcterms:modified>
</cp:coreProperties>
</file>

<file path=docProps/custom.xml><?xml version="1.0" encoding="utf-8"?>
<Properties xmlns="http://schemas.openxmlformats.org/officeDocument/2006/custom-properties" xmlns:vt="http://schemas.openxmlformats.org/officeDocument/2006/docPropsVTypes"/>
</file>