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D433" w14:textId="4D951583" w:rsidR="003D7139" w:rsidRPr="00044343" w:rsidRDefault="00294970">
      <w:pPr>
        <w:pStyle w:val="Title"/>
        <w:rPr>
          <w:color w:val="auto"/>
        </w:rPr>
      </w:pPr>
      <w:r w:rsidRPr="00044343">
        <w:rPr>
          <w:color w:val="auto"/>
        </w:rPr>
        <w:t>Luxembourg Development Indicators Analysis</w:t>
      </w:r>
    </w:p>
    <w:p w14:paraId="3E030B88" w14:textId="1FEC21D4" w:rsidR="00A63B04" w:rsidRPr="00044343" w:rsidRDefault="00A63B04">
      <w:pPr>
        <w:spacing w:before="120" w:after="360"/>
        <w:jc w:val="center"/>
        <w:rPr>
          <w:b/>
          <w:bCs/>
          <w:sz w:val="28"/>
          <w:szCs w:val="28"/>
          <w:u w:val="single"/>
        </w:rPr>
      </w:pPr>
      <w:r w:rsidRPr="00044343">
        <w:rPr>
          <w:b/>
          <w:bCs/>
          <w:i/>
          <w:iCs/>
          <w:sz w:val="28"/>
          <w:szCs w:val="28"/>
          <w:u w:val="single"/>
        </w:rPr>
        <w:t>Done by Tudor Sclifos, IS-251</w:t>
      </w:r>
      <w:r w:rsidR="00294970" w:rsidRPr="00044343">
        <w:rPr>
          <w:b/>
          <w:bCs/>
          <w:i/>
          <w:iCs/>
          <w:sz w:val="28"/>
          <w:szCs w:val="28"/>
          <w:u w:val="single"/>
        </w:rPr>
        <w:t>M</w:t>
      </w:r>
    </w:p>
    <w:p w14:paraId="28B438A4" w14:textId="77777777" w:rsidR="003D7139" w:rsidRPr="00044343" w:rsidRDefault="00000000">
      <w:pPr>
        <w:pStyle w:val="Heading1"/>
        <w:rPr>
          <w:color w:val="auto"/>
        </w:rPr>
      </w:pPr>
      <w:r w:rsidRPr="00044343">
        <w:rPr>
          <w:color w:val="auto"/>
        </w:rPr>
        <w:t>1. Introduction</w:t>
      </w:r>
    </w:p>
    <w:p w14:paraId="24EDACEB" w14:textId="77777777" w:rsidR="003D7139" w:rsidRPr="00044343" w:rsidRDefault="00000000">
      <w:pPr>
        <w:spacing w:after="180"/>
      </w:pPr>
      <w:r w:rsidRPr="00044343">
        <w:t>Luxembourg, a small yet economically significant nation in Western Europe, serves as an intriguing case study for development economics. This analysis examines Luxembourg's development patterns over the past 20-30 years through three key research questions:</w:t>
      </w:r>
    </w:p>
    <w:p w14:paraId="4D0F75D5" w14:textId="77777777" w:rsidR="003D7139" w:rsidRPr="00044343" w:rsidRDefault="00000000">
      <w:pPr>
        <w:pStyle w:val="ListParagraph"/>
        <w:numPr>
          <w:ilvl w:val="0"/>
          <w:numId w:val="2"/>
        </w:numPr>
      </w:pPr>
      <w:r w:rsidRPr="00044343">
        <w:t>How has the relationship between inflation and unemployment evolved over the past 20 years?</w:t>
      </w:r>
    </w:p>
    <w:p w14:paraId="65284AA3" w14:textId="77777777" w:rsidR="003D7139" w:rsidRPr="00044343" w:rsidRDefault="00000000">
      <w:pPr>
        <w:pStyle w:val="ListParagraph"/>
        <w:numPr>
          <w:ilvl w:val="0"/>
          <w:numId w:val="2"/>
        </w:numPr>
      </w:pPr>
      <w:r w:rsidRPr="00044343">
        <w:t>How does population life expectancy relate to GDP per capita growth?</w:t>
      </w:r>
    </w:p>
    <w:p w14:paraId="55C43C62" w14:textId="77777777" w:rsidR="003D7139" w:rsidRPr="00044343" w:rsidRDefault="00000000">
      <w:pPr>
        <w:pStyle w:val="ListParagraph"/>
        <w:numPr>
          <w:ilvl w:val="0"/>
          <w:numId w:val="2"/>
        </w:numPr>
        <w:spacing w:after="180"/>
      </w:pPr>
      <w:r w:rsidRPr="00044343">
        <w:t>How do unemployment rates correlate with emigration patterns?</w:t>
      </w:r>
    </w:p>
    <w:p w14:paraId="644D6E64" w14:textId="77777777" w:rsidR="003D7139" w:rsidRPr="00044343" w:rsidRDefault="00000000">
      <w:pPr>
        <w:pStyle w:val="Heading1"/>
        <w:rPr>
          <w:color w:val="auto"/>
        </w:rPr>
      </w:pPr>
      <w:r w:rsidRPr="00044343">
        <w:rPr>
          <w:color w:val="auto"/>
        </w:rPr>
        <w:t>2. Data and Methods</w:t>
      </w:r>
    </w:p>
    <w:p w14:paraId="0990D6A9" w14:textId="77777777" w:rsidR="003D7139" w:rsidRPr="00044343" w:rsidRDefault="00000000">
      <w:pPr>
        <w:pStyle w:val="Heading2"/>
        <w:rPr>
          <w:color w:val="auto"/>
        </w:rPr>
      </w:pPr>
      <w:r w:rsidRPr="00044343">
        <w:rPr>
          <w:color w:val="auto"/>
        </w:rPr>
        <w:t>2.1 Data Source and Indicators</w:t>
      </w:r>
    </w:p>
    <w:p w14:paraId="1487CD31" w14:textId="77777777" w:rsidR="003D7139" w:rsidRPr="00044343" w:rsidRDefault="00000000">
      <w:pPr>
        <w:spacing w:after="120"/>
      </w:pPr>
      <w:r w:rsidRPr="00044343">
        <w:t>All data were obtained from Eurostat, covering 14 indicators across economic (inflation, GDP, consumption, trade), labor market (unemployment), and demographic (population, migration, life expectancy, deaths) categories. Job vacancies and house prices were excluded due to insufficient historical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32"/>
        <w:gridCol w:w="6092"/>
      </w:tblGrid>
      <w:tr w:rsidR="00044343" w:rsidRPr="00044343" w14:paraId="7486127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34495E"/>
          </w:tcPr>
          <w:p w14:paraId="38D78254" w14:textId="77777777" w:rsidR="003D7139" w:rsidRPr="00044343" w:rsidRDefault="00000000">
            <w:pPr>
              <w:jc w:val="center"/>
            </w:pPr>
            <w:r w:rsidRPr="00044343">
              <w:rPr>
                <w:b/>
                <w:bCs/>
                <w:sz w:val="22"/>
                <w:szCs w:val="22"/>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34495E"/>
          </w:tcPr>
          <w:p w14:paraId="3EAFACD4" w14:textId="77777777" w:rsidR="003D7139" w:rsidRPr="00044343" w:rsidRDefault="00000000">
            <w:pPr>
              <w:jc w:val="center"/>
            </w:pPr>
            <w:r w:rsidRPr="00044343">
              <w:rPr>
                <w:b/>
                <w:bCs/>
                <w:sz w:val="22"/>
                <w:szCs w:val="22"/>
              </w:rPr>
              <w:t>Key Indicators</w:t>
            </w:r>
          </w:p>
        </w:tc>
      </w:tr>
      <w:tr w:rsidR="00044343" w:rsidRPr="00044343" w14:paraId="56EA82E8" w14:textId="77777777">
        <w:tc>
          <w:tcPr>
            <w:tcW w:w="3000" w:type="dxa"/>
            <w:tcBorders>
              <w:top w:val="single" w:sz="1" w:space="0" w:color="CCCCCC"/>
              <w:left w:val="single" w:sz="1" w:space="0" w:color="CCCCCC"/>
              <w:bottom w:val="single" w:sz="1" w:space="0" w:color="CCCCCC"/>
              <w:right w:val="single" w:sz="1" w:space="0" w:color="CCCCCC"/>
            </w:tcBorders>
          </w:tcPr>
          <w:p w14:paraId="567F23B7" w14:textId="77777777" w:rsidR="003D7139" w:rsidRPr="00044343" w:rsidRDefault="00000000">
            <w:r w:rsidRPr="00044343">
              <w:rPr>
                <w:b/>
                <w:bCs/>
              </w:rPr>
              <w:t>Economic</w:t>
            </w:r>
          </w:p>
        </w:tc>
        <w:tc>
          <w:tcPr>
            <w:tcW w:w="6360" w:type="dxa"/>
            <w:tcBorders>
              <w:top w:val="single" w:sz="1" w:space="0" w:color="CCCCCC"/>
              <w:left w:val="single" w:sz="1" w:space="0" w:color="CCCCCC"/>
              <w:bottom w:val="single" w:sz="1" w:space="0" w:color="CCCCCC"/>
              <w:right w:val="single" w:sz="1" w:space="0" w:color="CCCCCC"/>
            </w:tcBorders>
          </w:tcPr>
          <w:p w14:paraId="6689FE37" w14:textId="77777777" w:rsidR="003D7139" w:rsidRPr="00044343" w:rsidRDefault="00000000">
            <w:r w:rsidRPr="00044343">
              <w:t>Inflation, GDP, Consumption, Exports, Imports, Current Account</w:t>
            </w:r>
          </w:p>
        </w:tc>
      </w:tr>
      <w:tr w:rsidR="00044343" w:rsidRPr="00044343" w14:paraId="2EB23513" w14:textId="77777777">
        <w:tc>
          <w:tcPr>
            <w:tcW w:w="3000" w:type="dxa"/>
            <w:tcBorders>
              <w:top w:val="single" w:sz="1" w:space="0" w:color="CCCCCC"/>
              <w:left w:val="single" w:sz="1" w:space="0" w:color="CCCCCC"/>
              <w:bottom w:val="single" w:sz="1" w:space="0" w:color="CCCCCC"/>
              <w:right w:val="single" w:sz="1" w:space="0" w:color="CCCCCC"/>
            </w:tcBorders>
          </w:tcPr>
          <w:p w14:paraId="7DACF2F1" w14:textId="77777777" w:rsidR="003D7139" w:rsidRPr="00044343" w:rsidRDefault="00000000">
            <w:r w:rsidRPr="00044343">
              <w:rPr>
                <w:b/>
                <w:bCs/>
              </w:rPr>
              <w:t>Labor</w:t>
            </w:r>
          </w:p>
        </w:tc>
        <w:tc>
          <w:tcPr>
            <w:tcW w:w="6360" w:type="dxa"/>
            <w:tcBorders>
              <w:top w:val="single" w:sz="1" w:space="0" w:color="CCCCCC"/>
              <w:left w:val="single" w:sz="1" w:space="0" w:color="CCCCCC"/>
              <w:bottom w:val="single" w:sz="1" w:space="0" w:color="CCCCCC"/>
              <w:right w:val="single" w:sz="1" w:space="0" w:color="CCCCCC"/>
            </w:tcBorders>
          </w:tcPr>
          <w:p w14:paraId="6EF100A2" w14:textId="77777777" w:rsidR="003D7139" w:rsidRPr="00044343" w:rsidRDefault="00000000">
            <w:r w:rsidRPr="00044343">
              <w:t>Unemployment Rate</w:t>
            </w:r>
          </w:p>
        </w:tc>
      </w:tr>
      <w:tr w:rsidR="00044343" w:rsidRPr="00044343" w14:paraId="1670C81A" w14:textId="77777777">
        <w:tc>
          <w:tcPr>
            <w:tcW w:w="3000" w:type="dxa"/>
            <w:tcBorders>
              <w:top w:val="single" w:sz="1" w:space="0" w:color="CCCCCC"/>
              <w:left w:val="single" w:sz="1" w:space="0" w:color="CCCCCC"/>
              <w:bottom w:val="single" w:sz="1" w:space="0" w:color="CCCCCC"/>
              <w:right w:val="single" w:sz="1" w:space="0" w:color="CCCCCC"/>
            </w:tcBorders>
          </w:tcPr>
          <w:p w14:paraId="05AAD4E0" w14:textId="77777777" w:rsidR="003D7139" w:rsidRPr="00044343" w:rsidRDefault="00000000">
            <w:r w:rsidRPr="00044343">
              <w:rPr>
                <w:b/>
                <w:bCs/>
              </w:rPr>
              <w:t>Demographic</w:t>
            </w:r>
          </w:p>
        </w:tc>
        <w:tc>
          <w:tcPr>
            <w:tcW w:w="6360" w:type="dxa"/>
            <w:tcBorders>
              <w:top w:val="single" w:sz="1" w:space="0" w:color="CCCCCC"/>
              <w:left w:val="single" w:sz="1" w:space="0" w:color="CCCCCC"/>
              <w:bottom w:val="single" w:sz="1" w:space="0" w:color="CCCCCC"/>
              <w:right w:val="single" w:sz="1" w:space="0" w:color="CCCCCC"/>
            </w:tcBorders>
          </w:tcPr>
          <w:p w14:paraId="05B546FB" w14:textId="77777777" w:rsidR="003D7139" w:rsidRPr="00044343" w:rsidRDefault="00000000">
            <w:r w:rsidRPr="00044343">
              <w:t>Population, Emigration, Immigration, Life Expectancy, Deaths</w:t>
            </w:r>
          </w:p>
        </w:tc>
      </w:tr>
    </w:tbl>
    <w:p w14:paraId="7FB95AC5" w14:textId="77777777" w:rsidR="003D7139" w:rsidRPr="00044343" w:rsidRDefault="00000000">
      <w:pPr>
        <w:pStyle w:val="Heading2"/>
        <w:spacing w:before="180"/>
        <w:rPr>
          <w:color w:val="auto"/>
        </w:rPr>
      </w:pPr>
      <w:r w:rsidRPr="00044343">
        <w:rPr>
          <w:color w:val="auto"/>
        </w:rPr>
        <w:t>2.2 Methodology</w:t>
      </w:r>
    </w:p>
    <w:p w14:paraId="04DC22CB" w14:textId="77777777" w:rsidR="003D7139" w:rsidRPr="00044343" w:rsidRDefault="00000000">
      <w:pPr>
        <w:spacing w:after="180"/>
      </w:pPr>
      <w:r w:rsidRPr="00044343">
        <w:t xml:space="preserve">Data cleaning included standardizing time formats, detecting outliers using IQR method (all retained as genuine events), and temporal alignment. Variables </w:t>
      </w:r>
      <w:proofErr w:type="gramStart"/>
      <w:r w:rsidRPr="00044343">
        <w:t>were z-score</w:t>
      </w:r>
      <w:proofErr w:type="gramEnd"/>
      <w:r w:rsidRPr="00044343">
        <w:t xml:space="preserve"> normalized for visual comparison. Analysis employed univariate (distributions, descriptive statistics), bivariate (correlations, time series), and temporal pattern examination techniques.</w:t>
      </w:r>
    </w:p>
    <w:p w14:paraId="0C2F7687" w14:textId="77777777" w:rsidR="003D7139" w:rsidRPr="00044343" w:rsidRDefault="00000000">
      <w:r w:rsidRPr="00044343">
        <w:br w:type="page"/>
      </w:r>
    </w:p>
    <w:p w14:paraId="13E2D60A" w14:textId="77777777" w:rsidR="003D7139" w:rsidRPr="00044343" w:rsidRDefault="00000000">
      <w:pPr>
        <w:pStyle w:val="Heading1"/>
        <w:rPr>
          <w:color w:val="auto"/>
        </w:rPr>
      </w:pPr>
      <w:r w:rsidRPr="00044343">
        <w:rPr>
          <w:color w:val="auto"/>
        </w:rPr>
        <w:lastRenderedPageBreak/>
        <w:t>3. Results</w:t>
      </w:r>
    </w:p>
    <w:p w14:paraId="0039EB91" w14:textId="77777777" w:rsidR="003D7139" w:rsidRPr="00044343" w:rsidRDefault="00000000">
      <w:pPr>
        <w:pStyle w:val="Heading2"/>
        <w:rPr>
          <w:color w:val="auto"/>
        </w:rPr>
      </w:pPr>
      <w:r w:rsidRPr="00044343">
        <w:rPr>
          <w:color w:val="auto"/>
        </w:rPr>
        <w:t>3.1 Research Question 1: Inflation-Unemployment Relationship</w:t>
      </w:r>
    </w:p>
    <w:p w14:paraId="490EDA6A" w14:textId="77777777" w:rsidR="003D7139" w:rsidRPr="00044343" w:rsidRDefault="00000000">
      <w:pPr>
        <w:spacing w:after="180"/>
      </w:pPr>
      <w:r w:rsidRPr="00044343">
        <w:t>Analysis of 2004-2024 reveals a negative correlation between inflation and unemployment, consistent with Phillips Curve theory, though the relationship varies significantly over time. The standardized visualization below shows the relationship is stronger during normal periods but breaks down during major shocks (2008 financial crisis, COVID-19).</w:t>
      </w:r>
    </w:p>
    <w:p w14:paraId="59DDEBF3" w14:textId="77777777" w:rsidR="003D7139" w:rsidRPr="00044343" w:rsidRDefault="00000000">
      <w:pPr>
        <w:spacing w:before="120" w:after="120"/>
        <w:jc w:val="center"/>
      </w:pPr>
      <w:r w:rsidRPr="00044343">
        <w:rPr>
          <w:noProof/>
        </w:rPr>
        <w:drawing>
          <wp:inline distT="0" distB="0" distL="0" distR="0" wp14:anchorId="30915220" wp14:editId="40F21CB7">
            <wp:extent cx="5189220" cy="3113532"/>
            <wp:effectExtent l="0" t="0" r="0" b="0"/>
            <wp:docPr id="1" name="Chart1" descr="Standardized inflation and unemployment trends" title="Inflation vs Unem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05281" cy="3123168"/>
                    </a:xfrm>
                    <a:prstGeom prst="rect">
                      <a:avLst/>
                    </a:prstGeom>
                  </pic:spPr>
                </pic:pic>
              </a:graphicData>
            </a:graphic>
          </wp:inline>
        </w:drawing>
      </w:r>
    </w:p>
    <w:p w14:paraId="31B1B088" w14:textId="77777777" w:rsidR="003D7139" w:rsidRPr="00044343" w:rsidRDefault="00000000">
      <w:pPr>
        <w:spacing w:after="240"/>
        <w:jc w:val="center"/>
      </w:pPr>
      <w:r w:rsidRPr="00044343">
        <w:rPr>
          <w:i/>
          <w:iCs/>
          <w:sz w:val="20"/>
          <w:szCs w:val="20"/>
        </w:rPr>
        <w:t>Figure 1: Standardized Inflation vs Unemployment in Luxembourg (2004-2024)</w:t>
      </w:r>
    </w:p>
    <w:p w14:paraId="08CE106D" w14:textId="77777777" w:rsidR="003D7139" w:rsidRPr="00044343" w:rsidRDefault="00000000">
      <w:pPr>
        <w:pStyle w:val="Heading2"/>
        <w:rPr>
          <w:color w:val="auto"/>
        </w:rPr>
      </w:pPr>
      <w:r w:rsidRPr="00044343">
        <w:rPr>
          <w:color w:val="auto"/>
        </w:rPr>
        <w:t>3.2 Research Question 2: Life Expectancy and Economic Prosperity</w:t>
      </w:r>
    </w:p>
    <w:p w14:paraId="6458CFDB" w14:textId="77777777" w:rsidR="003D7139" w:rsidRPr="00044343" w:rsidRDefault="00000000">
      <w:pPr>
        <w:spacing w:after="180"/>
      </w:pPr>
      <w:r w:rsidRPr="00044343">
        <w:t>A remarkably strong positive correlation (r = 0.95) exists between life expectancy and GDP per capita from 1994-2024. Both variables show consistent upward trends, demonstrating that economic prosperity directly enables healthcare improvements and better living standards.</w:t>
      </w:r>
    </w:p>
    <w:p w14:paraId="3E2AEF7B" w14:textId="77777777" w:rsidR="003D7139" w:rsidRPr="00044343" w:rsidRDefault="00000000">
      <w:pPr>
        <w:spacing w:before="120" w:after="120"/>
        <w:jc w:val="center"/>
      </w:pPr>
      <w:r w:rsidRPr="00044343">
        <w:rPr>
          <w:noProof/>
        </w:rPr>
        <w:drawing>
          <wp:inline distT="0" distB="0" distL="0" distR="0" wp14:anchorId="26A6710E" wp14:editId="53E7DA03">
            <wp:extent cx="5135880" cy="3081527"/>
            <wp:effectExtent l="0" t="0" r="7620" b="5080"/>
            <wp:docPr id="1405620350" name="Chart2" descr="Life expectancy and GDP per capita trends" title="Life Expectancy vs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69576" cy="3101744"/>
                    </a:xfrm>
                    <a:prstGeom prst="rect">
                      <a:avLst/>
                    </a:prstGeom>
                  </pic:spPr>
                </pic:pic>
              </a:graphicData>
            </a:graphic>
          </wp:inline>
        </w:drawing>
      </w:r>
    </w:p>
    <w:p w14:paraId="1032233E" w14:textId="77777777" w:rsidR="003D7139" w:rsidRPr="00044343" w:rsidRDefault="00000000">
      <w:pPr>
        <w:spacing w:after="240"/>
        <w:jc w:val="center"/>
      </w:pPr>
      <w:r w:rsidRPr="00044343">
        <w:rPr>
          <w:i/>
          <w:iCs/>
          <w:sz w:val="20"/>
          <w:szCs w:val="20"/>
        </w:rPr>
        <w:t>Figure 2: Standardized Life Expectancy vs GDP per Capita in Luxembourg</w:t>
      </w:r>
    </w:p>
    <w:p w14:paraId="6E7EC807" w14:textId="77777777" w:rsidR="003D7139" w:rsidRPr="00044343" w:rsidRDefault="00000000">
      <w:pPr>
        <w:pStyle w:val="Heading2"/>
        <w:rPr>
          <w:color w:val="auto"/>
        </w:rPr>
      </w:pPr>
      <w:r w:rsidRPr="00044343">
        <w:rPr>
          <w:color w:val="auto"/>
        </w:rPr>
        <w:lastRenderedPageBreak/>
        <w:t>3.3 Research Question 3: Unemployment and Emigration</w:t>
      </w:r>
    </w:p>
    <w:p w14:paraId="10CCB1D4" w14:textId="5CED08B9" w:rsidR="003D7139" w:rsidRPr="00044343" w:rsidRDefault="00000000">
      <w:pPr>
        <w:spacing w:after="180"/>
      </w:pPr>
      <w:r w:rsidRPr="00044343">
        <w:t xml:space="preserve">After </w:t>
      </w:r>
      <w:r w:rsidR="005A68C6" w:rsidRPr="00044343">
        <w:t>controlling</w:t>
      </w:r>
      <w:r w:rsidRPr="00044343">
        <w:t xml:space="preserve"> population growth effects, a negative correlation emerges between unemployment and emigration—contradicting conventional theory that unemployment drives emigration. Between 2010-2016, no visible correlation exists, suggesting effective population management. The inverted relationship may reflect Luxembourg's unique position: during downturns, fewer people emigrate because alternative destinations face similar conditions.</w:t>
      </w:r>
    </w:p>
    <w:p w14:paraId="17CEBA1B" w14:textId="77777777" w:rsidR="003D7139" w:rsidRPr="00044343" w:rsidRDefault="00000000">
      <w:pPr>
        <w:spacing w:before="120" w:after="120"/>
        <w:jc w:val="center"/>
      </w:pPr>
      <w:r w:rsidRPr="00044343">
        <w:rPr>
          <w:noProof/>
        </w:rPr>
        <w:drawing>
          <wp:inline distT="0" distB="0" distL="0" distR="0" wp14:anchorId="2C254CA1" wp14:editId="5629311B">
            <wp:extent cx="5722620" cy="3433572"/>
            <wp:effectExtent l="0" t="0" r="0" b="0"/>
            <wp:docPr id="414633414" name="Chart3" descr="Unemployment and emigration patterns" title="Unemployment vs E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23678" cy="3434207"/>
                    </a:xfrm>
                    <a:prstGeom prst="rect">
                      <a:avLst/>
                    </a:prstGeom>
                  </pic:spPr>
                </pic:pic>
              </a:graphicData>
            </a:graphic>
          </wp:inline>
        </w:drawing>
      </w:r>
    </w:p>
    <w:p w14:paraId="042EC36D" w14:textId="711F8A1D" w:rsidR="003D7139" w:rsidRPr="00044343" w:rsidRDefault="00000000" w:rsidP="00CB59DA">
      <w:pPr>
        <w:spacing w:after="240"/>
        <w:jc w:val="center"/>
      </w:pPr>
      <w:r w:rsidRPr="00044343">
        <w:rPr>
          <w:i/>
          <w:iCs/>
          <w:sz w:val="20"/>
          <w:szCs w:val="20"/>
        </w:rPr>
        <w:t>Figure 3: Standardized Unemployment vs Emigration (Without Population Effect)</w:t>
      </w:r>
    </w:p>
    <w:p w14:paraId="110BE852" w14:textId="77777777" w:rsidR="003D7139" w:rsidRPr="00044343" w:rsidRDefault="00000000">
      <w:pPr>
        <w:pStyle w:val="Heading2"/>
        <w:rPr>
          <w:color w:val="auto"/>
        </w:rPr>
      </w:pPr>
      <w:r w:rsidRPr="00044343">
        <w:rPr>
          <w:color w:val="auto"/>
        </w:rPr>
        <w:t>3.4 Correlation Analysis</w:t>
      </w:r>
    </w:p>
    <w:p w14:paraId="10DC3C5A" w14:textId="77777777" w:rsidR="003D7139" w:rsidRPr="00044343" w:rsidRDefault="00000000">
      <w:pPr>
        <w:spacing w:after="180"/>
      </w:pPr>
      <w:r w:rsidRPr="00044343">
        <w:t>To better understand the relationships between indicators, both Pearson and Spearman correlation analyses were conducted. The correlation heatmaps below reveal several significant relationships beyond the three research questions.</w:t>
      </w:r>
    </w:p>
    <w:p w14:paraId="6C0402C3" w14:textId="77777777" w:rsidR="003D7139" w:rsidRPr="00044343" w:rsidRDefault="00000000">
      <w:pPr>
        <w:spacing w:before="120" w:after="120"/>
        <w:jc w:val="center"/>
      </w:pPr>
      <w:r w:rsidRPr="00044343">
        <w:rPr>
          <w:noProof/>
        </w:rPr>
        <w:drawing>
          <wp:inline distT="0" distB="0" distL="0" distR="0" wp14:anchorId="5B67C1EB" wp14:editId="3BC56675">
            <wp:extent cx="5715000" cy="2286000"/>
            <wp:effectExtent l="0" t="0" r="0" b="0"/>
            <wp:docPr id="353089318" name="Chart4" descr="Pearson and Spearman correlation matrices" title="Correlation Heat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86000"/>
                    </a:xfrm>
                    <a:prstGeom prst="rect">
                      <a:avLst/>
                    </a:prstGeom>
                  </pic:spPr>
                </pic:pic>
              </a:graphicData>
            </a:graphic>
          </wp:inline>
        </w:drawing>
      </w:r>
    </w:p>
    <w:p w14:paraId="70EAEA46" w14:textId="77777777" w:rsidR="003D7139" w:rsidRPr="00044343" w:rsidRDefault="00000000">
      <w:pPr>
        <w:spacing w:after="240"/>
        <w:jc w:val="center"/>
      </w:pPr>
      <w:r w:rsidRPr="00044343">
        <w:rPr>
          <w:i/>
          <w:iCs/>
          <w:sz w:val="20"/>
          <w:szCs w:val="20"/>
        </w:rPr>
        <w:t>Figure 4: Pearson and Spearman Correlation Heatmaps</w:t>
      </w:r>
    </w:p>
    <w:p w14:paraId="7F2A6DF2" w14:textId="77777777" w:rsidR="003D7139" w:rsidRPr="00044343" w:rsidRDefault="00000000">
      <w:pPr>
        <w:spacing w:after="180"/>
      </w:pPr>
      <w:r w:rsidRPr="00044343">
        <w:t xml:space="preserve">The correlation analysis reveals several key patterns. Strong positive correlations exist between life expectancy and GDP per capita (r = 0.95), unemployment and life expectancy (r = 0.85), and unemployment and GDP per capita (r = 0.77). These </w:t>
      </w:r>
      <w:r w:rsidRPr="00044343">
        <w:lastRenderedPageBreak/>
        <w:t>relationships are consistent across both Pearson and Spearman methods, indicating robust linear and monotonic relationships.</w:t>
      </w:r>
    </w:p>
    <w:p w14:paraId="19C8DA1F" w14:textId="77777777" w:rsidR="003D7139" w:rsidRPr="00044343" w:rsidRDefault="00000000">
      <w:pPr>
        <w:spacing w:before="120" w:after="120"/>
        <w:jc w:val="center"/>
      </w:pPr>
      <w:r w:rsidRPr="00044343">
        <w:rPr>
          <w:noProof/>
        </w:rPr>
        <w:drawing>
          <wp:inline distT="0" distB="0" distL="0" distR="0" wp14:anchorId="7D9121EE" wp14:editId="43CF9874">
            <wp:extent cx="5715000" cy="3238500"/>
            <wp:effectExtent l="0" t="0" r="0" b="0"/>
            <wp:docPr id="2127152207" name="Chart5" descr="Ranked correlation strengths" title="Correlation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14:paraId="49649ED1" w14:textId="77777777" w:rsidR="003D7139" w:rsidRPr="00044343" w:rsidRDefault="00000000">
      <w:pPr>
        <w:spacing w:after="240"/>
        <w:jc w:val="center"/>
      </w:pPr>
      <w:r w:rsidRPr="00044343">
        <w:rPr>
          <w:i/>
          <w:iCs/>
          <w:sz w:val="20"/>
          <w:szCs w:val="20"/>
        </w:rPr>
        <w:t>Figure 5: Correlation Strength Comparison (Pearson)</w:t>
      </w:r>
    </w:p>
    <w:p w14:paraId="342DA3AC" w14:textId="77777777" w:rsidR="003D7139" w:rsidRPr="00044343" w:rsidRDefault="00000000">
      <w:pPr>
        <w:spacing w:after="180"/>
      </w:pPr>
      <w:r w:rsidRPr="00044343">
        <w:t>The ranked correlation strength chart highlights the most significant relationships. Notably, the strongest correlations (above 0.80) include life expectancy with GDP per capita, unemployment with life expectancy and GDP per capita, and various indicators with population growth rate. Weaker correlations (green bars) involve inflation, which shows relatively independent behavior from other indicators.</w:t>
      </w:r>
    </w:p>
    <w:p w14:paraId="55ECDEF7" w14:textId="77777777" w:rsidR="003D7139" w:rsidRPr="00044343" w:rsidRDefault="00000000">
      <w:pPr>
        <w:pStyle w:val="Heading2"/>
        <w:rPr>
          <w:color w:val="auto"/>
        </w:rPr>
      </w:pPr>
      <w:r w:rsidRPr="00044343">
        <w:rPr>
          <w:color w:val="auto"/>
        </w:rPr>
        <w:t>3.5 Key Univariate Findings</w:t>
      </w:r>
    </w:p>
    <w:p w14:paraId="7B328FA1" w14:textId="77777777" w:rsidR="003D7139" w:rsidRPr="00044343" w:rsidRDefault="00000000">
      <w:pPr>
        <w:pStyle w:val="ListParagraph"/>
        <w:numPr>
          <w:ilvl w:val="0"/>
          <w:numId w:val="2"/>
        </w:numPr>
      </w:pPr>
      <w:r w:rsidRPr="00044343">
        <w:rPr>
          <w:b/>
          <w:bCs/>
        </w:rPr>
        <w:t xml:space="preserve">Inflation: </w:t>
      </w:r>
      <w:r w:rsidRPr="00044343">
        <w:t>Well-anchored around 2.3%, ranging from -1.6% to 10.3% (COVID spike). Stable target-tracking regime with crisis disruptions.</w:t>
      </w:r>
    </w:p>
    <w:p w14:paraId="5DBD14E3" w14:textId="77777777" w:rsidR="003D7139" w:rsidRPr="00044343" w:rsidRDefault="00000000">
      <w:pPr>
        <w:pStyle w:val="ListParagraph"/>
        <w:numPr>
          <w:ilvl w:val="0"/>
          <w:numId w:val="2"/>
        </w:numPr>
      </w:pPr>
      <w:r w:rsidRPr="00044343">
        <w:rPr>
          <w:b/>
          <w:bCs/>
        </w:rPr>
        <w:t xml:space="preserve">GDP Growth: </w:t>
      </w:r>
      <w:r w:rsidRPr="00044343">
        <w:t>Approximately 6-fold increase (3,781 to 22,941 million EUR). Near-normal distribution indicates stable, predictable expansion.</w:t>
      </w:r>
    </w:p>
    <w:p w14:paraId="39D73CFB" w14:textId="77777777" w:rsidR="003D7139" w:rsidRPr="00044343" w:rsidRDefault="00000000">
      <w:pPr>
        <w:pStyle w:val="ListParagraph"/>
        <w:numPr>
          <w:ilvl w:val="0"/>
          <w:numId w:val="2"/>
        </w:numPr>
      </w:pPr>
      <w:r w:rsidRPr="00044343">
        <w:rPr>
          <w:b/>
          <w:bCs/>
        </w:rPr>
        <w:t xml:space="preserve">Unemployment: </w:t>
      </w:r>
      <w:r w:rsidRPr="00044343">
        <w:t>Bimodal distribution with peaks at 2-3% (tight market) and 5-7% (crisis), suggesting two distinct labor market regimes.</w:t>
      </w:r>
    </w:p>
    <w:p w14:paraId="114B2DF9" w14:textId="77777777" w:rsidR="003D7139" w:rsidRPr="00044343" w:rsidRDefault="00000000">
      <w:pPr>
        <w:pStyle w:val="ListParagraph"/>
        <w:numPr>
          <w:ilvl w:val="0"/>
          <w:numId w:val="2"/>
        </w:numPr>
      </w:pPr>
      <w:r w:rsidRPr="00044343">
        <w:rPr>
          <w:b/>
          <w:bCs/>
        </w:rPr>
        <w:t xml:space="preserve">Demographics: </w:t>
      </w:r>
      <w:r w:rsidRPr="00044343">
        <w:t>Population grew 2.14-fold. Immigration (17,000/year) far exceeds emigration (10,000/year), driving growth.</w:t>
      </w:r>
    </w:p>
    <w:p w14:paraId="0E975F50" w14:textId="378FE444" w:rsidR="003D7139" w:rsidRPr="00044343" w:rsidRDefault="00000000" w:rsidP="00CB59DA">
      <w:pPr>
        <w:pStyle w:val="ListParagraph"/>
        <w:numPr>
          <w:ilvl w:val="0"/>
          <w:numId w:val="2"/>
        </w:numPr>
        <w:spacing w:after="180"/>
      </w:pPr>
      <w:r w:rsidRPr="00044343">
        <w:rPr>
          <w:b/>
          <w:bCs/>
        </w:rPr>
        <w:t xml:space="preserve">Life Expectancy: </w:t>
      </w:r>
      <w:r w:rsidRPr="00044343">
        <w:t>Stable at ~77 years with steady incremental improvements, demonstrating healthcare system resilience.</w:t>
      </w:r>
    </w:p>
    <w:p w14:paraId="603031BD" w14:textId="77777777" w:rsidR="003D7139" w:rsidRPr="00044343" w:rsidRDefault="00000000">
      <w:pPr>
        <w:pStyle w:val="Heading1"/>
        <w:rPr>
          <w:color w:val="auto"/>
        </w:rPr>
      </w:pPr>
      <w:r w:rsidRPr="00044343">
        <w:rPr>
          <w:color w:val="auto"/>
        </w:rPr>
        <w:t>4. Discussion</w:t>
      </w:r>
    </w:p>
    <w:p w14:paraId="33F109E9" w14:textId="77777777" w:rsidR="003D7139" w:rsidRPr="00044343" w:rsidRDefault="00000000">
      <w:pPr>
        <w:pStyle w:val="Heading2"/>
        <w:rPr>
          <w:color w:val="auto"/>
        </w:rPr>
      </w:pPr>
      <w:r w:rsidRPr="00044343">
        <w:rPr>
          <w:color w:val="auto"/>
        </w:rPr>
        <w:t>4.1 Key Implications</w:t>
      </w:r>
    </w:p>
    <w:p w14:paraId="4115F8DA" w14:textId="77777777" w:rsidR="003D7139" w:rsidRPr="00044343" w:rsidRDefault="00000000">
      <w:pPr>
        <w:spacing w:after="180"/>
      </w:pPr>
      <w:r w:rsidRPr="00044343">
        <w:t xml:space="preserve">Luxembourg's development model successfully translates economic growth into improved quality of life, evidenced by the exceptionally strong life expectancy-GDP correlation (r = 0.95). However, several concerns emerge from the correlation analysis. The positive correlation between </w:t>
      </w:r>
      <w:proofErr w:type="gramStart"/>
      <w:r w:rsidRPr="00044343">
        <w:t>GDP</w:t>
      </w:r>
      <w:proofErr w:type="gramEnd"/>
      <w:r w:rsidRPr="00044343">
        <w:t xml:space="preserve"> per capita and unemployment (r = 0.77) suggests 'jobless growth'—productivity gains not fully converting to employment. This pattern implies economic expansion driven by capital intensity and automation rather than labor absorption.</w:t>
      </w:r>
    </w:p>
    <w:p w14:paraId="02F8886F" w14:textId="77777777" w:rsidR="003D7139" w:rsidRPr="00044343" w:rsidRDefault="00000000">
      <w:pPr>
        <w:spacing w:after="180"/>
      </w:pPr>
      <w:r w:rsidRPr="00044343">
        <w:lastRenderedPageBreak/>
        <w:t>The positive GDP-emigration link (r = 0.77, based on per capita emigration rates) indicates potential brain drain during prosperity periods. Wealthier individuals possess greater resources for international mobility, creating a counterintuitive dynamic where economic success facilitates human capital outflow. The weak correlations between inflation and most other indicators (-0.27 to 0.14) suggest that inflation operates relatively independently, likely driven by external factors rather than domestic economic conditions—consistent with Luxembourg's position as a small, open economy highly integrated into European markets.</w:t>
      </w:r>
    </w:p>
    <w:p w14:paraId="1396B782" w14:textId="77777777" w:rsidR="003D7139" w:rsidRPr="00044343" w:rsidRDefault="00000000">
      <w:pPr>
        <w:spacing w:after="180"/>
      </w:pPr>
      <w:r w:rsidRPr="00044343">
        <w:t>The strong positive correlation between unemployment and life expectancy (r = 0.85) initially appears paradoxical but reflects healthcare system resilience and the temporal alignment of both variables with long-term development trends. Life expectancy improvements continue even during economic downturns because Luxembourg maintains healthcare investments during crises, demonstrating the value of counter-cyclical social spending.</w:t>
      </w:r>
    </w:p>
    <w:p w14:paraId="180ABE03" w14:textId="77777777" w:rsidR="003D7139" w:rsidRPr="00044343" w:rsidRDefault="00000000">
      <w:pPr>
        <w:pStyle w:val="Heading2"/>
        <w:rPr>
          <w:color w:val="auto"/>
        </w:rPr>
      </w:pPr>
      <w:r w:rsidRPr="00044343">
        <w:rPr>
          <w:color w:val="auto"/>
        </w:rPr>
        <w:t>4.2 Limitations</w:t>
      </w:r>
    </w:p>
    <w:p w14:paraId="6F284404" w14:textId="77777777" w:rsidR="003D7139" w:rsidRPr="00044343" w:rsidRDefault="00000000">
      <w:pPr>
        <w:pStyle w:val="ListParagraph"/>
        <w:numPr>
          <w:ilvl w:val="0"/>
          <w:numId w:val="2"/>
        </w:numPr>
      </w:pPr>
      <w:r w:rsidRPr="00044343">
        <w:rPr>
          <w:b/>
          <w:bCs/>
        </w:rPr>
        <w:t xml:space="preserve">Data Coverage: </w:t>
      </w:r>
      <w:r w:rsidRPr="00044343">
        <w:t>Insufficient historical data for job vacancies and housing prices limited comprehensive labor/housing analysis.</w:t>
      </w:r>
    </w:p>
    <w:p w14:paraId="76C63FDE" w14:textId="77777777" w:rsidR="003D7139" w:rsidRPr="00044343" w:rsidRDefault="00000000">
      <w:pPr>
        <w:pStyle w:val="ListParagraph"/>
        <w:numPr>
          <w:ilvl w:val="0"/>
          <w:numId w:val="2"/>
        </w:numPr>
      </w:pPr>
      <w:r w:rsidRPr="00044343">
        <w:rPr>
          <w:b/>
          <w:bCs/>
        </w:rPr>
        <w:t xml:space="preserve">Causality: </w:t>
      </w:r>
      <w:r w:rsidRPr="00044343">
        <w:t>All findings are correlational; causal mechanisms require econometric modeling with appropriate controls.</w:t>
      </w:r>
    </w:p>
    <w:p w14:paraId="2E8D0F93" w14:textId="77777777" w:rsidR="003D7139" w:rsidRPr="00044343" w:rsidRDefault="00000000">
      <w:pPr>
        <w:pStyle w:val="ListParagraph"/>
        <w:numPr>
          <w:ilvl w:val="0"/>
          <w:numId w:val="2"/>
        </w:numPr>
      </w:pPr>
      <w:r w:rsidRPr="00044343">
        <w:rPr>
          <w:b/>
          <w:bCs/>
        </w:rPr>
        <w:t xml:space="preserve">Omitted Variables: </w:t>
      </w:r>
      <w:r w:rsidRPr="00044343">
        <w:t>Education quality, technology, policy interventions not directly measured but likely influential.</w:t>
      </w:r>
    </w:p>
    <w:p w14:paraId="749B51D7" w14:textId="48A04501" w:rsidR="003D7139" w:rsidRPr="00044343" w:rsidRDefault="00000000">
      <w:pPr>
        <w:pStyle w:val="ListParagraph"/>
        <w:numPr>
          <w:ilvl w:val="0"/>
          <w:numId w:val="2"/>
        </w:numPr>
        <w:spacing w:after="180"/>
      </w:pPr>
      <w:r w:rsidRPr="00044343">
        <w:rPr>
          <w:b/>
          <w:bCs/>
        </w:rPr>
        <w:t xml:space="preserve">Generalizability: </w:t>
      </w:r>
      <w:r w:rsidRPr="00044343">
        <w:t>Luxembourg's unique characteristics (financial center, small size, high immigration) limit broader applicability.</w:t>
      </w:r>
    </w:p>
    <w:p w14:paraId="059FA456" w14:textId="77777777" w:rsidR="003D7139" w:rsidRPr="00044343" w:rsidRDefault="00000000">
      <w:pPr>
        <w:pStyle w:val="Heading2"/>
        <w:rPr>
          <w:color w:val="auto"/>
        </w:rPr>
      </w:pPr>
      <w:r w:rsidRPr="00044343">
        <w:rPr>
          <w:color w:val="auto"/>
        </w:rPr>
        <w:t>4.3 Future Research</w:t>
      </w:r>
    </w:p>
    <w:p w14:paraId="58703B33" w14:textId="77777777" w:rsidR="003D7139" w:rsidRPr="00044343" w:rsidRDefault="00000000">
      <w:pPr>
        <w:spacing w:after="120"/>
      </w:pPr>
      <w:r w:rsidRPr="00044343">
        <w:t>Future studies should employ causal analysis techniques (VAR, Granger causality), formal structural break testing around crisis periods, sectoral decomposition to understand differential impacts, distributional analysis examining inequality trends, comparative studies with similar small economies (Switzerland, Netherlands), and incorporation of quality-of-life indicators beyond GDP. Particular attention should be paid to the mechanisms behind jobless growth and strategies to ensure prosperity translates into employment opportunities.</w:t>
      </w:r>
    </w:p>
    <w:p w14:paraId="649C0A10" w14:textId="77777777" w:rsidR="003D7139" w:rsidRPr="00044343" w:rsidRDefault="00000000">
      <w:pPr>
        <w:pStyle w:val="Heading1"/>
        <w:rPr>
          <w:color w:val="auto"/>
        </w:rPr>
      </w:pPr>
      <w:r w:rsidRPr="00044343">
        <w:rPr>
          <w:color w:val="auto"/>
        </w:rPr>
        <w:t>5. Conclusion</w:t>
      </w:r>
    </w:p>
    <w:p w14:paraId="513AEF4A" w14:textId="77777777" w:rsidR="003D7139" w:rsidRPr="00044343" w:rsidRDefault="00000000">
      <w:pPr>
        <w:spacing w:after="180"/>
      </w:pPr>
      <w:r w:rsidRPr="00044343">
        <w:t>This analysis reveals Luxembourg as a nation achieving exceptional economic growth while maintaining strong social outcomes. The three research questions yielded important insights: inflation-unemployment relationships exist but vary temporally; economic prosperity strongly correlates with health improvements (r = 0.95); and unemployment-emigration patterns defy conventional theory, reflecting Luxembourg's unique economic position.</w:t>
      </w:r>
    </w:p>
    <w:p w14:paraId="5CFABDCD" w14:textId="77777777" w:rsidR="003D7139" w:rsidRPr="00044343" w:rsidRDefault="00000000">
      <w:pPr>
        <w:spacing w:after="180"/>
      </w:pPr>
      <w:r w:rsidRPr="00044343">
        <w:t xml:space="preserve">The comprehensive correlation analysis uncovered additional critical relationships. Most notably, the positive correlations between </w:t>
      </w:r>
      <w:proofErr w:type="gramStart"/>
      <w:r w:rsidRPr="00044343">
        <w:t>GDP</w:t>
      </w:r>
      <w:proofErr w:type="gramEnd"/>
      <w:r w:rsidRPr="00044343">
        <w:t xml:space="preserve"> per capita and both unemployment (r = 0.77) and emigration rate (r = 0.77) raise sustainability concerns about Luxembourg's growth model. These patterns suggest economic expansion may not be creating sufficient employment opportunities and could be facilitating human capital outflow—two challenges that warrant immediate policy attention.</w:t>
      </w:r>
    </w:p>
    <w:p w14:paraId="1A504C19" w14:textId="77777777" w:rsidR="003D7139" w:rsidRPr="00044343" w:rsidRDefault="00000000">
      <w:pPr>
        <w:spacing w:after="180"/>
      </w:pPr>
      <w:r w:rsidRPr="00044343">
        <w:t xml:space="preserve">Key findings include remarkable GDP growth (6-fold increase), bimodal unemployment distribution suggesting distinct economic regimes, population growth driven by immigration exceeding emigration, and resilient life expectancy </w:t>
      </w:r>
      <w:r w:rsidRPr="00044343">
        <w:lastRenderedPageBreak/>
        <w:t>improvements even during crises. The weak correlations between inflation and other indicators (-0.27 to 0.14) confirm that inflation in Luxembourg is primarily driven by external factors rather than domestic conditions.</w:t>
      </w:r>
    </w:p>
    <w:p w14:paraId="158420C5" w14:textId="77777777" w:rsidR="003D7139" w:rsidRPr="00044343" w:rsidRDefault="00000000">
      <w:pPr>
        <w:spacing w:after="180"/>
      </w:pPr>
      <w:r w:rsidRPr="00044343">
        <w:t>Luxembourg demonstrates that small economies can thrive globally by leveraging strategic advantages, but sustainability requires addressing employment quality, managing demographic pressures from high immigration, and ensuring growth translates into broadly shared prosperity. The visualization of correlation strengths provides clear priorities for policymakers: strengthening the employment-growth link, managing emigration of skilled workers, and maintaining the proven connection between economic prosperity and health outcomes.</w:t>
      </w:r>
    </w:p>
    <w:p w14:paraId="08E9D633" w14:textId="77777777" w:rsidR="003D7139" w:rsidRPr="00044343" w:rsidRDefault="00000000">
      <w:pPr>
        <w:spacing w:after="240"/>
      </w:pPr>
      <w:r w:rsidRPr="00044343">
        <w:t>While this exploratory analysis has limitations in establishing causality, it provides a robust empirical foundation through multiple analytical lenses—time series patterns, bivariate relationships, and comprehensive correlation matrices. The patterns identified provide benchmarks for future evaluation and evidence for policy design, particularly around the productivity-employment disconnect and the complex interplay between prosperity, migration, and labor markets in small, open economies.</w:t>
      </w:r>
    </w:p>
    <w:p w14:paraId="0DCB1196" w14:textId="77777777" w:rsidR="003D7139" w:rsidRPr="00044343" w:rsidRDefault="00000000">
      <w:r w:rsidRPr="00044343">
        <w:br w:type="page"/>
      </w:r>
    </w:p>
    <w:p w14:paraId="426E5DAA" w14:textId="77777777" w:rsidR="003D7139" w:rsidRPr="00044343" w:rsidRDefault="00000000">
      <w:pPr>
        <w:pStyle w:val="Heading1"/>
        <w:rPr>
          <w:color w:val="auto"/>
        </w:rPr>
      </w:pPr>
      <w:r w:rsidRPr="00044343">
        <w:rPr>
          <w:color w:val="auto"/>
        </w:rPr>
        <w:lastRenderedPageBreak/>
        <w:t>Appendix: Indicator Specifications</w:t>
      </w:r>
    </w:p>
    <w:p w14:paraId="1F0C291D" w14:textId="77777777" w:rsidR="003D7139" w:rsidRPr="00044343" w:rsidRDefault="00000000">
      <w:pPr>
        <w:spacing w:before="120" w:after="120"/>
      </w:pPr>
      <w:r w:rsidRPr="00044343">
        <w:rPr>
          <w:b/>
          <w:bCs/>
          <w:sz w:val="26"/>
          <w:szCs w:val="26"/>
        </w:rPr>
        <w:t>Economic Indicators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516"/>
        <w:gridCol w:w="2438"/>
        <w:gridCol w:w="2052"/>
        <w:gridCol w:w="2018"/>
      </w:tblGrid>
      <w:tr w:rsidR="00044343" w:rsidRPr="00044343" w14:paraId="0446700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34495E"/>
          </w:tcPr>
          <w:p w14:paraId="3091F5A8" w14:textId="77777777" w:rsidR="003D7139" w:rsidRPr="00044343" w:rsidRDefault="00000000">
            <w:pPr>
              <w:jc w:val="center"/>
            </w:pPr>
            <w:r w:rsidRPr="00044343">
              <w:rPr>
                <w:b/>
                <w:bCs/>
                <w:sz w:val="20"/>
                <w:szCs w:val="20"/>
              </w:rPr>
              <w:t>Indicator</w:t>
            </w:r>
          </w:p>
        </w:tc>
        <w:tc>
          <w:tcPr>
            <w:tcW w:w="2500" w:type="dxa"/>
            <w:tcBorders>
              <w:top w:val="single" w:sz="1" w:space="0" w:color="CCCCCC"/>
              <w:left w:val="single" w:sz="1" w:space="0" w:color="CCCCCC"/>
              <w:bottom w:val="single" w:sz="1" w:space="0" w:color="CCCCCC"/>
              <w:right w:val="single" w:sz="1" w:space="0" w:color="CCCCCC"/>
            </w:tcBorders>
            <w:shd w:val="clear" w:color="auto" w:fill="34495E"/>
          </w:tcPr>
          <w:p w14:paraId="6A8A09BE" w14:textId="77777777" w:rsidR="003D7139" w:rsidRPr="00044343" w:rsidRDefault="00000000">
            <w:pPr>
              <w:jc w:val="center"/>
            </w:pPr>
            <w:r w:rsidRPr="00044343">
              <w:rPr>
                <w:b/>
                <w:bCs/>
                <w:sz w:val="20"/>
                <w:szCs w:val="20"/>
              </w:rPr>
              <w:t>Code</w:t>
            </w:r>
          </w:p>
        </w:tc>
        <w:tc>
          <w:tcPr>
            <w:tcW w:w="2130" w:type="dxa"/>
            <w:tcBorders>
              <w:top w:val="single" w:sz="1" w:space="0" w:color="CCCCCC"/>
              <w:left w:val="single" w:sz="1" w:space="0" w:color="CCCCCC"/>
              <w:bottom w:val="single" w:sz="1" w:space="0" w:color="CCCCCC"/>
              <w:right w:val="single" w:sz="1" w:space="0" w:color="CCCCCC"/>
            </w:tcBorders>
            <w:shd w:val="clear" w:color="auto" w:fill="34495E"/>
          </w:tcPr>
          <w:p w14:paraId="4CA4A473" w14:textId="77777777" w:rsidR="003D7139" w:rsidRPr="00044343" w:rsidRDefault="00000000">
            <w:pPr>
              <w:jc w:val="center"/>
            </w:pPr>
            <w:r w:rsidRPr="00044343">
              <w:rPr>
                <w:b/>
                <w:bCs/>
                <w:sz w:val="20"/>
                <w:szCs w:val="20"/>
              </w:rPr>
              <w:t>Frequency</w:t>
            </w:r>
          </w:p>
        </w:tc>
        <w:tc>
          <w:tcPr>
            <w:tcW w:w="2130" w:type="dxa"/>
            <w:tcBorders>
              <w:top w:val="single" w:sz="1" w:space="0" w:color="CCCCCC"/>
              <w:left w:val="single" w:sz="1" w:space="0" w:color="CCCCCC"/>
              <w:bottom w:val="single" w:sz="1" w:space="0" w:color="CCCCCC"/>
              <w:right w:val="single" w:sz="1" w:space="0" w:color="CCCCCC"/>
            </w:tcBorders>
            <w:shd w:val="clear" w:color="auto" w:fill="34495E"/>
          </w:tcPr>
          <w:p w14:paraId="6345B53A" w14:textId="77777777" w:rsidR="003D7139" w:rsidRPr="00044343" w:rsidRDefault="00000000">
            <w:pPr>
              <w:jc w:val="center"/>
            </w:pPr>
            <w:r w:rsidRPr="00044343">
              <w:rPr>
                <w:b/>
                <w:bCs/>
                <w:sz w:val="20"/>
                <w:szCs w:val="20"/>
              </w:rPr>
              <w:t>Unit</w:t>
            </w:r>
          </w:p>
        </w:tc>
      </w:tr>
      <w:tr w:rsidR="00044343" w:rsidRPr="00044343" w14:paraId="0417509F" w14:textId="77777777">
        <w:tc>
          <w:tcPr>
            <w:tcW w:w="2600" w:type="dxa"/>
            <w:tcBorders>
              <w:top w:val="single" w:sz="1" w:space="0" w:color="CCCCCC"/>
              <w:left w:val="single" w:sz="1" w:space="0" w:color="CCCCCC"/>
              <w:bottom w:val="single" w:sz="1" w:space="0" w:color="CCCCCC"/>
              <w:right w:val="single" w:sz="1" w:space="0" w:color="CCCCCC"/>
            </w:tcBorders>
          </w:tcPr>
          <w:p w14:paraId="1D447CFC" w14:textId="77777777" w:rsidR="003D7139" w:rsidRPr="00044343" w:rsidRDefault="00000000">
            <w:r w:rsidRPr="00044343">
              <w:t>Inflation (HICP)</w:t>
            </w:r>
          </w:p>
        </w:tc>
        <w:tc>
          <w:tcPr>
            <w:tcW w:w="2500" w:type="dxa"/>
            <w:tcBorders>
              <w:top w:val="single" w:sz="1" w:space="0" w:color="CCCCCC"/>
              <w:left w:val="single" w:sz="1" w:space="0" w:color="CCCCCC"/>
              <w:bottom w:val="single" w:sz="1" w:space="0" w:color="CCCCCC"/>
              <w:right w:val="single" w:sz="1" w:space="0" w:color="CCCCCC"/>
            </w:tcBorders>
          </w:tcPr>
          <w:p w14:paraId="677B8B1D" w14:textId="77777777" w:rsidR="003D7139" w:rsidRPr="00044343" w:rsidRDefault="00000000">
            <w:proofErr w:type="spellStart"/>
            <w:r w:rsidRPr="00044343">
              <w:t>ei_cphi_m</w:t>
            </w:r>
            <w:proofErr w:type="spellEnd"/>
          </w:p>
        </w:tc>
        <w:tc>
          <w:tcPr>
            <w:tcW w:w="2130" w:type="dxa"/>
            <w:tcBorders>
              <w:top w:val="single" w:sz="1" w:space="0" w:color="CCCCCC"/>
              <w:left w:val="single" w:sz="1" w:space="0" w:color="CCCCCC"/>
              <w:bottom w:val="single" w:sz="1" w:space="0" w:color="CCCCCC"/>
              <w:right w:val="single" w:sz="1" w:space="0" w:color="CCCCCC"/>
            </w:tcBorders>
          </w:tcPr>
          <w:p w14:paraId="0994C0E3" w14:textId="77777777" w:rsidR="003D7139" w:rsidRPr="00044343" w:rsidRDefault="00000000">
            <w:pPr>
              <w:jc w:val="center"/>
            </w:pPr>
            <w:r w:rsidRPr="00044343">
              <w:t>Monthly</w:t>
            </w:r>
          </w:p>
        </w:tc>
        <w:tc>
          <w:tcPr>
            <w:tcW w:w="2130" w:type="dxa"/>
            <w:tcBorders>
              <w:top w:val="single" w:sz="1" w:space="0" w:color="CCCCCC"/>
              <w:left w:val="single" w:sz="1" w:space="0" w:color="CCCCCC"/>
              <w:bottom w:val="single" w:sz="1" w:space="0" w:color="CCCCCC"/>
              <w:right w:val="single" w:sz="1" w:space="0" w:color="CCCCCC"/>
            </w:tcBorders>
          </w:tcPr>
          <w:p w14:paraId="2AB886C7" w14:textId="77777777" w:rsidR="003D7139" w:rsidRPr="00044343" w:rsidRDefault="00000000">
            <w:r w:rsidRPr="00044343">
              <w:t>Rate (t/t-12)</w:t>
            </w:r>
          </w:p>
        </w:tc>
      </w:tr>
      <w:tr w:rsidR="00044343" w:rsidRPr="00044343" w14:paraId="478F0D3C" w14:textId="77777777">
        <w:tc>
          <w:tcPr>
            <w:tcW w:w="2600" w:type="dxa"/>
            <w:tcBorders>
              <w:top w:val="single" w:sz="1" w:space="0" w:color="CCCCCC"/>
              <w:left w:val="single" w:sz="1" w:space="0" w:color="CCCCCC"/>
              <w:bottom w:val="single" w:sz="1" w:space="0" w:color="CCCCCC"/>
              <w:right w:val="single" w:sz="1" w:space="0" w:color="CCCCCC"/>
            </w:tcBorders>
          </w:tcPr>
          <w:p w14:paraId="0D7C8C74" w14:textId="77777777" w:rsidR="003D7139" w:rsidRPr="00044343" w:rsidRDefault="00000000">
            <w:r w:rsidRPr="00044343">
              <w:t>GDP</w:t>
            </w:r>
          </w:p>
        </w:tc>
        <w:tc>
          <w:tcPr>
            <w:tcW w:w="2500" w:type="dxa"/>
            <w:tcBorders>
              <w:top w:val="single" w:sz="1" w:space="0" w:color="CCCCCC"/>
              <w:left w:val="single" w:sz="1" w:space="0" w:color="CCCCCC"/>
              <w:bottom w:val="single" w:sz="1" w:space="0" w:color="CCCCCC"/>
              <w:right w:val="single" w:sz="1" w:space="0" w:color="CCCCCC"/>
            </w:tcBorders>
          </w:tcPr>
          <w:p w14:paraId="7E24E374" w14:textId="77777777" w:rsidR="003D7139" w:rsidRPr="00044343" w:rsidRDefault="00000000">
            <w:r w:rsidRPr="00044343">
              <w:t>namq_10_gdp</w:t>
            </w:r>
          </w:p>
        </w:tc>
        <w:tc>
          <w:tcPr>
            <w:tcW w:w="2130" w:type="dxa"/>
            <w:tcBorders>
              <w:top w:val="single" w:sz="1" w:space="0" w:color="CCCCCC"/>
              <w:left w:val="single" w:sz="1" w:space="0" w:color="CCCCCC"/>
              <w:bottom w:val="single" w:sz="1" w:space="0" w:color="CCCCCC"/>
              <w:right w:val="single" w:sz="1" w:space="0" w:color="CCCCCC"/>
            </w:tcBorders>
          </w:tcPr>
          <w:p w14:paraId="6836C483" w14:textId="77777777" w:rsidR="003D7139" w:rsidRPr="00044343" w:rsidRDefault="00000000">
            <w:pPr>
              <w:jc w:val="center"/>
            </w:pPr>
            <w:r w:rsidRPr="00044343">
              <w:t>Quarterly</w:t>
            </w:r>
          </w:p>
        </w:tc>
        <w:tc>
          <w:tcPr>
            <w:tcW w:w="2130" w:type="dxa"/>
            <w:tcBorders>
              <w:top w:val="single" w:sz="1" w:space="0" w:color="CCCCCC"/>
              <w:left w:val="single" w:sz="1" w:space="0" w:color="CCCCCC"/>
              <w:bottom w:val="single" w:sz="1" w:space="0" w:color="CCCCCC"/>
              <w:right w:val="single" w:sz="1" w:space="0" w:color="CCCCCC"/>
            </w:tcBorders>
          </w:tcPr>
          <w:p w14:paraId="181DBAAC" w14:textId="77777777" w:rsidR="003D7139" w:rsidRPr="00044343" w:rsidRDefault="00000000">
            <w:r w:rsidRPr="00044343">
              <w:t>Million EUR</w:t>
            </w:r>
          </w:p>
        </w:tc>
      </w:tr>
      <w:tr w:rsidR="00044343" w:rsidRPr="00044343" w14:paraId="0F912129" w14:textId="77777777">
        <w:tc>
          <w:tcPr>
            <w:tcW w:w="2600" w:type="dxa"/>
            <w:tcBorders>
              <w:top w:val="single" w:sz="1" w:space="0" w:color="CCCCCC"/>
              <w:left w:val="single" w:sz="1" w:space="0" w:color="CCCCCC"/>
              <w:bottom w:val="single" w:sz="1" w:space="0" w:color="CCCCCC"/>
              <w:right w:val="single" w:sz="1" w:space="0" w:color="CCCCCC"/>
            </w:tcBorders>
          </w:tcPr>
          <w:p w14:paraId="55FB8BD7" w14:textId="77777777" w:rsidR="003D7139" w:rsidRPr="00044343" w:rsidRDefault="00000000">
            <w:r w:rsidRPr="00044343">
              <w:t>Final Consumption</w:t>
            </w:r>
          </w:p>
        </w:tc>
        <w:tc>
          <w:tcPr>
            <w:tcW w:w="2500" w:type="dxa"/>
            <w:tcBorders>
              <w:top w:val="single" w:sz="1" w:space="0" w:color="CCCCCC"/>
              <w:left w:val="single" w:sz="1" w:space="0" w:color="CCCCCC"/>
              <w:bottom w:val="single" w:sz="1" w:space="0" w:color="CCCCCC"/>
              <w:right w:val="single" w:sz="1" w:space="0" w:color="CCCCCC"/>
            </w:tcBorders>
          </w:tcPr>
          <w:p w14:paraId="2E30972A" w14:textId="77777777" w:rsidR="003D7139" w:rsidRPr="00044343" w:rsidRDefault="00000000">
            <w:r w:rsidRPr="00044343">
              <w:t>nasa_10_nf_tr</w:t>
            </w:r>
          </w:p>
        </w:tc>
        <w:tc>
          <w:tcPr>
            <w:tcW w:w="2130" w:type="dxa"/>
            <w:tcBorders>
              <w:top w:val="single" w:sz="1" w:space="0" w:color="CCCCCC"/>
              <w:left w:val="single" w:sz="1" w:space="0" w:color="CCCCCC"/>
              <w:bottom w:val="single" w:sz="1" w:space="0" w:color="CCCCCC"/>
              <w:right w:val="single" w:sz="1" w:space="0" w:color="CCCCCC"/>
            </w:tcBorders>
          </w:tcPr>
          <w:p w14:paraId="1923FADB" w14:textId="77777777" w:rsidR="003D7139" w:rsidRPr="00044343" w:rsidRDefault="00000000">
            <w:pPr>
              <w:jc w:val="center"/>
            </w:pPr>
            <w:r w:rsidRPr="00044343">
              <w:t>Annual</w:t>
            </w:r>
          </w:p>
        </w:tc>
        <w:tc>
          <w:tcPr>
            <w:tcW w:w="2130" w:type="dxa"/>
            <w:tcBorders>
              <w:top w:val="single" w:sz="1" w:space="0" w:color="CCCCCC"/>
              <w:left w:val="single" w:sz="1" w:space="0" w:color="CCCCCC"/>
              <w:bottom w:val="single" w:sz="1" w:space="0" w:color="CCCCCC"/>
              <w:right w:val="single" w:sz="1" w:space="0" w:color="CCCCCC"/>
            </w:tcBorders>
          </w:tcPr>
          <w:p w14:paraId="145B59CF" w14:textId="77777777" w:rsidR="003D7139" w:rsidRPr="00044343" w:rsidRDefault="00000000">
            <w:r w:rsidRPr="00044343">
              <w:t>Million EUR</w:t>
            </w:r>
          </w:p>
        </w:tc>
      </w:tr>
      <w:tr w:rsidR="00044343" w:rsidRPr="00044343" w14:paraId="0D229DD8" w14:textId="77777777">
        <w:tc>
          <w:tcPr>
            <w:tcW w:w="2600" w:type="dxa"/>
            <w:tcBorders>
              <w:top w:val="single" w:sz="1" w:space="0" w:color="CCCCCC"/>
              <w:left w:val="single" w:sz="1" w:space="0" w:color="CCCCCC"/>
              <w:bottom w:val="single" w:sz="1" w:space="0" w:color="CCCCCC"/>
              <w:right w:val="single" w:sz="1" w:space="0" w:color="CCCCCC"/>
            </w:tcBorders>
          </w:tcPr>
          <w:p w14:paraId="4DB1D5E5" w14:textId="77777777" w:rsidR="003D7139" w:rsidRPr="00044343" w:rsidRDefault="00000000">
            <w:r w:rsidRPr="00044343">
              <w:t>Exports</w:t>
            </w:r>
          </w:p>
        </w:tc>
        <w:tc>
          <w:tcPr>
            <w:tcW w:w="2500" w:type="dxa"/>
            <w:tcBorders>
              <w:top w:val="single" w:sz="1" w:space="0" w:color="CCCCCC"/>
              <w:left w:val="single" w:sz="1" w:space="0" w:color="CCCCCC"/>
              <w:bottom w:val="single" w:sz="1" w:space="0" w:color="CCCCCC"/>
              <w:right w:val="single" w:sz="1" w:space="0" w:color="CCCCCC"/>
            </w:tcBorders>
          </w:tcPr>
          <w:p w14:paraId="3A678E47" w14:textId="77777777" w:rsidR="003D7139" w:rsidRPr="00044343" w:rsidRDefault="00000000">
            <w:r w:rsidRPr="00044343">
              <w:t>namq_10_exi</w:t>
            </w:r>
          </w:p>
        </w:tc>
        <w:tc>
          <w:tcPr>
            <w:tcW w:w="2130" w:type="dxa"/>
            <w:tcBorders>
              <w:top w:val="single" w:sz="1" w:space="0" w:color="CCCCCC"/>
              <w:left w:val="single" w:sz="1" w:space="0" w:color="CCCCCC"/>
              <w:bottom w:val="single" w:sz="1" w:space="0" w:color="CCCCCC"/>
              <w:right w:val="single" w:sz="1" w:space="0" w:color="CCCCCC"/>
            </w:tcBorders>
          </w:tcPr>
          <w:p w14:paraId="31CA1CB3" w14:textId="77777777" w:rsidR="003D7139" w:rsidRPr="00044343" w:rsidRDefault="00000000">
            <w:pPr>
              <w:jc w:val="center"/>
            </w:pPr>
            <w:r w:rsidRPr="00044343">
              <w:t>Quarterly</w:t>
            </w:r>
          </w:p>
        </w:tc>
        <w:tc>
          <w:tcPr>
            <w:tcW w:w="2130" w:type="dxa"/>
            <w:tcBorders>
              <w:top w:val="single" w:sz="1" w:space="0" w:color="CCCCCC"/>
              <w:left w:val="single" w:sz="1" w:space="0" w:color="CCCCCC"/>
              <w:bottom w:val="single" w:sz="1" w:space="0" w:color="CCCCCC"/>
              <w:right w:val="single" w:sz="1" w:space="0" w:color="CCCCCC"/>
            </w:tcBorders>
          </w:tcPr>
          <w:p w14:paraId="31BBCFE0" w14:textId="77777777" w:rsidR="003D7139" w:rsidRPr="00044343" w:rsidRDefault="00000000">
            <w:r w:rsidRPr="00044343">
              <w:t>Million EUR</w:t>
            </w:r>
          </w:p>
        </w:tc>
      </w:tr>
      <w:tr w:rsidR="00044343" w:rsidRPr="00044343" w14:paraId="08FB8365" w14:textId="77777777">
        <w:tc>
          <w:tcPr>
            <w:tcW w:w="2600" w:type="dxa"/>
            <w:tcBorders>
              <w:top w:val="single" w:sz="1" w:space="0" w:color="CCCCCC"/>
              <w:left w:val="single" w:sz="1" w:space="0" w:color="CCCCCC"/>
              <w:bottom w:val="single" w:sz="1" w:space="0" w:color="CCCCCC"/>
              <w:right w:val="single" w:sz="1" w:space="0" w:color="CCCCCC"/>
            </w:tcBorders>
          </w:tcPr>
          <w:p w14:paraId="040E164E" w14:textId="77777777" w:rsidR="003D7139" w:rsidRPr="00044343" w:rsidRDefault="00000000">
            <w:r w:rsidRPr="00044343">
              <w:t>Imports</w:t>
            </w:r>
          </w:p>
        </w:tc>
        <w:tc>
          <w:tcPr>
            <w:tcW w:w="2500" w:type="dxa"/>
            <w:tcBorders>
              <w:top w:val="single" w:sz="1" w:space="0" w:color="CCCCCC"/>
              <w:left w:val="single" w:sz="1" w:space="0" w:color="CCCCCC"/>
              <w:bottom w:val="single" w:sz="1" w:space="0" w:color="CCCCCC"/>
              <w:right w:val="single" w:sz="1" w:space="0" w:color="CCCCCC"/>
            </w:tcBorders>
          </w:tcPr>
          <w:p w14:paraId="2B7A4F9B" w14:textId="77777777" w:rsidR="003D7139" w:rsidRPr="00044343" w:rsidRDefault="00000000">
            <w:r w:rsidRPr="00044343">
              <w:t>namq_10_exi</w:t>
            </w:r>
          </w:p>
        </w:tc>
        <w:tc>
          <w:tcPr>
            <w:tcW w:w="2130" w:type="dxa"/>
            <w:tcBorders>
              <w:top w:val="single" w:sz="1" w:space="0" w:color="CCCCCC"/>
              <w:left w:val="single" w:sz="1" w:space="0" w:color="CCCCCC"/>
              <w:bottom w:val="single" w:sz="1" w:space="0" w:color="CCCCCC"/>
              <w:right w:val="single" w:sz="1" w:space="0" w:color="CCCCCC"/>
            </w:tcBorders>
          </w:tcPr>
          <w:p w14:paraId="0E4CB9AA" w14:textId="77777777" w:rsidR="003D7139" w:rsidRPr="00044343" w:rsidRDefault="00000000">
            <w:pPr>
              <w:jc w:val="center"/>
            </w:pPr>
            <w:r w:rsidRPr="00044343">
              <w:t>Quarterly</w:t>
            </w:r>
          </w:p>
        </w:tc>
        <w:tc>
          <w:tcPr>
            <w:tcW w:w="2130" w:type="dxa"/>
            <w:tcBorders>
              <w:top w:val="single" w:sz="1" w:space="0" w:color="CCCCCC"/>
              <w:left w:val="single" w:sz="1" w:space="0" w:color="CCCCCC"/>
              <w:bottom w:val="single" w:sz="1" w:space="0" w:color="CCCCCC"/>
              <w:right w:val="single" w:sz="1" w:space="0" w:color="CCCCCC"/>
            </w:tcBorders>
          </w:tcPr>
          <w:p w14:paraId="307B65C2" w14:textId="77777777" w:rsidR="003D7139" w:rsidRPr="00044343" w:rsidRDefault="00000000">
            <w:r w:rsidRPr="00044343">
              <w:t>Million EUR</w:t>
            </w:r>
          </w:p>
        </w:tc>
      </w:tr>
      <w:tr w:rsidR="00044343" w:rsidRPr="00044343" w14:paraId="19ABA75E" w14:textId="77777777">
        <w:tc>
          <w:tcPr>
            <w:tcW w:w="2600" w:type="dxa"/>
            <w:tcBorders>
              <w:top w:val="single" w:sz="1" w:space="0" w:color="CCCCCC"/>
              <w:left w:val="single" w:sz="1" w:space="0" w:color="CCCCCC"/>
              <w:bottom w:val="single" w:sz="1" w:space="0" w:color="CCCCCC"/>
              <w:right w:val="single" w:sz="1" w:space="0" w:color="CCCCCC"/>
            </w:tcBorders>
          </w:tcPr>
          <w:p w14:paraId="33EC6AD8" w14:textId="77777777" w:rsidR="003D7139" w:rsidRPr="00044343" w:rsidRDefault="00000000">
            <w:r w:rsidRPr="00044343">
              <w:t>Current Account</w:t>
            </w:r>
          </w:p>
        </w:tc>
        <w:tc>
          <w:tcPr>
            <w:tcW w:w="2500" w:type="dxa"/>
            <w:tcBorders>
              <w:top w:val="single" w:sz="1" w:space="0" w:color="CCCCCC"/>
              <w:left w:val="single" w:sz="1" w:space="0" w:color="CCCCCC"/>
              <w:bottom w:val="single" w:sz="1" w:space="0" w:color="CCCCCC"/>
              <w:right w:val="single" w:sz="1" w:space="0" w:color="CCCCCC"/>
            </w:tcBorders>
          </w:tcPr>
          <w:p w14:paraId="0FCBC04E" w14:textId="77777777" w:rsidR="003D7139" w:rsidRPr="00044343" w:rsidRDefault="00000000">
            <w:r w:rsidRPr="00044343">
              <w:t>tipsbp40</w:t>
            </w:r>
          </w:p>
        </w:tc>
        <w:tc>
          <w:tcPr>
            <w:tcW w:w="2130" w:type="dxa"/>
            <w:tcBorders>
              <w:top w:val="single" w:sz="1" w:space="0" w:color="CCCCCC"/>
              <w:left w:val="single" w:sz="1" w:space="0" w:color="CCCCCC"/>
              <w:bottom w:val="single" w:sz="1" w:space="0" w:color="CCCCCC"/>
              <w:right w:val="single" w:sz="1" w:space="0" w:color="CCCCCC"/>
            </w:tcBorders>
          </w:tcPr>
          <w:p w14:paraId="169D3007" w14:textId="77777777" w:rsidR="003D7139" w:rsidRPr="00044343" w:rsidRDefault="00000000">
            <w:pPr>
              <w:jc w:val="center"/>
            </w:pPr>
            <w:r w:rsidRPr="00044343">
              <w:t>Quarterly</w:t>
            </w:r>
          </w:p>
        </w:tc>
        <w:tc>
          <w:tcPr>
            <w:tcW w:w="2130" w:type="dxa"/>
            <w:tcBorders>
              <w:top w:val="single" w:sz="1" w:space="0" w:color="CCCCCC"/>
              <w:left w:val="single" w:sz="1" w:space="0" w:color="CCCCCC"/>
              <w:bottom w:val="single" w:sz="1" w:space="0" w:color="CCCCCC"/>
              <w:right w:val="single" w:sz="1" w:space="0" w:color="CCCCCC"/>
            </w:tcBorders>
          </w:tcPr>
          <w:p w14:paraId="27483F28" w14:textId="77777777" w:rsidR="003D7139" w:rsidRPr="00044343" w:rsidRDefault="00000000">
            <w:r w:rsidRPr="00044343">
              <w:t>Million EUR</w:t>
            </w:r>
          </w:p>
        </w:tc>
      </w:tr>
    </w:tbl>
    <w:p w14:paraId="69407FB6" w14:textId="77777777" w:rsidR="003D7139" w:rsidRPr="00044343" w:rsidRDefault="00000000">
      <w:pPr>
        <w:spacing w:before="240" w:after="120"/>
      </w:pPr>
      <w:r w:rsidRPr="00044343">
        <w:rPr>
          <w:b/>
          <w:bCs/>
          <w:sz w:val="26"/>
          <w:szCs w:val="26"/>
        </w:rPr>
        <w:t>Labor Market Indicators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523"/>
        <w:gridCol w:w="2402"/>
        <w:gridCol w:w="2036"/>
        <w:gridCol w:w="2063"/>
      </w:tblGrid>
      <w:tr w:rsidR="00044343" w:rsidRPr="00044343" w14:paraId="638C1B48"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34495E"/>
          </w:tcPr>
          <w:p w14:paraId="6A705CA8" w14:textId="77777777" w:rsidR="003D7139" w:rsidRPr="00044343" w:rsidRDefault="00000000">
            <w:pPr>
              <w:jc w:val="center"/>
            </w:pPr>
            <w:r w:rsidRPr="00044343">
              <w:rPr>
                <w:b/>
                <w:bCs/>
                <w:sz w:val="20"/>
                <w:szCs w:val="20"/>
              </w:rPr>
              <w:t>Indicator</w:t>
            </w:r>
          </w:p>
        </w:tc>
        <w:tc>
          <w:tcPr>
            <w:tcW w:w="2500" w:type="dxa"/>
            <w:tcBorders>
              <w:top w:val="single" w:sz="1" w:space="0" w:color="CCCCCC"/>
              <w:left w:val="single" w:sz="1" w:space="0" w:color="CCCCCC"/>
              <w:bottom w:val="single" w:sz="1" w:space="0" w:color="CCCCCC"/>
              <w:right w:val="single" w:sz="1" w:space="0" w:color="CCCCCC"/>
            </w:tcBorders>
            <w:shd w:val="clear" w:color="auto" w:fill="34495E"/>
          </w:tcPr>
          <w:p w14:paraId="739F7650" w14:textId="77777777" w:rsidR="003D7139" w:rsidRPr="00044343" w:rsidRDefault="00000000">
            <w:pPr>
              <w:jc w:val="center"/>
            </w:pPr>
            <w:r w:rsidRPr="00044343">
              <w:rPr>
                <w:b/>
                <w:bCs/>
                <w:sz w:val="20"/>
                <w:szCs w:val="20"/>
              </w:rPr>
              <w:t>Code</w:t>
            </w:r>
          </w:p>
        </w:tc>
        <w:tc>
          <w:tcPr>
            <w:tcW w:w="2130" w:type="dxa"/>
            <w:tcBorders>
              <w:top w:val="single" w:sz="1" w:space="0" w:color="CCCCCC"/>
              <w:left w:val="single" w:sz="1" w:space="0" w:color="CCCCCC"/>
              <w:bottom w:val="single" w:sz="1" w:space="0" w:color="CCCCCC"/>
              <w:right w:val="single" w:sz="1" w:space="0" w:color="CCCCCC"/>
            </w:tcBorders>
            <w:shd w:val="clear" w:color="auto" w:fill="34495E"/>
          </w:tcPr>
          <w:p w14:paraId="478AE0BC" w14:textId="77777777" w:rsidR="003D7139" w:rsidRPr="00044343" w:rsidRDefault="00000000">
            <w:pPr>
              <w:jc w:val="center"/>
            </w:pPr>
            <w:r w:rsidRPr="00044343">
              <w:rPr>
                <w:b/>
                <w:bCs/>
                <w:sz w:val="20"/>
                <w:szCs w:val="20"/>
              </w:rPr>
              <w:t>Frequency</w:t>
            </w:r>
          </w:p>
        </w:tc>
        <w:tc>
          <w:tcPr>
            <w:tcW w:w="2130" w:type="dxa"/>
            <w:tcBorders>
              <w:top w:val="single" w:sz="1" w:space="0" w:color="CCCCCC"/>
              <w:left w:val="single" w:sz="1" w:space="0" w:color="CCCCCC"/>
              <w:bottom w:val="single" w:sz="1" w:space="0" w:color="CCCCCC"/>
              <w:right w:val="single" w:sz="1" w:space="0" w:color="CCCCCC"/>
            </w:tcBorders>
            <w:shd w:val="clear" w:color="auto" w:fill="34495E"/>
          </w:tcPr>
          <w:p w14:paraId="35DC67EF" w14:textId="77777777" w:rsidR="003D7139" w:rsidRPr="00044343" w:rsidRDefault="00000000">
            <w:pPr>
              <w:jc w:val="center"/>
            </w:pPr>
            <w:r w:rsidRPr="00044343">
              <w:rPr>
                <w:b/>
                <w:bCs/>
                <w:sz w:val="20"/>
                <w:szCs w:val="20"/>
              </w:rPr>
              <w:t>Unit</w:t>
            </w:r>
          </w:p>
        </w:tc>
      </w:tr>
      <w:tr w:rsidR="00044343" w:rsidRPr="00044343" w14:paraId="7F76755F" w14:textId="77777777">
        <w:tc>
          <w:tcPr>
            <w:tcW w:w="2600" w:type="dxa"/>
            <w:tcBorders>
              <w:top w:val="single" w:sz="1" w:space="0" w:color="CCCCCC"/>
              <w:left w:val="single" w:sz="1" w:space="0" w:color="CCCCCC"/>
              <w:bottom w:val="single" w:sz="1" w:space="0" w:color="CCCCCC"/>
              <w:right w:val="single" w:sz="1" w:space="0" w:color="CCCCCC"/>
            </w:tcBorders>
          </w:tcPr>
          <w:p w14:paraId="10FF82BC" w14:textId="77777777" w:rsidR="003D7139" w:rsidRPr="00044343" w:rsidRDefault="00000000">
            <w:r w:rsidRPr="00044343">
              <w:t>Unemployment Rate</w:t>
            </w:r>
          </w:p>
        </w:tc>
        <w:tc>
          <w:tcPr>
            <w:tcW w:w="2500" w:type="dxa"/>
            <w:tcBorders>
              <w:top w:val="single" w:sz="1" w:space="0" w:color="CCCCCC"/>
              <w:left w:val="single" w:sz="1" w:space="0" w:color="CCCCCC"/>
              <w:bottom w:val="single" w:sz="1" w:space="0" w:color="CCCCCC"/>
              <w:right w:val="single" w:sz="1" w:space="0" w:color="CCCCCC"/>
            </w:tcBorders>
          </w:tcPr>
          <w:p w14:paraId="35471727" w14:textId="77777777" w:rsidR="003D7139" w:rsidRPr="00044343" w:rsidRDefault="00000000">
            <w:proofErr w:type="spellStart"/>
            <w:r w:rsidRPr="00044343">
              <w:t>une_rt_m</w:t>
            </w:r>
            <w:proofErr w:type="spellEnd"/>
          </w:p>
        </w:tc>
        <w:tc>
          <w:tcPr>
            <w:tcW w:w="2130" w:type="dxa"/>
            <w:tcBorders>
              <w:top w:val="single" w:sz="1" w:space="0" w:color="CCCCCC"/>
              <w:left w:val="single" w:sz="1" w:space="0" w:color="CCCCCC"/>
              <w:bottom w:val="single" w:sz="1" w:space="0" w:color="CCCCCC"/>
              <w:right w:val="single" w:sz="1" w:space="0" w:color="CCCCCC"/>
            </w:tcBorders>
          </w:tcPr>
          <w:p w14:paraId="034FF722" w14:textId="77777777" w:rsidR="003D7139" w:rsidRPr="00044343" w:rsidRDefault="00000000">
            <w:pPr>
              <w:jc w:val="center"/>
            </w:pPr>
            <w:r w:rsidRPr="00044343">
              <w:t>Monthly</w:t>
            </w:r>
          </w:p>
        </w:tc>
        <w:tc>
          <w:tcPr>
            <w:tcW w:w="2130" w:type="dxa"/>
            <w:tcBorders>
              <w:top w:val="single" w:sz="1" w:space="0" w:color="CCCCCC"/>
              <w:left w:val="single" w:sz="1" w:space="0" w:color="CCCCCC"/>
              <w:bottom w:val="single" w:sz="1" w:space="0" w:color="CCCCCC"/>
              <w:right w:val="single" w:sz="1" w:space="0" w:color="CCCCCC"/>
            </w:tcBorders>
          </w:tcPr>
          <w:p w14:paraId="2DC87D2A" w14:textId="77777777" w:rsidR="003D7139" w:rsidRPr="00044343" w:rsidRDefault="00000000">
            <w:r w:rsidRPr="00044343">
              <w:t>Percentage (%)</w:t>
            </w:r>
          </w:p>
        </w:tc>
      </w:tr>
      <w:tr w:rsidR="00044343" w:rsidRPr="00044343" w14:paraId="6D189F65" w14:textId="77777777">
        <w:tc>
          <w:tcPr>
            <w:tcW w:w="2600" w:type="dxa"/>
            <w:tcBorders>
              <w:top w:val="single" w:sz="1" w:space="0" w:color="CCCCCC"/>
              <w:left w:val="single" w:sz="1" w:space="0" w:color="CCCCCC"/>
              <w:bottom w:val="single" w:sz="1" w:space="0" w:color="CCCCCC"/>
              <w:right w:val="single" w:sz="1" w:space="0" w:color="CCCCCC"/>
            </w:tcBorders>
          </w:tcPr>
          <w:p w14:paraId="7E81A86E" w14:textId="77777777" w:rsidR="003D7139" w:rsidRPr="00044343" w:rsidRDefault="00000000">
            <w:r w:rsidRPr="00044343">
              <w:rPr>
                <w:i/>
                <w:iCs/>
              </w:rPr>
              <w:t>Job Vacancies*</w:t>
            </w:r>
          </w:p>
        </w:tc>
        <w:tc>
          <w:tcPr>
            <w:tcW w:w="2500" w:type="dxa"/>
            <w:tcBorders>
              <w:top w:val="single" w:sz="1" w:space="0" w:color="CCCCCC"/>
              <w:left w:val="single" w:sz="1" w:space="0" w:color="CCCCCC"/>
              <w:bottom w:val="single" w:sz="1" w:space="0" w:color="CCCCCC"/>
              <w:right w:val="single" w:sz="1" w:space="0" w:color="CCCCCC"/>
            </w:tcBorders>
          </w:tcPr>
          <w:p w14:paraId="4F278BF5" w14:textId="77777777" w:rsidR="003D7139" w:rsidRPr="00044343" w:rsidRDefault="00000000">
            <w:r w:rsidRPr="00044343">
              <w:rPr>
                <w:i/>
                <w:iCs/>
              </w:rPr>
              <w:t>jvs_q_nace2</w:t>
            </w:r>
          </w:p>
        </w:tc>
        <w:tc>
          <w:tcPr>
            <w:tcW w:w="2130" w:type="dxa"/>
            <w:tcBorders>
              <w:top w:val="single" w:sz="1" w:space="0" w:color="CCCCCC"/>
              <w:left w:val="single" w:sz="1" w:space="0" w:color="CCCCCC"/>
              <w:bottom w:val="single" w:sz="1" w:space="0" w:color="CCCCCC"/>
              <w:right w:val="single" w:sz="1" w:space="0" w:color="CCCCCC"/>
            </w:tcBorders>
          </w:tcPr>
          <w:p w14:paraId="3B31038E" w14:textId="77777777" w:rsidR="003D7139" w:rsidRPr="00044343" w:rsidRDefault="00000000">
            <w:pPr>
              <w:jc w:val="center"/>
            </w:pPr>
            <w:r w:rsidRPr="00044343">
              <w:rPr>
                <w:i/>
                <w:iCs/>
              </w:rPr>
              <w:t>Quarterly</w:t>
            </w:r>
          </w:p>
        </w:tc>
        <w:tc>
          <w:tcPr>
            <w:tcW w:w="2130" w:type="dxa"/>
            <w:tcBorders>
              <w:top w:val="single" w:sz="1" w:space="0" w:color="CCCCCC"/>
              <w:left w:val="single" w:sz="1" w:space="0" w:color="CCCCCC"/>
              <w:bottom w:val="single" w:sz="1" w:space="0" w:color="CCCCCC"/>
              <w:right w:val="single" w:sz="1" w:space="0" w:color="CCCCCC"/>
            </w:tcBorders>
          </w:tcPr>
          <w:p w14:paraId="62623859" w14:textId="77777777" w:rsidR="003D7139" w:rsidRPr="00044343" w:rsidRDefault="00000000">
            <w:r w:rsidRPr="00044343">
              <w:rPr>
                <w:i/>
                <w:iCs/>
              </w:rPr>
              <w:t>Count</w:t>
            </w:r>
          </w:p>
        </w:tc>
      </w:tr>
    </w:tbl>
    <w:p w14:paraId="64A7E990" w14:textId="77777777" w:rsidR="003D7139" w:rsidRPr="00044343" w:rsidRDefault="00000000">
      <w:pPr>
        <w:spacing w:before="240" w:after="120"/>
      </w:pPr>
      <w:r w:rsidRPr="00044343">
        <w:rPr>
          <w:b/>
          <w:bCs/>
          <w:sz w:val="26"/>
          <w:szCs w:val="26"/>
        </w:rPr>
        <w:t>Demographic Indicators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489"/>
        <w:gridCol w:w="2462"/>
        <w:gridCol w:w="2044"/>
        <w:gridCol w:w="2029"/>
      </w:tblGrid>
      <w:tr w:rsidR="00044343" w:rsidRPr="00044343" w14:paraId="1BDBA44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34495E"/>
          </w:tcPr>
          <w:p w14:paraId="18B82D87" w14:textId="77777777" w:rsidR="003D7139" w:rsidRPr="00044343" w:rsidRDefault="00000000">
            <w:pPr>
              <w:jc w:val="center"/>
            </w:pPr>
            <w:r w:rsidRPr="00044343">
              <w:rPr>
                <w:b/>
                <w:bCs/>
                <w:sz w:val="20"/>
                <w:szCs w:val="20"/>
              </w:rPr>
              <w:t>Indicator</w:t>
            </w:r>
          </w:p>
        </w:tc>
        <w:tc>
          <w:tcPr>
            <w:tcW w:w="2500" w:type="dxa"/>
            <w:tcBorders>
              <w:top w:val="single" w:sz="1" w:space="0" w:color="CCCCCC"/>
              <w:left w:val="single" w:sz="1" w:space="0" w:color="CCCCCC"/>
              <w:bottom w:val="single" w:sz="1" w:space="0" w:color="CCCCCC"/>
              <w:right w:val="single" w:sz="1" w:space="0" w:color="CCCCCC"/>
            </w:tcBorders>
            <w:shd w:val="clear" w:color="auto" w:fill="34495E"/>
          </w:tcPr>
          <w:p w14:paraId="6CB76351" w14:textId="77777777" w:rsidR="003D7139" w:rsidRPr="00044343" w:rsidRDefault="00000000">
            <w:pPr>
              <w:jc w:val="center"/>
            </w:pPr>
            <w:r w:rsidRPr="00044343">
              <w:rPr>
                <w:b/>
                <w:bCs/>
                <w:sz w:val="20"/>
                <w:szCs w:val="20"/>
              </w:rPr>
              <w:t>Code</w:t>
            </w:r>
          </w:p>
        </w:tc>
        <w:tc>
          <w:tcPr>
            <w:tcW w:w="2130" w:type="dxa"/>
            <w:tcBorders>
              <w:top w:val="single" w:sz="1" w:space="0" w:color="CCCCCC"/>
              <w:left w:val="single" w:sz="1" w:space="0" w:color="CCCCCC"/>
              <w:bottom w:val="single" w:sz="1" w:space="0" w:color="CCCCCC"/>
              <w:right w:val="single" w:sz="1" w:space="0" w:color="CCCCCC"/>
            </w:tcBorders>
            <w:shd w:val="clear" w:color="auto" w:fill="34495E"/>
          </w:tcPr>
          <w:p w14:paraId="5269FB02" w14:textId="77777777" w:rsidR="003D7139" w:rsidRPr="00044343" w:rsidRDefault="00000000">
            <w:pPr>
              <w:jc w:val="center"/>
            </w:pPr>
            <w:r w:rsidRPr="00044343">
              <w:rPr>
                <w:b/>
                <w:bCs/>
                <w:sz w:val="20"/>
                <w:szCs w:val="20"/>
              </w:rPr>
              <w:t>Frequency</w:t>
            </w:r>
          </w:p>
        </w:tc>
        <w:tc>
          <w:tcPr>
            <w:tcW w:w="2130" w:type="dxa"/>
            <w:tcBorders>
              <w:top w:val="single" w:sz="1" w:space="0" w:color="CCCCCC"/>
              <w:left w:val="single" w:sz="1" w:space="0" w:color="CCCCCC"/>
              <w:bottom w:val="single" w:sz="1" w:space="0" w:color="CCCCCC"/>
              <w:right w:val="single" w:sz="1" w:space="0" w:color="CCCCCC"/>
            </w:tcBorders>
            <w:shd w:val="clear" w:color="auto" w:fill="34495E"/>
          </w:tcPr>
          <w:p w14:paraId="46CF5ACF" w14:textId="77777777" w:rsidR="003D7139" w:rsidRPr="00044343" w:rsidRDefault="00000000">
            <w:pPr>
              <w:jc w:val="center"/>
            </w:pPr>
            <w:r w:rsidRPr="00044343">
              <w:rPr>
                <w:b/>
                <w:bCs/>
                <w:sz w:val="20"/>
                <w:szCs w:val="20"/>
              </w:rPr>
              <w:t>Unit</w:t>
            </w:r>
          </w:p>
        </w:tc>
      </w:tr>
      <w:tr w:rsidR="00044343" w:rsidRPr="00044343" w14:paraId="339C9E17" w14:textId="77777777">
        <w:tc>
          <w:tcPr>
            <w:tcW w:w="2600" w:type="dxa"/>
            <w:tcBorders>
              <w:top w:val="single" w:sz="1" w:space="0" w:color="CCCCCC"/>
              <w:left w:val="single" w:sz="1" w:space="0" w:color="CCCCCC"/>
              <w:bottom w:val="single" w:sz="1" w:space="0" w:color="CCCCCC"/>
              <w:right w:val="single" w:sz="1" w:space="0" w:color="CCCCCC"/>
            </w:tcBorders>
          </w:tcPr>
          <w:p w14:paraId="543ABD11" w14:textId="77777777" w:rsidR="003D7139" w:rsidRPr="00044343" w:rsidRDefault="00000000">
            <w:r w:rsidRPr="00044343">
              <w:t>Population</w:t>
            </w:r>
          </w:p>
        </w:tc>
        <w:tc>
          <w:tcPr>
            <w:tcW w:w="2500" w:type="dxa"/>
            <w:tcBorders>
              <w:top w:val="single" w:sz="1" w:space="0" w:color="CCCCCC"/>
              <w:left w:val="single" w:sz="1" w:space="0" w:color="CCCCCC"/>
              <w:bottom w:val="single" w:sz="1" w:space="0" w:color="CCCCCC"/>
              <w:right w:val="single" w:sz="1" w:space="0" w:color="CCCCCC"/>
            </w:tcBorders>
          </w:tcPr>
          <w:p w14:paraId="6C741DA0" w14:textId="77777777" w:rsidR="003D7139" w:rsidRPr="00044343" w:rsidRDefault="00000000">
            <w:proofErr w:type="spellStart"/>
            <w:r w:rsidRPr="00044343">
              <w:t>demo_pjangroup</w:t>
            </w:r>
            <w:proofErr w:type="spellEnd"/>
          </w:p>
        </w:tc>
        <w:tc>
          <w:tcPr>
            <w:tcW w:w="2130" w:type="dxa"/>
            <w:tcBorders>
              <w:top w:val="single" w:sz="1" w:space="0" w:color="CCCCCC"/>
              <w:left w:val="single" w:sz="1" w:space="0" w:color="CCCCCC"/>
              <w:bottom w:val="single" w:sz="1" w:space="0" w:color="CCCCCC"/>
              <w:right w:val="single" w:sz="1" w:space="0" w:color="CCCCCC"/>
            </w:tcBorders>
          </w:tcPr>
          <w:p w14:paraId="3DA164E8" w14:textId="77777777" w:rsidR="003D7139" w:rsidRPr="00044343" w:rsidRDefault="00000000">
            <w:pPr>
              <w:jc w:val="center"/>
            </w:pPr>
            <w:r w:rsidRPr="00044343">
              <w:t>Annual</w:t>
            </w:r>
          </w:p>
        </w:tc>
        <w:tc>
          <w:tcPr>
            <w:tcW w:w="2130" w:type="dxa"/>
            <w:tcBorders>
              <w:top w:val="single" w:sz="1" w:space="0" w:color="CCCCCC"/>
              <w:left w:val="single" w:sz="1" w:space="0" w:color="CCCCCC"/>
              <w:bottom w:val="single" w:sz="1" w:space="0" w:color="CCCCCC"/>
              <w:right w:val="single" w:sz="1" w:space="0" w:color="CCCCCC"/>
            </w:tcBorders>
          </w:tcPr>
          <w:p w14:paraId="73A8F3C4" w14:textId="77777777" w:rsidR="003D7139" w:rsidRPr="00044343" w:rsidRDefault="00000000">
            <w:r w:rsidRPr="00044343">
              <w:t>Persons</w:t>
            </w:r>
          </w:p>
        </w:tc>
      </w:tr>
      <w:tr w:rsidR="00044343" w:rsidRPr="00044343" w14:paraId="4DEF60AC" w14:textId="77777777">
        <w:tc>
          <w:tcPr>
            <w:tcW w:w="2600" w:type="dxa"/>
            <w:tcBorders>
              <w:top w:val="single" w:sz="1" w:space="0" w:color="CCCCCC"/>
              <w:left w:val="single" w:sz="1" w:space="0" w:color="CCCCCC"/>
              <w:bottom w:val="single" w:sz="1" w:space="0" w:color="CCCCCC"/>
              <w:right w:val="single" w:sz="1" w:space="0" w:color="CCCCCC"/>
            </w:tcBorders>
          </w:tcPr>
          <w:p w14:paraId="1A69A3D0" w14:textId="77777777" w:rsidR="003D7139" w:rsidRPr="00044343" w:rsidRDefault="00000000">
            <w:r w:rsidRPr="00044343">
              <w:t>Emigration</w:t>
            </w:r>
          </w:p>
        </w:tc>
        <w:tc>
          <w:tcPr>
            <w:tcW w:w="2500" w:type="dxa"/>
            <w:tcBorders>
              <w:top w:val="single" w:sz="1" w:space="0" w:color="CCCCCC"/>
              <w:left w:val="single" w:sz="1" w:space="0" w:color="CCCCCC"/>
              <w:bottom w:val="single" w:sz="1" w:space="0" w:color="CCCCCC"/>
              <w:right w:val="single" w:sz="1" w:space="0" w:color="CCCCCC"/>
            </w:tcBorders>
          </w:tcPr>
          <w:p w14:paraId="61BE12AA" w14:textId="77777777" w:rsidR="003D7139" w:rsidRPr="00044343" w:rsidRDefault="00000000">
            <w:r w:rsidRPr="00044343">
              <w:t>migr_emi2</w:t>
            </w:r>
          </w:p>
        </w:tc>
        <w:tc>
          <w:tcPr>
            <w:tcW w:w="2130" w:type="dxa"/>
            <w:tcBorders>
              <w:top w:val="single" w:sz="1" w:space="0" w:color="CCCCCC"/>
              <w:left w:val="single" w:sz="1" w:space="0" w:color="CCCCCC"/>
              <w:bottom w:val="single" w:sz="1" w:space="0" w:color="CCCCCC"/>
              <w:right w:val="single" w:sz="1" w:space="0" w:color="CCCCCC"/>
            </w:tcBorders>
          </w:tcPr>
          <w:p w14:paraId="53DEF520" w14:textId="77777777" w:rsidR="003D7139" w:rsidRPr="00044343" w:rsidRDefault="00000000">
            <w:pPr>
              <w:jc w:val="center"/>
            </w:pPr>
            <w:r w:rsidRPr="00044343">
              <w:t>Annual</w:t>
            </w:r>
          </w:p>
        </w:tc>
        <w:tc>
          <w:tcPr>
            <w:tcW w:w="2130" w:type="dxa"/>
            <w:tcBorders>
              <w:top w:val="single" w:sz="1" w:space="0" w:color="CCCCCC"/>
              <w:left w:val="single" w:sz="1" w:space="0" w:color="CCCCCC"/>
              <w:bottom w:val="single" w:sz="1" w:space="0" w:color="CCCCCC"/>
              <w:right w:val="single" w:sz="1" w:space="0" w:color="CCCCCC"/>
            </w:tcBorders>
          </w:tcPr>
          <w:p w14:paraId="2B6E9FA6" w14:textId="77777777" w:rsidR="003D7139" w:rsidRPr="00044343" w:rsidRDefault="00000000">
            <w:r w:rsidRPr="00044343">
              <w:t>Persons</w:t>
            </w:r>
          </w:p>
        </w:tc>
      </w:tr>
      <w:tr w:rsidR="00044343" w:rsidRPr="00044343" w14:paraId="4E9B15B3" w14:textId="77777777">
        <w:tc>
          <w:tcPr>
            <w:tcW w:w="2600" w:type="dxa"/>
            <w:tcBorders>
              <w:top w:val="single" w:sz="1" w:space="0" w:color="CCCCCC"/>
              <w:left w:val="single" w:sz="1" w:space="0" w:color="CCCCCC"/>
              <w:bottom w:val="single" w:sz="1" w:space="0" w:color="CCCCCC"/>
              <w:right w:val="single" w:sz="1" w:space="0" w:color="CCCCCC"/>
            </w:tcBorders>
          </w:tcPr>
          <w:p w14:paraId="735C7741" w14:textId="77777777" w:rsidR="003D7139" w:rsidRPr="00044343" w:rsidRDefault="00000000">
            <w:r w:rsidRPr="00044343">
              <w:t>Immigration</w:t>
            </w:r>
          </w:p>
        </w:tc>
        <w:tc>
          <w:tcPr>
            <w:tcW w:w="2500" w:type="dxa"/>
            <w:tcBorders>
              <w:top w:val="single" w:sz="1" w:space="0" w:color="CCCCCC"/>
              <w:left w:val="single" w:sz="1" w:space="0" w:color="CCCCCC"/>
              <w:bottom w:val="single" w:sz="1" w:space="0" w:color="CCCCCC"/>
              <w:right w:val="single" w:sz="1" w:space="0" w:color="CCCCCC"/>
            </w:tcBorders>
          </w:tcPr>
          <w:p w14:paraId="3D57F179" w14:textId="77777777" w:rsidR="003D7139" w:rsidRPr="00044343" w:rsidRDefault="00000000">
            <w:r w:rsidRPr="00044343">
              <w:t>migr_imm8</w:t>
            </w:r>
          </w:p>
        </w:tc>
        <w:tc>
          <w:tcPr>
            <w:tcW w:w="2130" w:type="dxa"/>
            <w:tcBorders>
              <w:top w:val="single" w:sz="1" w:space="0" w:color="CCCCCC"/>
              <w:left w:val="single" w:sz="1" w:space="0" w:color="CCCCCC"/>
              <w:bottom w:val="single" w:sz="1" w:space="0" w:color="CCCCCC"/>
              <w:right w:val="single" w:sz="1" w:space="0" w:color="CCCCCC"/>
            </w:tcBorders>
          </w:tcPr>
          <w:p w14:paraId="71D78858" w14:textId="77777777" w:rsidR="003D7139" w:rsidRPr="00044343" w:rsidRDefault="00000000">
            <w:pPr>
              <w:jc w:val="center"/>
            </w:pPr>
            <w:r w:rsidRPr="00044343">
              <w:t>Annual</w:t>
            </w:r>
          </w:p>
        </w:tc>
        <w:tc>
          <w:tcPr>
            <w:tcW w:w="2130" w:type="dxa"/>
            <w:tcBorders>
              <w:top w:val="single" w:sz="1" w:space="0" w:color="CCCCCC"/>
              <w:left w:val="single" w:sz="1" w:space="0" w:color="CCCCCC"/>
              <w:bottom w:val="single" w:sz="1" w:space="0" w:color="CCCCCC"/>
              <w:right w:val="single" w:sz="1" w:space="0" w:color="CCCCCC"/>
            </w:tcBorders>
          </w:tcPr>
          <w:p w14:paraId="74968C8E" w14:textId="77777777" w:rsidR="003D7139" w:rsidRPr="00044343" w:rsidRDefault="00000000">
            <w:r w:rsidRPr="00044343">
              <w:t>Persons</w:t>
            </w:r>
          </w:p>
        </w:tc>
      </w:tr>
      <w:tr w:rsidR="00044343" w:rsidRPr="00044343" w14:paraId="0A1823F9" w14:textId="77777777">
        <w:tc>
          <w:tcPr>
            <w:tcW w:w="2600" w:type="dxa"/>
            <w:tcBorders>
              <w:top w:val="single" w:sz="1" w:space="0" w:color="CCCCCC"/>
              <w:left w:val="single" w:sz="1" w:space="0" w:color="CCCCCC"/>
              <w:bottom w:val="single" w:sz="1" w:space="0" w:color="CCCCCC"/>
              <w:right w:val="single" w:sz="1" w:space="0" w:color="CCCCCC"/>
            </w:tcBorders>
          </w:tcPr>
          <w:p w14:paraId="2E9C6672" w14:textId="77777777" w:rsidR="003D7139" w:rsidRPr="00044343" w:rsidRDefault="00000000">
            <w:r w:rsidRPr="00044343">
              <w:t>Life Expectancy</w:t>
            </w:r>
          </w:p>
        </w:tc>
        <w:tc>
          <w:tcPr>
            <w:tcW w:w="2500" w:type="dxa"/>
            <w:tcBorders>
              <w:top w:val="single" w:sz="1" w:space="0" w:color="CCCCCC"/>
              <w:left w:val="single" w:sz="1" w:space="0" w:color="CCCCCC"/>
              <w:bottom w:val="single" w:sz="1" w:space="0" w:color="CCCCCC"/>
              <w:right w:val="single" w:sz="1" w:space="0" w:color="CCCCCC"/>
            </w:tcBorders>
          </w:tcPr>
          <w:p w14:paraId="4112E4E7" w14:textId="77777777" w:rsidR="003D7139" w:rsidRPr="00044343" w:rsidRDefault="00000000">
            <w:proofErr w:type="spellStart"/>
            <w:r w:rsidRPr="00044343">
              <w:t>demo_mlexpec</w:t>
            </w:r>
            <w:proofErr w:type="spellEnd"/>
          </w:p>
        </w:tc>
        <w:tc>
          <w:tcPr>
            <w:tcW w:w="2130" w:type="dxa"/>
            <w:tcBorders>
              <w:top w:val="single" w:sz="1" w:space="0" w:color="CCCCCC"/>
              <w:left w:val="single" w:sz="1" w:space="0" w:color="CCCCCC"/>
              <w:bottom w:val="single" w:sz="1" w:space="0" w:color="CCCCCC"/>
              <w:right w:val="single" w:sz="1" w:space="0" w:color="CCCCCC"/>
            </w:tcBorders>
          </w:tcPr>
          <w:p w14:paraId="0CE44252" w14:textId="77777777" w:rsidR="003D7139" w:rsidRPr="00044343" w:rsidRDefault="00000000">
            <w:pPr>
              <w:jc w:val="center"/>
            </w:pPr>
            <w:r w:rsidRPr="00044343">
              <w:t>Annual</w:t>
            </w:r>
          </w:p>
        </w:tc>
        <w:tc>
          <w:tcPr>
            <w:tcW w:w="2130" w:type="dxa"/>
            <w:tcBorders>
              <w:top w:val="single" w:sz="1" w:space="0" w:color="CCCCCC"/>
              <w:left w:val="single" w:sz="1" w:space="0" w:color="CCCCCC"/>
              <w:bottom w:val="single" w:sz="1" w:space="0" w:color="CCCCCC"/>
              <w:right w:val="single" w:sz="1" w:space="0" w:color="CCCCCC"/>
            </w:tcBorders>
          </w:tcPr>
          <w:p w14:paraId="2BD0F372" w14:textId="77777777" w:rsidR="003D7139" w:rsidRPr="00044343" w:rsidRDefault="00000000">
            <w:r w:rsidRPr="00044343">
              <w:t>Years</w:t>
            </w:r>
          </w:p>
        </w:tc>
      </w:tr>
      <w:tr w:rsidR="00044343" w:rsidRPr="00044343" w14:paraId="5D542602" w14:textId="77777777">
        <w:tc>
          <w:tcPr>
            <w:tcW w:w="2600" w:type="dxa"/>
            <w:tcBorders>
              <w:top w:val="single" w:sz="1" w:space="0" w:color="CCCCCC"/>
              <w:left w:val="single" w:sz="1" w:space="0" w:color="CCCCCC"/>
              <w:bottom w:val="single" w:sz="1" w:space="0" w:color="CCCCCC"/>
              <w:right w:val="single" w:sz="1" w:space="0" w:color="CCCCCC"/>
            </w:tcBorders>
          </w:tcPr>
          <w:p w14:paraId="5B28CCD7" w14:textId="77777777" w:rsidR="003D7139" w:rsidRPr="00044343" w:rsidRDefault="00000000">
            <w:r w:rsidRPr="00044343">
              <w:t>Deaths</w:t>
            </w:r>
          </w:p>
        </w:tc>
        <w:tc>
          <w:tcPr>
            <w:tcW w:w="2500" w:type="dxa"/>
            <w:tcBorders>
              <w:top w:val="single" w:sz="1" w:space="0" w:color="CCCCCC"/>
              <w:left w:val="single" w:sz="1" w:space="0" w:color="CCCCCC"/>
              <w:bottom w:val="single" w:sz="1" w:space="0" w:color="CCCCCC"/>
              <w:right w:val="single" w:sz="1" w:space="0" w:color="CCCCCC"/>
            </w:tcBorders>
          </w:tcPr>
          <w:p w14:paraId="47473596" w14:textId="77777777" w:rsidR="003D7139" w:rsidRPr="00044343" w:rsidRDefault="00000000">
            <w:proofErr w:type="spellStart"/>
            <w:r w:rsidRPr="00044343">
              <w:t>demo_gind</w:t>
            </w:r>
            <w:proofErr w:type="spellEnd"/>
          </w:p>
        </w:tc>
        <w:tc>
          <w:tcPr>
            <w:tcW w:w="2130" w:type="dxa"/>
            <w:tcBorders>
              <w:top w:val="single" w:sz="1" w:space="0" w:color="CCCCCC"/>
              <w:left w:val="single" w:sz="1" w:space="0" w:color="CCCCCC"/>
              <w:bottom w:val="single" w:sz="1" w:space="0" w:color="CCCCCC"/>
              <w:right w:val="single" w:sz="1" w:space="0" w:color="CCCCCC"/>
            </w:tcBorders>
          </w:tcPr>
          <w:p w14:paraId="11DFA166" w14:textId="77777777" w:rsidR="003D7139" w:rsidRPr="00044343" w:rsidRDefault="00000000">
            <w:pPr>
              <w:jc w:val="center"/>
            </w:pPr>
            <w:r w:rsidRPr="00044343">
              <w:t>Annual</w:t>
            </w:r>
          </w:p>
        </w:tc>
        <w:tc>
          <w:tcPr>
            <w:tcW w:w="2130" w:type="dxa"/>
            <w:tcBorders>
              <w:top w:val="single" w:sz="1" w:space="0" w:color="CCCCCC"/>
              <w:left w:val="single" w:sz="1" w:space="0" w:color="CCCCCC"/>
              <w:bottom w:val="single" w:sz="1" w:space="0" w:color="CCCCCC"/>
              <w:right w:val="single" w:sz="1" w:space="0" w:color="CCCCCC"/>
            </w:tcBorders>
          </w:tcPr>
          <w:p w14:paraId="4B3F7ABB" w14:textId="77777777" w:rsidR="003D7139" w:rsidRPr="00044343" w:rsidRDefault="00000000">
            <w:r w:rsidRPr="00044343">
              <w:t>Count</w:t>
            </w:r>
          </w:p>
        </w:tc>
      </w:tr>
    </w:tbl>
    <w:p w14:paraId="0042FEE9" w14:textId="77777777" w:rsidR="003D7139" w:rsidRPr="00044343" w:rsidRDefault="00000000">
      <w:pPr>
        <w:spacing w:before="240" w:after="120"/>
      </w:pPr>
      <w:r w:rsidRPr="00044343">
        <w:rPr>
          <w:b/>
          <w:bCs/>
          <w:sz w:val="26"/>
          <w:szCs w:val="26"/>
        </w:rPr>
        <w:t>Housing Market Indicator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477"/>
        <w:gridCol w:w="2403"/>
        <w:gridCol w:w="2062"/>
        <w:gridCol w:w="2082"/>
      </w:tblGrid>
      <w:tr w:rsidR="00044343" w:rsidRPr="00044343" w14:paraId="0E705758"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34495E"/>
          </w:tcPr>
          <w:p w14:paraId="2539DE81" w14:textId="77777777" w:rsidR="003D7139" w:rsidRPr="00044343" w:rsidRDefault="00000000">
            <w:pPr>
              <w:jc w:val="center"/>
            </w:pPr>
            <w:r w:rsidRPr="00044343">
              <w:rPr>
                <w:b/>
                <w:bCs/>
                <w:sz w:val="20"/>
                <w:szCs w:val="20"/>
              </w:rPr>
              <w:t>Indicator</w:t>
            </w:r>
          </w:p>
        </w:tc>
        <w:tc>
          <w:tcPr>
            <w:tcW w:w="2500" w:type="dxa"/>
            <w:tcBorders>
              <w:top w:val="single" w:sz="1" w:space="0" w:color="CCCCCC"/>
              <w:left w:val="single" w:sz="1" w:space="0" w:color="CCCCCC"/>
              <w:bottom w:val="single" w:sz="1" w:space="0" w:color="CCCCCC"/>
              <w:right w:val="single" w:sz="1" w:space="0" w:color="CCCCCC"/>
            </w:tcBorders>
            <w:shd w:val="clear" w:color="auto" w:fill="34495E"/>
          </w:tcPr>
          <w:p w14:paraId="3819B4A3" w14:textId="77777777" w:rsidR="003D7139" w:rsidRPr="00044343" w:rsidRDefault="00000000">
            <w:pPr>
              <w:jc w:val="center"/>
            </w:pPr>
            <w:r w:rsidRPr="00044343">
              <w:rPr>
                <w:b/>
                <w:bCs/>
                <w:sz w:val="20"/>
                <w:szCs w:val="20"/>
              </w:rPr>
              <w:t>Code</w:t>
            </w:r>
          </w:p>
        </w:tc>
        <w:tc>
          <w:tcPr>
            <w:tcW w:w="2130" w:type="dxa"/>
            <w:tcBorders>
              <w:top w:val="single" w:sz="1" w:space="0" w:color="CCCCCC"/>
              <w:left w:val="single" w:sz="1" w:space="0" w:color="CCCCCC"/>
              <w:bottom w:val="single" w:sz="1" w:space="0" w:color="CCCCCC"/>
              <w:right w:val="single" w:sz="1" w:space="0" w:color="CCCCCC"/>
            </w:tcBorders>
            <w:shd w:val="clear" w:color="auto" w:fill="34495E"/>
          </w:tcPr>
          <w:p w14:paraId="4D3394CD" w14:textId="77777777" w:rsidR="003D7139" w:rsidRPr="00044343" w:rsidRDefault="00000000">
            <w:pPr>
              <w:jc w:val="center"/>
            </w:pPr>
            <w:r w:rsidRPr="00044343">
              <w:rPr>
                <w:b/>
                <w:bCs/>
                <w:sz w:val="20"/>
                <w:szCs w:val="20"/>
              </w:rPr>
              <w:t>Frequency</w:t>
            </w:r>
          </w:p>
        </w:tc>
        <w:tc>
          <w:tcPr>
            <w:tcW w:w="2130" w:type="dxa"/>
            <w:tcBorders>
              <w:top w:val="single" w:sz="1" w:space="0" w:color="CCCCCC"/>
              <w:left w:val="single" w:sz="1" w:space="0" w:color="CCCCCC"/>
              <w:bottom w:val="single" w:sz="1" w:space="0" w:color="CCCCCC"/>
              <w:right w:val="single" w:sz="1" w:space="0" w:color="CCCCCC"/>
            </w:tcBorders>
            <w:shd w:val="clear" w:color="auto" w:fill="34495E"/>
          </w:tcPr>
          <w:p w14:paraId="4EE0502B" w14:textId="77777777" w:rsidR="003D7139" w:rsidRPr="00044343" w:rsidRDefault="00000000">
            <w:pPr>
              <w:jc w:val="center"/>
            </w:pPr>
            <w:r w:rsidRPr="00044343">
              <w:rPr>
                <w:b/>
                <w:bCs/>
                <w:sz w:val="20"/>
                <w:szCs w:val="20"/>
              </w:rPr>
              <w:t>Unit</w:t>
            </w:r>
          </w:p>
        </w:tc>
      </w:tr>
      <w:tr w:rsidR="00044343" w:rsidRPr="00044343" w14:paraId="50C9C943" w14:textId="77777777">
        <w:tc>
          <w:tcPr>
            <w:tcW w:w="2600" w:type="dxa"/>
            <w:tcBorders>
              <w:top w:val="single" w:sz="1" w:space="0" w:color="CCCCCC"/>
              <w:left w:val="single" w:sz="1" w:space="0" w:color="CCCCCC"/>
              <w:bottom w:val="single" w:sz="1" w:space="0" w:color="CCCCCC"/>
              <w:right w:val="single" w:sz="1" w:space="0" w:color="CCCCCC"/>
            </w:tcBorders>
          </w:tcPr>
          <w:p w14:paraId="06D376A8" w14:textId="77777777" w:rsidR="003D7139" w:rsidRPr="00044343" w:rsidRDefault="00000000">
            <w:r w:rsidRPr="00044343">
              <w:rPr>
                <w:i/>
                <w:iCs/>
              </w:rPr>
              <w:t>House Price Index*</w:t>
            </w:r>
          </w:p>
        </w:tc>
        <w:tc>
          <w:tcPr>
            <w:tcW w:w="2500" w:type="dxa"/>
            <w:tcBorders>
              <w:top w:val="single" w:sz="1" w:space="0" w:color="CCCCCC"/>
              <w:left w:val="single" w:sz="1" w:space="0" w:color="CCCCCC"/>
              <w:bottom w:val="single" w:sz="1" w:space="0" w:color="CCCCCC"/>
              <w:right w:val="single" w:sz="1" w:space="0" w:color="CCCCCC"/>
            </w:tcBorders>
          </w:tcPr>
          <w:p w14:paraId="797BBA88" w14:textId="77777777" w:rsidR="003D7139" w:rsidRPr="00044343" w:rsidRDefault="00000000">
            <w:proofErr w:type="spellStart"/>
            <w:r w:rsidRPr="00044343">
              <w:rPr>
                <w:i/>
                <w:iCs/>
              </w:rPr>
              <w:t>prc_hpi_q</w:t>
            </w:r>
            <w:proofErr w:type="spellEnd"/>
          </w:p>
        </w:tc>
        <w:tc>
          <w:tcPr>
            <w:tcW w:w="2130" w:type="dxa"/>
            <w:tcBorders>
              <w:top w:val="single" w:sz="1" w:space="0" w:color="CCCCCC"/>
              <w:left w:val="single" w:sz="1" w:space="0" w:color="CCCCCC"/>
              <w:bottom w:val="single" w:sz="1" w:space="0" w:color="CCCCCC"/>
              <w:right w:val="single" w:sz="1" w:space="0" w:color="CCCCCC"/>
            </w:tcBorders>
          </w:tcPr>
          <w:p w14:paraId="1AAFF9C1" w14:textId="77777777" w:rsidR="003D7139" w:rsidRPr="00044343" w:rsidRDefault="00000000">
            <w:pPr>
              <w:jc w:val="center"/>
            </w:pPr>
            <w:r w:rsidRPr="00044343">
              <w:rPr>
                <w:i/>
                <w:iCs/>
              </w:rPr>
              <w:t>Quarterly</w:t>
            </w:r>
          </w:p>
        </w:tc>
        <w:tc>
          <w:tcPr>
            <w:tcW w:w="2130" w:type="dxa"/>
            <w:tcBorders>
              <w:top w:val="single" w:sz="1" w:space="0" w:color="CCCCCC"/>
              <w:left w:val="single" w:sz="1" w:space="0" w:color="CCCCCC"/>
              <w:bottom w:val="single" w:sz="1" w:space="0" w:color="CCCCCC"/>
              <w:right w:val="single" w:sz="1" w:space="0" w:color="CCCCCC"/>
            </w:tcBorders>
          </w:tcPr>
          <w:p w14:paraId="6C0D2ED0" w14:textId="77777777" w:rsidR="003D7139" w:rsidRPr="00044343" w:rsidRDefault="00000000">
            <w:r w:rsidRPr="00044343">
              <w:rPr>
                <w:i/>
                <w:iCs/>
              </w:rPr>
              <w:t>Index (2010=100)</w:t>
            </w:r>
          </w:p>
        </w:tc>
      </w:tr>
    </w:tbl>
    <w:p w14:paraId="394F4185" w14:textId="66A371B0" w:rsidR="003D7139" w:rsidRPr="00044343" w:rsidRDefault="00000000" w:rsidP="008C5590">
      <w:pPr>
        <w:spacing w:before="240" w:after="180"/>
      </w:pPr>
      <w:r w:rsidRPr="00044343">
        <w:rPr>
          <w:i/>
          <w:iCs/>
          <w:sz w:val="20"/>
          <w:szCs w:val="20"/>
        </w:rPr>
        <w:t>* Indicators excluded from final analysis due to insufficient historical data for Luxembourg (&lt; 20 years)</w:t>
      </w:r>
    </w:p>
    <w:sectPr w:rsidR="003D7139" w:rsidRPr="00044343" w:rsidSect="00CB59DA">
      <w:pgSz w:w="11906" w:h="16838"/>
      <w:pgMar w:top="810" w:right="1440" w:bottom="72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60F8D"/>
    <w:multiLevelType w:val="hybridMultilevel"/>
    <w:tmpl w:val="A95A593C"/>
    <w:lvl w:ilvl="0" w:tplc="E7AEB456">
      <w:start w:val="1"/>
      <w:numFmt w:val="bullet"/>
      <w:lvlText w:val="•"/>
      <w:lvlJc w:val="left"/>
      <w:pPr>
        <w:ind w:left="720" w:hanging="360"/>
      </w:pPr>
    </w:lvl>
    <w:lvl w:ilvl="1" w:tplc="D9FC4324">
      <w:numFmt w:val="decimal"/>
      <w:lvlText w:val=""/>
      <w:lvlJc w:val="left"/>
    </w:lvl>
    <w:lvl w:ilvl="2" w:tplc="499EB1C8">
      <w:numFmt w:val="decimal"/>
      <w:lvlText w:val=""/>
      <w:lvlJc w:val="left"/>
    </w:lvl>
    <w:lvl w:ilvl="3" w:tplc="D20A4972">
      <w:numFmt w:val="decimal"/>
      <w:lvlText w:val=""/>
      <w:lvlJc w:val="left"/>
    </w:lvl>
    <w:lvl w:ilvl="4" w:tplc="E87A212C">
      <w:numFmt w:val="decimal"/>
      <w:lvlText w:val=""/>
      <w:lvlJc w:val="left"/>
    </w:lvl>
    <w:lvl w:ilvl="5" w:tplc="137CD486">
      <w:numFmt w:val="decimal"/>
      <w:lvlText w:val=""/>
      <w:lvlJc w:val="left"/>
    </w:lvl>
    <w:lvl w:ilvl="6" w:tplc="C4FCB002">
      <w:numFmt w:val="decimal"/>
      <w:lvlText w:val=""/>
      <w:lvlJc w:val="left"/>
    </w:lvl>
    <w:lvl w:ilvl="7" w:tplc="EF30BF70">
      <w:numFmt w:val="decimal"/>
      <w:lvlText w:val=""/>
      <w:lvlJc w:val="left"/>
    </w:lvl>
    <w:lvl w:ilvl="8" w:tplc="C0201E8C">
      <w:numFmt w:val="decimal"/>
      <w:lvlText w:val=""/>
      <w:lvlJc w:val="left"/>
    </w:lvl>
  </w:abstractNum>
  <w:abstractNum w:abstractNumId="1" w15:restartNumberingAfterBreak="0">
    <w:nsid w:val="59165CB2"/>
    <w:multiLevelType w:val="hybridMultilevel"/>
    <w:tmpl w:val="AA8AF4C8"/>
    <w:lvl w:ilvl="0" w:tplc="4F7469FE">
      <w:start w:val="1"/>
      <w:numFmt w:val="bullet"/>
      <w:lvlText w:val="●"/>
      <w:lvlJc w:val="left"/>
      <w:pPr>
        <w:ind w:left="720" w:hanging="360"/>
      </w:pPr>
    </w:lvl>
    <w:lvl w:ilvl="1" w:tplc="9FE829D2">
      <w:start w:val="1"/>
      <w:numFmt w:val="bullet"/>
      <w:lvlText w:val="○"/>
      <w:lvlJc w:val="left"/>
      <w:pPr>
        <w:ind w:left="1440" w:hanging="360"/>
      </w:pPr>
    </w:lvl>
    <w:lvl w:ilvl="2" w:tplc="C98C7598">
      <w:start w:val="1"/>
      <w:numFmt w:val="bullet"/>
      <w:lvlText w:val="■"/>
      <w:lvlJc w:val="left"/>
      <w:pPr>
        <w:ind w:left="2160" w:hanging="360"/>
      </w:pPr>
    </w:lvl>
    <w:lvl w:ilvl="3" w:tplc="EE12EDDE">
      <w:start w:val="1"/>
      <w:numFmt w:val="bullet"/>
      <w:lvlText w:val="●"/>
      <w:lvlJc w:val="left"/>
      <w:pPr>
        <w:ind w:left="2880" w:hanging="360"/>
      </w:pPr>
    </w:lvl>
    <w:lvl w:ilvl="4" w:tplc="FD869864">
      <w:start w:val="1"/>
      <w:numFmt w:val="bullet"/>
      <w:lvlText w:val="○"/>
      <w:lvlJc w:val="left"/>
      <w:pPr>
        <w:ind w:left="3600" w:hanging="360"/>
      </w:pPr>
    </w:lvl>
    <w:lvl w:ilvl="5" w:tplc="D1EE4D74">
      <w:start w:val="1"/>
      <w:numFmt w:val="bullet"/>
      <w:lvlText w:val="■"/>
      <w:lvlJc w:val="left"/>
      <w:pPr>
        <w:ind w:left="4320" w:hanging="360"/>
      </w:pPr>
    </w:lvl>
    <w:lvl w:ilvl="6" w:tplc="DDF22088">
      <w:start w:val="1"/>
      <w:numFmt w:val="bullet"/>
      <w:lvlText w:val="●"/>
      <w:lvlJc w:val="left"/>
      <w:pPr>
        <w:ind w:left="5040" w:hanging="360"/>
      </w:pPr>
    </w:lvl>
    <w:lvl w:ilvl="7" w:tplc="6C381AA0">
      <w:start w:val="1"/>
      <w:numFmt w:val="bullet"/>
      <w:lvlText w:val="●"/>
      <w:lvlJc w:val="left"/>
      <w:pPr>
        <w:ind w:left="5760" w:hanging="360"/>
      </w:pPr>
    </w:lvl>
    <w:lvl w:ilvl="8" w:tplc="B85E95AE">
      <w:start w:val="1"/>
      <w:numFmt w:val="bullet"/>
      <w:lvlText w:val="●"/>
      <w:lvlJc w:val="left"/>
      <w:pPr>
        <w:ind w:left="6480" w:hanging="360"/>
      </w:pPr>
    </w:lvl>
  </w:abstractNum>
  <w:num w:numId="1" w16cid:durableId="578638625">
    <w:abstractNumId w:val="1"/>
    <w:lvlOverride w:ilvl="0">
      <w:startOverride w:val="1"/>
    </w:lvlOverride>
  </w:num>
  <w:num w:numId="2" w16cid:durableId="335113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139"/>
    <w:rsid w:val="00031B49"/>
    <w:rsid w:val="00044343"/>
    <w:rsid w:val="00294970"/>
    <w:rsid w:val="003D7139"/>
    <w:rsid w:val="005474D1"/>
    <w:rsid w:val="00564ECD"/>
    <w:rsid w:val="005A68C6"/>
    <w:rsid w:val="006C142E"/>
    <w:rsid w:val="00700B0D"/>
    <w:rsid w:val="008C5590"/>
    <w:rsid w:val="00A63B04"/>
    <w:rsid w:val="00B84B80"/>
    <w:rsid w:val="00CB59DA"/>
    <w:rsid w:val="00E57AFB"/>
    <w:rsid w:val="00F83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6CE96"/>
  <w15:docId w15:val="{A6E56604-4D39-4687-9E80-1DC1FD255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34495E"/>
      <w:sz w:val="32"/>
      <w:szCs w:val="32"/>
    </w:rPr>
  </w:style>
  <w:style w:type="paragraph" w:styleId="Heading2">
    <w:name w:val="heading 2"/>
    <w:uiPriority w:val="9"/>
    <w:unhideWhenUsed/>
    <w:qFormat/>
    <w:pPr>
      <w:spacing w:before="240" w:after="180"/>
      <w:outlineLvl w:val="1"/>
    </w:pPr>
    <w:rPr>
      <w:b/>
      <w:bCs/>
      <w:color w:val="34495E"/>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2C3E5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bin"/><Relationship Id="rId3" Type="http://schemas.openxmlformats.org/officeDocument/2006/relationships/settings" Target="settings.xml"/><Relationship Id="rId7" Type="http://schemas.openxmlformats.org/officeDocument/2006/relationships/image" Target="media/image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bin"/><Relationship Id="rId11" Type="http://schemas.openxmlformats.org/officeDocument/2006/relationships/theme" Target="theme/theme1.xml"/><Relationship Id="rId5" Type="http://schemas.openxmlformats.org/officeDocument/2006/relationships/image" Target="media/image1.bin"/><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13</cp:revision>
  <dcterms:created xsi:type="dcterms:W3CDTF">2025-11-02T12:31:00Z</dcterms:created>
  <dcterms:modified xsi:type="dcterms:W3CDTF">2025-11-09T18:22:00Z</dcterms:modified>
</cp:coreProperties>
</file>