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A839" w14:textId="77777777" w:rsidR="00234DBC" w:rsidRPr="005E45CA" w:rsidRDefault="00234DBC" w:rsidP="00234DBC">
      <w:pPr>
        <w:spacing w:after="0" w:line="240" w:lineRule="auto"/>
        <w:rPr>
          <w:rFonts w:ascii="Times New Roman" w:eastAsia="Times New Roman" w:hAnsi="Times New Roman" w:cs="Times New Roman"/>
          <w:color w:val="000000"/>
          <w:lang w:val="en-US"/>
        </w:rPr>
      </w:pPr>
    </w:p>
    <w:p w14:paraId="1E0E8C78" w14:textId="77777777" w:rsidR="00234DBC" w:rsidRPr="00234DBC" w:rsidRDefault="00234DBC" w:rsidP="00234DBC">
      <w:pPr>
        <w:spacing w:after="0" w:line="240" w:lineRule="auto"/>
        <w:rPr>
          <w:rFonts w:ascii="Times New Roman" w:eastAsia="Times New Roman" w:hAnsi="Times New Roman" w:cs="Times New Roman"/>
          <w:color w:val="000000"/>
          <w:lang w:val="en-US"/>
        </w:rPr>
      </w:pPr>
    </w:p>
    <w:tbl>
      <w:tblPr>
        <w:tblW w:w="0" w:type="auto"/>
        <w:tblLook w:val="01E0" w:firstRow="1" w:lastRow="1" w:firstColumn="1" w:lastColumn="1" w:noHBand="0" w:noVBand="0"/>
      </w:tblPr>
      <w:tblGrid>
        <w:gridCol w:w="4785"/>
        <w:gridCol w:w="4785"/>
      </w:tblGrid>
      <w:tr w:rsidR="00234DBC" w:rsidRPr="00234DBC" w14:paraId="35A430B7" w14:textId="77777777" w:rsidTr="004E5489">
        <w:tc>
          <w:tcPr>
            <w:tcW w:w="4785" w:type="dxa"/>
          </w:tcPr>
          <w:p w14:paraId="2F2F9171" w14:textId="77777777" w:rsidR="00234DBC" w:rsidRPr="00234DBC" w:rsidRDefault="00234DBC" w:rsidP="00234DBC">
            <w:pPr>
              <w:spacing w:after="0" w:line="240" w:lineRule="auto"/>
              <w:jc w:val="center"/>
              <w:rPr>
                <w:rFonts w:ascii="Times New Roman" w:eastAsia="Times New Roman" w:hAnsi="Times New Roman" w:cs="Times New Roman"/>
                <w:bCs/>
                <w:color w:val="000000"/>
              </w:rPr>
            </w:pPr>
          </w:p>
        </w:tc>
        <w:tc>
          <w:tcPr>
            <w:tcW w:w="4785" w:type="dxa"/>
          </w:tcPr>
          <w:p w14:paraId="4EEB5838" w14:textId="77777777" w:rsidR="00234DBC" w:rsidRPr="00234DBC" w:rsidRDefault="00234DBC" w:rsidP="00234DBC">
            <w:pPr>
              <w:spacing w:after="0" w:line="240" w:lineRule="auto"/>
              <w:jc w:val="center"/>
              <w:rPr>
                <w:rFonts w:ascii="Times New Roman" w:eastAsia="Times New Roman" w:hAnsi="Times New Roman" w:cs="Times New Roman"/>
                <w:bCs/>
                <w:color w:val="000000"/>
              </w:rPr>
            </w:pPr>
          </w:p>
        </w:tc>
      </w:tr>
      <w:tr w:rsidR="00234DBC" w:rsidRPr="00234DBC" w14:paraId="18B123B8" w14:textId="77777777" w:rsidTr="004E5489">
        <w:tc>
          <w:tcPr>
            <w:tcW w:w="4785" w:type="dxa"/>
          </w:tcPr>
          <w:p w14:paraId="76EDA42F" w14:textId="77777777" w:rsidR="00234DBC" w:rsidRPr="00234DBC" w:rsidRDefault="00234DBC" w:rsidP="00234DBC">
            <w:pPr>
              <w:spacing w:after="0" w:line="240" w:lineRule="auto"/>
              <w:jc w:val="center"/>
              <w:rPr>
                <w:rFonts w:ascii="Times New Roman" w:eastAsia="Times New Roman" w:hAnsi="Times New Roman" w:cs="Times New Roman"/>
                <w:bCs/>
                <w:color w:val="000000"/>
              </w:rPr>
            </w:pPr>
          </w:p>
        </w:tc>
        <w:tc>
          <w:tcPr>
            <w:tcW w:w="4785" w:type="dxa"/>
          </w:tcPr>
          <w:p w14:paraId="15C098C3" w14:textId="77777777" w:rsidR="00234DBC" w:rsidRPr="00234DBC" w:rsidRDefault="00234DBC" w:rsidP="00234DBC">
            <w:pPr>
              <w:spacing w:after="0" w:line="240" w:lineRule="auto"/>
              <w:jc w:val="center"/>
              <w:rPr>
                <w:rFonts w:ascii="Times New Roman" w:eastAsia="Times New Roman" w:hAnsi="Times New Roman" w:cs="Times New Roman"/>
                <w:bCs/>
                <w:color w:val="000000"/>
              </w:rPr>
            </w:pPr>
          </w:p>
        </w:tc>
      </w:tr>
      <w:tr w:rsidR="00234DBC" w:rsidRPr="005F34A9" w14:paraId="5662B78F" w14:textId="77777777" w:rsidTr="004E5489">
        <w:tc>
          <w:tcPr>
            <w:tcW w:w="4785" w:type="dxa"/>
          </w:tcPr>
          <w:p w14:paraId="5EB40A21" w14:textId="77777777" w:rsidR="00234DBC" w:rsidRPr="00234DBC" w:rsidRDefault="00234DBC" w:rsidP="00234DBC">
            <w:pPr>
              <w:spacing w:after="0" w:line="240" w:lineRule="auto"/>
              <w:jc w:val="center"/>
              <w:rPr>
                <w:rFonts w:ascii="Times New Roman" w:eastAsia="Times New Roman" w:hAnsi="Times New Roman" w:cs="Times New Roman"/>
                <w:bCs/>
                <w:color w:val="000000"/>
              </w:rPr>
            </w:pPr>
          </w:p>
        </w:tc>
        <w:tc>
          <w:tcPr>
            <w:tcW w:w="4785" w:type="dxa"/>
          </w:tcPr>
          <w:p w14:paraId="3BF58E59"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r w:rsidRPr="005F34A9">
              <w:rPr>
                <w:rFonts w:ascii="Times New Roman" w:eastAsia="Times New Roman" w:hAnsi="Times New Roman" w:cs="Times New Roman"/>
                <w:bCs/>
                <w:color w:val="000000"/>
                <w:highlight w:val="yellow"/>
              </w:rPr>
              <w:t>ЗАТВЕРДЖЕНО</w:t>
            </w:r>
          </w:p>
        </w:tc>
      </w:tr>
      <w:tr w:rsidR="00234DBC" w:rsidRPr="005F34A9" w14:paraId="141062EC" w14:textId="77777777" w:rsidTr="00C65FAA">
        <w:trPr>
          <w:trHeight w:val="263"/>
        </w:trPr>
        <w:tc>
          <w:tcPr>
            <w:tcW w:w="4785" w:type="dxa"/>
          </w:tcPr>
          <w:p w14:paraId="2428D0E0"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c>
          <w:tcPr>
            <w:tcW w:w="4785" w:type="dxa"/>
          </w:tcPr>
          <w:p w14:paraId="4CE1F8BE" w14:textId="77777777" w:rsidR="00234DBC" w:rsidRPr="005F34A9" w:rsidRDefault="009B490D" w:rsidP="00234DBC">
            <w:pPr>
              <w:spacing w:after="0" w:line="240" w:lineRule="auto"/>
              <w:jc w:val="center"/>
              <w:rPr>
                <w:rFonts w:ascii="Times New Roman" w:eastAsia="Times New Roman" w:hAnsi="Times New Roman" w:cs="Times New Roman"/>
                <w:color w:val="000000"/>
                <w:highlight w:val="yellow"/>
              </w:rPr>
            </w:pPr>
            <w:r w:rsidRPr="005F34A9">
              <w:rPr>
                <w:rFonts w:ascii="Times New Roman" w:eastAsia="Times New Roman" w:hAnsi="Times New Roman" w:cs="Times New Roman"/>
                <w:color w:val="000000"/>
                <w:highlight w:val="yellow"/>
              </w:rPr>
              <w:t>рішенням уповноваженої особи</w:t>
            </w:r>
          </w:p>
        </w:tc>
      </w:tr>
      <w:tr w:rsidR="00234DBC" w:rsidRPr="005F34A9" w14:paraId="2089C46D" w14:textId="77777777" w:rsidTr="004E5489">
        <w:tc>
          <w:tcPr>
            <w:tcW w:w="4785" w:type="dxa"/>
          </w:tcPr>
          <w:p w14:paraId="53AFBFAA"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c>
          <w:tcPr>
            <w:tcW w:w="4785" w:type="dxa"/>
          </w:tcPr>
          <w:p w14:paraId="1858C4FC" w14:textId="473267EE" w:rsidR="00234DBC" w:rsidRPr="005F34A9" w:rsidRDefault="00234DBC" w:rsidP="00DE22F7">
            <w:pPr>
              <w:shd w:val="clear" w:color="auto" w:fill="FFFFFF"/>
              <w:spacing w:after="0" w:line="264" w:lineRule="auto"/>
              <w:ind w:right="1"/>
              <w:jc w:val="center"/>
              <w:rPr>
                <w:rFonts w:ascii="Times New Roman" w:eastAsia="Times New Roman" w:hAnsi="Times New Roman" w:cs="Times New Roman"/>
                <w:color w:val="000000"/>
                <w:highlight w:val="yellow"/>
                <w:lang w:val="en-US"/>
              </w:rPr>
            </w:pPr>
            <w:r w:rsidRPr="005F34A9">
              <w:rPr>
                <w:rFonts w:ascii="Times New Roman" w:eastAsia="Times New Roman" w:hAnsi="Times New Roman" w:cs="Times New Roman"/>
                <w:color w:val="000000"/>
                <w:highlight w:val="yellow"/>
              </w:rPr>
              <w:t xml:space="preserve">(протокол № </w:t>
            </w:r>
            <w:r w:rsidR="00421B4E" w:rsidRPr="005F34A9">
              <w:rPr>
                <w:rFonts w:ascii="Times New Roman" w:eastAsia="Times New Roman" w:hAnsi="Times New Roman" w:cs="Times New Roman"/>
                <w:color w:val="000000"/>
                <w:highlight w:val="yellow"/>
              </w:rPr>
              <w:t>2</w:t>
            </w:r>
            <w:r w:rsidR="00A5537D" w:rsidRPr="005F34A9">
              <w:rPr>
                <w:rFonts w:ascii="Times New Roman" w:eastAsia="Times New Roman" w:hAnsi="Times New Roman" w:cs="Times New Roman"/>
                <w:color w:val="000000"/>
                <w:highlight w:val="yellow"/>
                <w:lang w:val="ru-RU"/>
              </w:rPr>
              <w:t>4</w:t>
            </w:r>
            <w:r w:rsidR="00421B4E" w:rsidRPr="005F34A9">
              <w:rPr>
                <w:rFonts w:ascii="Times New Roman" w:eastAsia="Times New Roman" w:hAnsi="Times New Roman" w:cs="Times New Roman"/>
                <w:color w:val="000000"/>
                <w:highlight w:val="yellow"/>
              </w:rPr>
              <w:t>/ПО/</w:t>
            </w:r>
            <w:r w:rsidR="00A5537D" w:rsidRPr="005F34A9">
              <w:rPr>
                <w:rFonts w:ascii="Times New Roman" w:eastAsia="Times New Roman" w:hAnsi="Times New Roman" w:cs="Times New Roman"/>
                <w:color w:val="000000"/>
                <w:highlight w:val="yellow"/>
                <w:lang w:val="ru-RU"/>
              </w:rPr>
              <w:t>0</w:t>
            </w:r>
            <w:r w:rsidR="005B4263" w:rsidRPr="005F34A9">
              <w:rPr>
                <w:rFonts w:ascii="Times New Roman" w:eastAsia="Times New Roman" w:hAnsi="Times New Roman" w:cs="Times New Roman"/>
                <w:color w:val="000000"/>
                <w:highlight w:val="yellow"/>
                <w:lang w:val="en-US"/>
              </w:rPr>
              <w:t>13</w:t>
            </w:r>
          </w:p>
        </w:tc>
      </w:tr>
      <w:tr w:rsidR="00234DBC" w:rsidRPr="005F34A9" w14:paraId="227A7775" w14:textId="77777777" w:rsidTr="004E5489">
        <w:tc>
          <w:tcPr>
            <w:tcW w:w="4785" w:type="dxa"/>
          </w:tcPr>
          <w:p w14:paraId="60414B02"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c>
          <w:tcPr>
            <w:tcW w:w="4785" w:type="dxa"/>
            <w:shd w:val="clear" w:color="auto" w:fill="auto"/>
          </w:tcPr>
          <w:p w14:paraId="43E77B85" w14:textId="29C16B56" w:rsidR="00234DBC" w:rsidRPr="005F34A9" w:rsidRDefault="00234DBC" w:rsidP="00D231EF">
            <w:pPr>
              <w:spacing w:after="0" w:line="240" w:lineRule="auto"/>
              <w:jc w:val="center"/>
              <w:rPr>
                <w:rFonts w:ascii="Times New Roman" w:eastAsia="Times New Roman" w:hAnsi="Times New Roman" w:cs="Times New Roman"/>
                <w:color w:val="000000"/>
                <w:highlight w:val="yellow"/>
              </w:rPr>
            </w:pPr>
            <w:r w:rsidRPr="005F34A9">
              <w:rPr>
                <w:rFonts w:ascii="Times New Roman" w:eastAsia="Times New Roman" w:hAnsi="Times New Roman" w:cs="Times New Roman"/>
                <w:color w:val="000000"/>
                <w:highlight w:val="yellow"/>
              </w:rPr>
              <w:t>від «</w:t>
            </w:r>
            <w:r w:rsidR="0014460E" w:rsidRPr="005F34A9">
              <w:rPr>
                <w:rFonts w:ascii="Times New Roman" w:eastAsia="Times New Roman" w:hAnsi="Times New Roman" w:cs="Times New Roman"/>
                <w:color w:val="000000"/>
                <w:highlight w:val="yellow"/>
              </w:rPr>
              <w:t>25</w:t>
            </w:r>
            <w:r w:rsidR="009B490D" w:rsidRPr="005F34A9">
              <w:rPr>
                <w:rFonts w:ascii="Times New Roman" w:eastAsia="Times New Roman" w:hAnsi="Times New Roman" w:cs="Times New Roman"/>
                <w:color w:val="000000"/>
                <w:highlight w:val="yellow"/>
              </w:rPr>
              <w:t>»</w:t>
            </w:r>
            <w:r w:rsidR="00A5537D" w:rsidRPr="005F34A9">
              <w:rPr>
                <w:rFonts w:ascii="Times New Roman" w:eastAsia="Times New Roman" w:hAnsi="Times New Roman" w:cs="Times New Roman"/>
                <w:color w:val="000000"/>
                <w:highlight w:val="yellow"/>
              </w:rPr>
              <w:t xml:space="preserve"> </w:t>
            </w:r>
            <w:proofErr w:type="spellStart"/>
            <w:r w:rsidR="00A5537D" w:rsidRPr="005F34A9">
              <w:rPr>
                <w:rFonts w:ascii="Times New Roman" w:eastAsia="Times New Roman" w:hAnsi="Times New Roman" w:cs="Times New Roman"/>
                <w:color w:val="000000"/>
                <w:highlight w:val="yellow"/>
                <w:lang w:val="ru-RU"/>
              </w:rPr>
              <w:t>січня</w:t>
            </w:r>
            <w:proofErr w:type="spellEnd"/>
            <w:r w:rsidR="00A5537D" w:rsidRPr="005F34A9">
              <w:rPr>
                <w:rFonts w:ascii="Times New Roman" w:eastAsia="Times New Roman" w:hAnsi="Times New Roman" w:cs="Times New Roman"/>
                <w:color w:val="000000"/>
                <w:highlight w:val="yellow"/>
                <w:lang w:val="ru-RU"/>
              </w:rPr>
              <w:t xml:space="preserve"> </w:t>
            </w:r>
            <w:r w:rsidRPr="005F34A9">
              <w:rPr>
                <w:rFonts w:ascii="Times New Roman" w:eastAsia="Times New Roman" w:hAnsi="Times New Roman" w:cs="Times New Roman"/>
                <w:color w:val="000000"/>
                <w:highlight w:val="yellow"/>
              </w:rPr>
              <w:t>202</w:t>
            </w:r>
            <w:r w:rsidR="00A5537D" w:rsidRPr="005F34A9">
              <w:rPr>
                <w:rFonts w:ascii="Times New Roman" w:eastAsia="Times New Roman" w:hAnsi="Times New Roman" w:cs="Times New Roman"/>
                <w:color w:val="000000"/>
                <w:highlight w:val="yellow"/>
              </w:rPr>
              <w:t xml:space="preserve">4 </w:t>
            </w:r>
            <w:r w:rsidRPr="005F34A9">
              <w:rPr>
                <w:rFonts w:ascii="Times New Roman" w:eastAsia="Times New Roman" w:hAnsi="Times New Roman" w:cs="Times New Roman"/>
                <w:color w:val="000000"/>
                <w:highlight w:val="yellow"/>
              </w:rPr>
              <w:t>року)</w:t>
            </w:r>
          </w:p>
        </w:tc>
      </w:tr>
      <w:tr w:rsidR="00234DBC" w:rsidRPr="005F34A9" w14:paraId="52D21031" w14:textId="77777777" w:rsidTr="004E5489">
        <w:tc>
          <w:tcPr>
            <w:tcW w:w="4785" w:type="dxa"/>
          </w:tcPr>
          <w:p w14:paraId="4F458AAF"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c>
          <w:tcPr>
            <w:tcW w:w="4785" w:type="dxa"/>
          </w:tcPr>
          <w:p w14:paraId="39E64AD8" w14:textId="77777777" w:rsidR="00234DBC" w:rsidRPr="005F34A9" w:rsidRDefault="00234DBC" w:rsidP="00234DBC">
            <w:pPr>
              <w:spacing w:after="0" w:line="240" w:lineRule="auto"/>
              <w:jc w:val="center"/>
              <w:rPr>
                <w:rFonts w:ascii="Times New Roman" w:eastAsia="Times New Roman" w:hAnsi="Times New Roman" w:cs="Times New Roman"/>
                <w:color w:val="000000"/>
                <w:highlight w:val="yellow"/>
              </w:rPr>
            </w:pPr>
          </w:p>
        </w:tc>
      </w:tr>
      <w:tr w:rsidR="00234DBC" w:rsidRPr="005F34A9" w14:paraId="3EB42BC5" w14:textId="77777777" w:rsidTr="004E5489">
        <w:tc>
          <w:tcPr>
            <w:tcW w:w="4785" w:type="dxa"/>
          </w:tcPr>
          <w:p w14:paraId="5FC40BD4"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c>
          <w:tcPr>
            <w:tcW w:w="4785" w:type="dxa"/>
          </w:tcPr>
          <w:p w14:paraId="7F06B0A8"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r>
      <w:tr w:rsidR="00234DBC" w:rsidRPr="005F34A9" w14:paraId="1D17DF00" w14:textId="77777777" w:rsidTr="004E5489">
        <w:trPr>
          <w:trHeight w:val="143"/>
        </w:trPr>
        <w:tc>
          <w:tcPr>
            <w:tcW w:w="4785" w:type="dxa"/>
          </w:tcPr>
          <w:p w14:paraId="20FFFF75"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c>
          <w:tcPr>
            <w:tcW w:w="4785" w:type="dxa"/>
          </w:tcPr>
          <w:p w14:paraId="17F7EBA5"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r>
      <w:tr w:rsidR="00234DBC" w:rsidRPr="005F34A9" w14:paraId="317683FA" w14:textId="77777777" w:rsidTr="004E5489">
        <w:tc>
          <w:tcPr>
            <w:tcW w:w="4785" w:type="dxa"/>
          </w:tcPr>
          <w:p w14:paraId="37D2D679"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c>
          <w:tcPr>
            <w:tcW w:w="4785" w:type="dxa"/>
          </w:tcPr>
          <w:p w14:paraId="2E7AA0C5"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r>
      <w:tr w:rsidR="00234DBC" w:rsidRPr="005F34A9" w14:paraId="0CEE1501" w14:textId="77777777" w:rsidTr="004E5489">
        <w:tc>
          <w:tcPr>
            <w:tcW w:w="4785" w:type="dxa"/>
          </w:tcPr>
          <w:p w14:paraId="2AB1E291"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c>
          <w:tcPr>
            <w:tcW w:w="4785" w:type="dxa"/>
          </w:tcPr>
          <w:p w14:paraId="054D98DD" w14:textId="77777777" w:rsidR="00234DBC" w:rsidRPr="005F34A9" w:rsidRDefault="00234DBC" w:rsidP="00234DBC">
            <w:pPr>
              <w:spacing w:after="0" w:line="240" w:lineRule="auto"/>
              <w:jc w:val="center"/>
              <w:rPr>
                <w:rFonts w:ascii="Times New Roman" w:eastAsia="Times New Roman" w:hAnsi="Times New Roman" w:cs="Times New Roman"/>
                <w:bCs/>
                <w:color w:val="000000"/>
                <w:highlight w:val="yellow"/>
              </w:rPr>
            </w:pPr>
          </w:p>
        </w:tc>
      </w:tr>
    </w:tbl>
    <w:p w14:paraId="24A87C1D" w14:textId="77777777" w:rsidR="00234DBC" w:rsidRPr="005F34A9" w:rsidRDefault="00234DBC" w:rsidP="00234DBC">
      <w:pPr>
        <w:spacing w:after="0" w:line="240" w:lineRule="auto"/>
        <w:jc w:val="right"/>
        <w:rPr>
          <w:rFonts w:ascii="Times New Roman" w:eastAsia="Times New Roman" w:hAnsi="Times New Roman" w:cs="Times New Roman"/>
          <w:color w:val="000000"/>
          <w:highlight w:val="yellow"/>
        </w:rPr>
      </w:pPr>
    </w:p>
    <w:p w14:paraId="6EAE3994" w14:textId="77777777" w:rsidR="00234DBC" w:rsidRPr="005F34A9" w:rsidRDefault="00234DBC" w:rsidP="00234DBC">
      <w:pPr>
        <w:spacing w:after="0" w:line="240" w:lineRule="auto"/>
        <w:jc w:val="right"/>
        <w:rPr>
          <w:rFonts w:ascii="Times New Roman" w:eastAsia="Times New Roman" w:hAnsi="Times New Roman" w:cs="Times New Roman"/>
          <w:color w:val="000000"/>
          <w:highlight w:val="yellow"/>
        </w:rPr>
      </w:pPr>
    </w:p>
    <w:p w14:paraId="2CE3C2D3" w14:textId="77777777" w:rsidR="00234DBC" w:rsidRPr="005F34A9" w:rsidRDefault="00234DBC" w:rsidP="00234DBC">
      <w:pPr>
        <w:spacing w:after="0" w:line="240" w:lineRule="auto"/>
        <w:jc w:val="right"/>
        <w:rPr>
          <w:rFonts w:ascii="Times New Roman" w:eastAsia="Times New Roman" w:hAnsi="Times New Roman" w:cs="Times New Roman"/>
          <w:color w:val="000000"/>
          <w:highlight w:val="yellow"/>
        </w:rPr>
      </w:pPr>
    </w:p>
    <w:p w14:paraId="38B5ED66" w14:textId="77777777" w:rsidR="00234DBC" w:rsidRPr="005F34A9" w:rsidRDefault="00234DBC" w:rsidP="00234DBC">
      <w:pPr>
        <w:spacing w:after="0" w:line="240" w:lineRule="auto"/>
        <w:jc w:val="right"/>
        <w:rPr>
          <w:rFonts w:ascii="Times New Roman" w:eastAsia="Times New Roman" w:hAnsi="Times New Roman" w:cs="Times New Roman"/>
          <w:color w:val="000000"/>
          <w:highlight w:val="yellow"/>
        </w:rPr>
      </w:pPr>
    </w:p>
    <w:p w14:paraId="3661263E" w14:textId="77777777" w:rsidR="00234DBC" w:rsidRPr="005F34A9" w:rsidRDefault="00234DBC" w:rsidP="00234DBC">
      <w:pPr>
        <w:spacing w:after="0" w:line="240" w:lineRule="auto"/>
        <w:jc w:val="right"/>
        <w:rPr>
          <w:rFonts w:ascii="Times New Roman" w:eastAsia="Times New Roman" w:hAnsi="Times New Roman" w:cs="Times New Roman"/>
          <w:color w:val="000000"/>
          <w:highlight w:val="yellow"/>
        </w:rPr>
      </w:pPr>
    </w:p>
    <w:p w14:paraId="4804D73D" w14:textId="77777777" w:rsidR="00234DBC" w:rsidRPr="005F34A9" w:rsidRDefault="00234DBC" w:rsidP="00234DBC">
      <w:pPr>
        <w:spacing w:after="0" w:line="240" w:lineRule="auto"/>
        <w:jc w:val="right"/>
        <w:rPr>
          <w:rFonts w:ascii="Times New Roman" w:eastAsia="Times New Roman" w:hAnsi="Times New Roman" w:cs="Times New Roman"/>
          <w:color w:val="000000"/>
          <w:highlight w:val="yellow"/>
        </w:rPr>
      </w:pPr>
    </w:p>
    <w:tbl>
      <w:tblPr>
        <w:tblW w:w="0" w:type="auto"/>
        <w:tblLook w:val="01E0" w:firstRow="1" w:lastRow="1" w:firstColumn="1" w:lastColumn="1" w:noHBand="0" w:noVBand="0"/>
      </w:tblPr>
      <w:tblGrid>
        <w:gridCol w:w="9354"/>
      </w:tblGrid>
      <w:tr w:rsidR="00234DBC" w:rsidRPr="005F34A9" w14:paraId="3D76C479" w14:textId="77777777" w:rsidTr="004E5489">
        <w:tc>
          <w:tcPr>
            <w:tcW w:w="9354" w:type="dxa"/>
          </w:tcPr>
          <w:p w14:paraId="7CC21A45" w14:textId="77777777" w:rsidR="00234DBC" w:rsidRPr="005F34A9" w:rsidRDefault="00234DBC" w:rsidP="00234DBC">
            <w:pPr>
              <w:spacing w:after="0" w:line="240" w:lineRule="auto"/>
              <w:jc w:val="center"/>
              <w:outlineLvl w:val="2"/>
              <w:rPr>
                <w:rFonts w:ascii="Times New Roman" w:eastAsia="Times New Roman" w:hAnsi="Times New Roman" w:cs="Times New Roman"/>
                <w:b/>
                <w:bCs/>
                <w:color w:val="000000"/>
                <w:highlight w:val="yellow"/>
                <w:lang w:eastAsia="ru-RU"/>
              </w:rPr>
            </w:pPr>
            <w:r w:rsidRPr="005F34A9">
              <w:rPr>
                <w:rFonts w:ascii="Times New Roman" w:eastAsia="Times New Roman" w:hAnsi="Times New Roman" w:cs="Times New Roman"/>
                <w:b/>
                <w:bCs/>
                <w:color w:val="000000"/>
                <w:highlight w:val="yellow"/>
                <w:lang w:eastAsia="ru-RU"/>
              </w:rPr>
              <w:t>ТЕНДЕРНА  ДОКУМЕНТАЦІЯ</w:t>
            </w:r>
          </w:p>
        </w:tc>
      </w:tr>
      <w:tr w:rsidR="00234DBC" w:rsidRPr="005F34A9" w14:paraId="3C93EBEB" w14:textId="77777777" w:rsidTr="004E5489">
        <w:tc>
          <w:tcPr>
            <w:tcW w:w="9354" w:type="dxa"/>
          </w:tcPr>
          <w:p w14:paraId="105C3618" w14:textId="77777777" w:rsidR="00234DBC" w:rsidRPr="005F34A9" w:rsidRDefault="00234DBC" w:rsidP="00234DBC">
            <w:pPr>
              <w:spacing w:after="0" w:line="240" w:lineRule="auto"/>
              <w:jc w:val="center"/>
              <w:outlineLvl w:val="2"/>
              <w:rPr>
                <w:rFonts w:ascii="Times New Roman" w:eastAsia="Times New Roman" w:hAnsi="Times New Roman" w:cs="Times New Roman"/>
                <w:b/>
                <w:bCs/>
                <w:color w:val="000000"/>
                <w:highlight w:val="yellow"/>
                <w:lang w:eastAsia="ru-RU"/>
              </w:rPr>
            </w:pPr>
          </w:p>
        </w:tc>
      </w:tr>
      <w:tr w:rsidR="00234DBC" w:rsidRPr="005F34A9" w14:paraId="377FDB9E" w14:textId="77777777" w:rsidTr="004E5489">
        <w:tc>
          <w:tcPr>
            <w:tcW w:w="9354" w:type="dxa"/>
          </w:tcPr>
          <w:p w14:paraId="11CE6EDD" w14:textId="77777777" w:rsidR="00234DBC" w:rsidRPr="005F34A9" w:rsidRDefault="00234DBC" w:rsidP="00234DBC">
            <w:pPr>
              <w:spacing w:after="0" w:line="240" w:lineRule="auto"/>
              <w:jc w:val="center"/>
              <w:outlineLvl w:val="2"/>
              <w:rPr>
                <w:rFonts w:ascii="Times New Roman" w:eastAsia="Times New Roman" w:hAnsi="Times New Roman" w:cs="Times New Roman"/>
                <w:b/>
                <w:bCs/>
                <w:color w:val="000000"/>
                <w:highlight w:val="yellow"/>
                <w:lang w:eastAsia="ru-RU"/>
              </w:rPr>
            </w:pPr>
            <w:r w:rsidRPr="005F34A9">
              <w:rPr>
                <w:rFonts w:ascii="Times New Roman" w:eastAsia="Times New Roman" w:hAnsi="Times New Roman" w:cs="Times New Roman"/>
                <w:b/>
                <w:bCs/>
                <w:color w:val="000000"/>
                <w:highlight w:val="yellow"/>
                <w:lang w:eastAsia="ru-RU"/>
              </w:rPr>
              <w:t>по предмету закупівлі</w:t>
            </w:r>
          </w:p>
        </w:tc>
      </w:tr>
      <w:tr w:rsidR="00234DBC" w:rsidRPr="005F34A9" w14:paraId="4003F901" w14:textId="77777777" w:rsidTr="004E5489">
        <w:trPr>
          <w:trHeight w:val="183"/>
        </w:trPr>
        <w:tc>
          <w:tcPr>
            <w:tcW w:w="9354" w:type="dxa"/>
          </w:tcPr>
          <w:p w14:paraId="3F19133E" w14:textId="77777777" w:rsidR="00234DBC" w:rsidRPr="005F34A9" w:rsidRDefault="00234DBC" w:rsidP="00234DBC">
            <w:pPr>
              <w:spacing w:after="0" w:line="240" w:lineRule="auto"/>
              <w:jc w:val="center"/>
              <w:outlineLvl w:val="2"/>
              <w:rPr>
                <w:rFonts w:ascii="Times New Roman" w:eastAsia="Times New Roman" w:hAnsi="Times New Roman" w:cs="Times New Roman"/>
                <w:b/>
                <w:bCs/>
                <w:color w:val="000000"/>
                <w:highlight w:val="yellow"/>
                <w:lang w:eastAsia="ru-RU"/>
              </w:rPr>
            </w:pPr>
          </w:p>
        </w:tc>
      </w:tr>
    </w:tbl>
    <w:p w14:paraId="76379874" w14:textId="2592D64A" w:rsidR="00234DBC" w:rsidRPr="00234DBC" w:rsidRDefault="001E0B36" w:rsidP="006A03B4">
      <w:pPr>
        <w:spacing w:after="0" w:line="276" w:lineRule="auto"/>
        <w:jc w:val="center"/>
        <w:rPr>
          <w:rFonts w:ascii="Times New Roman" w:eastAsia="Times New Roman" w:hAnsi="Times New Roman" w:cs="Times New Roman"/>
          <w:b/>
          <w:color w:val="000000"/>
          <w:shd w:val="clear" w:color="auto" w:fill="FFFFFF"/>
        </w:rPr>
      </w:pPr>
      <w:r w:rsidRPr="005F34A9">
        <w:rPr>
          <w:rFonts w:ascii="Times New Roman" w:eastAsia="Times New Roman" w:hAnsi="Times New Roman" w:cs="Times New Roman"/>
          <w:b/>
          <w:bCs/>
          <w:color w:val="000000"/>
          <w:highlight w:val="yellow"/>
          <w:shd w:val="clear" w:color="auto" w:fill="FFFFFF"/>
        </w:rPr>
        <w:t>«</w:t>
      </w:r>
      <w:r w:rsidR="005B4263" w:rsidRPr="005F34A9">
        <w:rPr>
          <w:rFonts w:ascii="Times New Roman" w:eastAsia="Times New Roman" w:hAnsi="Times New Roman" w:cs="Times New Roman"/>
          <w:b/>
          <w:bCs/>
          <w:color w:val="000000"/>
          <w:highlight w:val="yellow"/>
          <w:shd w:val="clear" w:color="auto" w:fill="FFFFFF"/>
        </w:rPr>
        <w:t xml:space="preserve">Послуги з ремонту і технічного обслуговування мототранспортних засобів і супутнього обладнання (Ремонт та технічне обслуговування </w:t>
      </w:r>
      <w:proofErr w:type="spellStart"/>
      <w:r w:rsidR="005B4263" w:rsidRPr="005F34A9">
        <w:rPr>
          <w:rFonts w:ascii="Times New Roman" w:eastAsia="Times New Roman" w:hAnsi="Times New Roman" w:cs="Times New Roman"/>
          <w:b/>
          <w:bCs/>
          <w:color w:val="000000"/>
          <w:highlight w:val="yellow"/>
          <w:shd w:val="clear" w:color="auto" w:fill="FFFFFF"/>
        </w:rPr>
        <w:t>дорожньо</w:t>
      </w:r>
      <w:proofErr w:type="spellEnd"/>
      <w:r w:rsidR="005B4263" w:rsidRPr="005F34A9">
        <w:rPr>
          <w:rFonts w:ascii="Times New Roman" w:eastAsia="Times New Roman" w:hAnsi="Times New Roman" w:cs="Times New Roman"/>
          <w:b/>
          <w:bCs/>
          <w:color w:val="000000"/>
          <w:highlight w:val="yellow"/>
          <w:shd w:val="clear" w:color="auto" w:fill="FFFFFF"/>
        </w:rPr>
        <w:t>-будівельної техніки марки JCB)</w:t>
      </w:r>
      <w:r w:rsidR="00A5537D" w:rsidRPr="005F34A9">
        <w:rPr>
          <w:rFonts w:ascii="Times New Roman" w:eastAsia="Times New Roman" w:hAnsi="Times New Roman" w:cs="Times New Roman"/>
          <w:b/>
          <w:bCs/>
          <w:color w:val="000000"/>
          <w:highlight w:val="yellow"/>
          <w:shd w:val="clear" w:color="auto" w:fill="FFFFFF"/>
        </w:rPr>
        <w:t>»</w:t>
      </w:r>
      <w:r w:rsidR="00234DBC" w:rsidRPr="00234DBC">
        <w:rPr>
          <w:rFonts w:ascii="Times New Roman" w:eastAsia="Times New Roman" w:hAnsi="Times New Roman" w:cs="Times New Roman"/>
          <w:b/>
          <w:color w:val="000000"/>
          <w:shd w:val="clear" w:color="auto" w:fill="FFFFFF"/>
        </w:rPr>
        <w:br w:type="page"/>
      </w:r>
    </w:p>
    <w:tbl>
      <w:tblPr>
        <w:tblW w:w="9996" w:type="dxa"/>
        <w:jc w:val="center"/>
        <w:tblLook w:val="04A0" w:firstRow="1" w:lastRow="0" w:firstColumn="1" w:lastColumn="0" w:noHBand="0" w:noVBand="1"/>
      </w:tblPr>
      <w:tblGrid>
        <w:gridCol w:w="576"/>
        <w:gridCol w:w="9420"/>
      </w:tblGrid>
      <w:tr w:rsidR="00234DBC" w:rsidRPr="005F34A9" w14:paraId="75690C83" w14:textId="77777777" w:rsidTr="00664596">
        <w:trPr>
          <w:trHeight w:val="283"/>
          <w:jc w:val="center"/>
        </w:trPr>
        <w:tc>
          <w:tcPr>
            <w:tcW w:w="576" w:type="dxa"/>
            <w:vAlign w:val="center"/>
          </w:tcPr>
          <w:p w14:paraId="3303990C" w14:textId="77777777" w:rsidR="00234DBC" w:rsidRPr="00234DBC" w:rsidRDefault="00234DBC" w:rsidP="00234DBC">
            <w:pPr>
              <w:widowControl w:val="0"/>
              <w:spacing w:after="0" w:line="216" w:lineRule="auto"/>
              <w:contextualSpacing/>
              <w:rPr>
                <w:rFonts w:ascii="Times New Roman" w:eastAsia="Times New Roman" w:hAnsi="Times New Roman" w:cs="Times New Roman"/>
                <w:b/>
                <w:color w:val="000000"/>
                <w:lang w:eastAsia="uk-UA"/>
              </w:rPr>
            </w:pPr>
          </w:p>
        </w:tc>
        <w:tc>
          <w:tcPr>
            <w:tcW w:w="9420" w:type="dxa"/>
            <w:vAlign w:val="center"/>
          </w:tcPr>
          <w:p w14:paraId="2C13246C" w14:textId="77777777" w:rsidR="00234DBC" w:rsidRPr="005F34A9" w:rsidRDefault="00234DBC" w:rsidP="00234DBC">
            <w:pPr>
              <w:widowControl w:val="0"/>
              <w:spacing w:after="0" w:line="216" w:lineRule="auto"/>
              <w:contextualSpacing/>
              <w:jc w:val="center"/>
              <w:rPr>
                <w:rFonts w:ascii="Times New Roman" w:eastAsia="Times New Roman" w:hAnsi="Times New Roman" w:cs="Times New Roman"/>
                <w:b/>
                <w:color w:val="000000"/>
                <w:highlight w:val="yellow"/>
                <w:bdr w:val="none" w:sz="0" w:space="0" w:color="auto" w:frame="1"/>
                <w:lang w:eastAsia="uk-UA"/>
              </w:rPr>
            </w:pPr>
            <w:r w:rsidRPr="005F34A9">
              <w:rPr>
                <w:rFonts w:ascii="Times New Roman" w:eastAsia="Times New Roman" w:hAnsi="Times New Roman" w:cs="Times New Roman"/>
                <w:b/>
                <w:color w:val="000000"/>
                <w:highlight w:val="yellow"/>
                <w:bdr w:val="none" w:sz="0" w:space="0" w:color="auto" w:frame="1"/>
                <w:lang w:eastAsia="uk-UA"/>
              </w:rPr>
              <w:t>ЗМІСТ</w:t>
            </w:r>
          </w:p>
        </w:tc>
      </w:tr>
      <w:tr w:rsidR="00234DBC" w:rsidRPr="005F34A9" w14:paraId="41BC4808" w14:textId="77777777" w:rsidTr="00664596">
        <w:trPr>
          <w:trHeight w:val="283"/>
          <w:jc w:val="center"/>
        </w:trPr>
        <w:tc>
          <w:tcPr>
            <w:tcW w:w="576" w:type="dxa"/>
            <w:vAlign w:val="center"/>
          </w:tcPr>
          <w:p w14:paraId="5A11F027"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lang w:eastAsia="uk-UA"/>
              </w:rPr>
            </w:pPr>
          </w:p>
        </w:tc>
        <w:tc>
          <w:tcPr>
            <w:tcW w:w="9420" w:type="dxa"/>
            <w:vAlign w:val="center"/>
          </w:tcPr>
          <w:p w14:paraId="7D36FE07"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bdr w:val="none" w:sz="0" w:space="0" w:color="auto" w:frame="1"/>
                <w:lang w:eastAsia="uk-UA"/>
              </w:rPr>
            </w:pPr>
          </w:p>
        </w:tc>
      </w:tr>
      <w:tr w:rsidR="00234DBC" w:rsidRPr="005F34A9" w14:paraId="0F4C447D" w14:textId="77777777" w:rsidTr="00664596">
        <w:trPr>
          <w:trHeight w:val="283"/>
          <w:jc w:val="center"/>
        </w:trPr>
        <w:tc>
          <w:tcPr>
            <w:tcW w:w="576" w:type="dxa"/>
            <w:vAlign w:val="center"/>
          </w:tcPr>
          <w:p w14:paraId="6F242D8D"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lang w:eastAsia="uk-UA"/>
              </w:rPr>
            </w:pPr>
          </w:p>
        </w:tc>
        <w:tc>
          <w:tcPr>
            <w:tcW w:w="9420" w:type="dxa"/>
            <w:vAlign w:val="center"/>
          </w:tcPr>
          <w:p w14:paraId="59F46179"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bdr w:val="none" w:sz="0" w:space="0" w:color="auto" w:frame="1"/>
                <w:lang w:eastAsia="uk-UA"/>
              </w:rPr>
            </w:pPr>
            <w:r w:rsidRPr="005F34A9">
              <w:rPr>
                <w:rFonts w:ascii="Times New Roman" w:eastAsia="Times New Roman" w:hAnsi="Times New Roman" w:cs="Times New Roman"/>
                <w:b/>
                <w:color w:val="000000"/>
                <w:highlight w:val="yellow"/>
                <w:bdr w:val="none" w:sz="0" w:space="0" w:color="auto" w:frame="1"/>
                <w:lang w:eastAsia="uk-UA"/>
              </w:rPr>
              <w:t>Зведена інформація про закупівлю</w:t>
            </w:r>
          </w:p>
        </w:tc>
      </w:tr>
      <w:tr w:rsidR="00234DBC" w:rsidRPr="005F34A9" w14:paraId="11AE974B" w14:textId="77777777" w:rsidTr="00664596">
        <w:trPr>
          <w:trHeight w:val="283"/>
          <w:jc w:val="center"/>
        </w:trPr>
        <w:tc>
          <w:tcPr>
            <w:tcW w:w="576" w:type="dxa"/>
            <w:vAlign w:val="center"/>
          </w:tcPr>
          <w:p w14:paraId="7BEC279A"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lang w:eastAsia="uk-UA"/>
              </w:rPr>
            </w:pPr>
          </w:p>
        </w:tc>
        <w:tc>
          <w:tcPr>
            <w:tcW w:w="9420" w:type="dxa"/>
            <w:vAlign w:val="center"/>
          </w:tcPr>
          <w:p w14:paraId="2DB847FE"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bdr w:val="none" w:sz="0" w:space="0" w:color="auto" w:frame="1"/>
                <w:lang w:eastAsia="uk-UA"/>
              </w:rPr>
            </w:pPr>
          </w:p>
        </w:tc>
      </w:tr>
      <w:tr w:rsidR="00234DBC" w:rsidRPr="005F34A9" w14:paraId="2E57BC8B" w14:textId="77777777" w:rsidTr="00664596">
        <w:trPr>
          <w:trHeight w:val="283"/>
          <w:jc w:val="center"/>
        </w:trPr>
        <w:tc>
          <w:tcPr>
            <w:tcW w:w="576" w:type="dxa"/>
            <w:vAlign w:val="center"/>
          </w:tcPr>
          <w:p w14:paraId="71EEDEAD"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lang w:eastAsia="uk-UA"/>
              </w:rPr>
            </w:pPr>
          </w:p>
        </w:tc>
        <w:tc>
          <w:tcPr>
            <w:tcW w:w="9420" w:type="dxa"/>
            <w:vAlign w:val="center"/>
          </w:tcPr>
          <w:p w14:paraId="73E18928"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bdr w:val="none" w:sz="0" w:space="0" w:color="auto" w:frame="1"/>
                <w:lang w:eastAsia="uk-UA"/>
              </w:rPr>
            </w:pPr>
            <w:r w:rsidRPr="005F34A9">
              <w:rPr>
                <w:rFonts w:ascii="Times New Roman" w:eastAsia="Times New Roman" w:hAnsi="Times New Roman" w:cs="Times New Roman"/>
                <w:b/>
                <w:color w:val="000000"/>
                <w:highlight w:val="yellow"/>
                <w:bdr w:val="none" w:sz="0" w:space="0" w:color="auto" w:frame="1"/>
                <w:lang w:eastAsia="uk-UA"/>
              </w:rPr>
              <w:t>Загальна інструкція учасникам процедури закупівлі</w:t>
            </w:r>
          </w:p>
        </w:tc>
      </w:tr>
      <w:tr w:rsidR="00234DBC" w:rsidRPr="005F34A9" w14:paraId="246B44D9" w14:textId="77777777" w:rsidTr="00664596">
        <w:trPr>
          <w:trHeight w:val="283"/>
          <w:jc w:val="center"/>
        </w:trPr>
        <w:tc>
          <w:tcPr>
            <w:tcW w:w="576" w:type="dxa"/>
            <w:vAlign w:val="center"/>
          </w:tcPr>
          <w:p w14:paraId="76E8E175"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lang w:eastAsia="uk-UA"/>
              </w:rPr>
            </w:pPr>
          </w:p>
        </w:tc>
        <w:tc>
          <w:tcPr>
            <w:tcW w:w="9420" w:type="dxa"/>
            <w:vAlign w:val="center"/>
          </w:tcPr>
          <w:p w14:paraId="5F1E31D9" w14:textId="77777777" w:rsidR="00234DBC" w:rsidRPr="005F34A9" w:rsidRDefault="00234DBC" w:rsidP="00234DBC">
            <w:pPr>
              <w:widowControl w:val="0"/>
              <w:spacing w:after="0" w:line="216" w:lineRule="auto"/>
              <w:contextualSpacing/>
              <w:rPr>
                <w:rFonts w:ascii="Times New Roman" w:eastAsia="Times New Roman" w:hAnsi="Times New Roman" w:cs="Times New Roman"/>
                <w:b/>
                <w:color w:val="000000"/>
                <w:highlight w:val="yellow"/>
                <w:bdr w:val="none" w:sz="0" w:space="0" w:color="auto" w:frame="1"/>
                <w:lang w:eastAsia="uk-UA"/>
              </w:rPr>
            </w:pPr>
          </w:p>
        </w:tc>
      </w:tr>
      <w:tr w:rsidR="00234DBC" w:rsidRPr="005F34A9" w14:paraId="2950BA17" w14:textId="77777777" w:rsidTr="00664596">
        <w:trPr>
          <w:trHeight w:val="283"/>
          <w:jc w:val="center"/>
        </w:trPr>
        <w:tc>
          <w:tcPr>
            <w:tcW w:w="576" w:type="dxa"/>
            <w:vAlign w:val="center"/>
          </w:tcPr>
          <w:p w14:paraId="423D0BB4"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hideMark/>
          </w:tcPr>
          <w:p w14:paraId="3AF6CE2F"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r w:rsidRPr="005F34A9">
              <w:rPr>
                <w:rFonts w:ascii="Times New Roman" w:eastAsia="Times New Roman" w:hAnsi="Times New Roman" w:cs="Times New Roman"/>
                <w:color w:val="000000"/>
                <w:highlight w:val="yellow"/>
                <w:bdr w:val="none" w:sz="0" w:space="0" w:color="auto" w:frame="1"/>
                <w:lang w:eastAsia="uk-UA"/>
              </w:rPr>
              <w:t>Розділ І. Загальні положення</w:t>
            </w:r>
          </w:p>
        </w:tc>
      </w:tr>
      <w:tr w:rsidR="00234DBC" w:rsidRPr="005F34A9" w14:paraId="195E3FF1" w14:textId="77777777" w:rsidTr="00664596">
        <w:trPr>
          <w:trHeight w:val="283"/>
          <w:jc w:val="center"/>
        </w:trPr>
        <w:tc>
          <w:tcPr>
            <w:tcW w:w="576" w:type="dxa"/>
            <w:vAlign w:val="center"/>
          </w:tcPr>
          <w:p w14:paraId="18FFD61B"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29C583CE"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rPr>
            </w:pPr>
          </w:p>
        </w:tc>
      </w:tr>
      <w:tr w:rsidR="00234DBC" w:rsidRPr="005F34A9" w14:paraId="16412767" w14:textId="77777777" w:rsidTr="00664596">
        <w:trPr>
          <w:trHeight w:val="283"/>
          <w:jc w:val="center"/>
        </w:trPr>
        <w:tc>
          <w:tcPr>
            <w:tcW w:w="576" w:type="dxa"/>
            <w:vAlign w:val="center"/>
          </w:tcPr>
          <w:p w14:paraId="4FC7CCAD"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3F03F7AB"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bdr w:val="none" w:sz="0" w:space="0" w:color="auto" w:frame="1"/>
                <w:lang w:eastAsia="uk-UA"/>
              </w:rPr>
            </w:pPr>
            <w:r w:rsidRPr="005F34A9">
              <w:rPr>
                <w:rFonts w:ascii="Times New Roman" w:eastAsia="Times New Roman" w:hAnsi="Times New Roman" w:cs="Times New Roman"/>
                <w:color w:val="000000"/>
                <w:highlight w:val="yellow"/>
              </w:rPr>
              <w:t>Розділ ІІ. Порядок унесення змін та надання роз’яснень до тендерної документації</w:t>
            </w:r>
          </w:p>
        </w:tc>
      </w:tr>
      <w:tr w:rsidR="00234DBC" w:rsidRPr="005F34A9" w14:paraId="10A0BFB5" w14:textId="77777777" w:rsidTr="00664596">
        <w:trPr>
          <w:trHeight w:val="283"/>
          <w:jc w:val="center"/>
        </w:trPr>
        <w:tc>
          <w:tcPr>
            <w:tcW w:w="576" w:type="dxa"/>
            <w:vAlign w:val="center"/>
          </w:tcPr>
          <w:p w14:paraId="5C914A72"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4CE1E1D0"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bdr w:val="none" w:sz="0" w:space="0" w:color="auto" w:frame="1"/>
                <w:lang w:eastAsia="uk-UA"/>
              </w:rPr>
            </w:pPr>
          </w:p>
        </w:tc>
      </w:tr>
      <w:tr w:rsidR="00234DBC" w:rsidRPr="005F34A9" w14:paraId="595B3850" w14:textId="77777777" w:rsidTr="00664596">
        <w:trPr>
          <w:trHeight w:val="283"/>
          <w:jc w:val="center"/>
        </w:trPr>
        <w:tc>
          <w:tcPr>
            <w:tcW w:w="576" w:type="dxa"/>
            <w:vAlign w:val="center"/>
          </w:tcPr>
          <w:p w14:paraId="01E73FC0"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1F8556AF"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bdr w:val="none" w:sz="0" w:space="0" w:color="auto" w:frame="1"/>
                <w:lang w:eastAsia="uk-UA"/>
              </w:rPr>
            </w:pPr>
            <w:r w:rsidRPr="005F34A9">
              <w:rPr>
                <w:rFonts w:ascii="Times New Roman" w:eastAsia="Times New Roman" w:hAnsi="Times New Roman" w:cs="Times New Roman"/>
                <w:color w:val="000000"/>
                <w:highlight w:val="yellow"/>
                <w:bdr w:val="none" w:sz="0" w:space="0" w:color="auto" w:frame="1"/>
                <w:lang w:eastAsia="uk-UA"/>
              </w:rPr>
              <w:t>Розділ ІІІ. Інструкція з підготовки тендерної пропозиції</w:t>
            </w:r>
          </w:p>
        </w:tc>
      </w:tr>
      <w:tr w:rsidR="00234DBC" w:rsidRPr="005F34A9" w14:paraId="6C82AB2D" w14:textId="77777777" w:rsidTr="00664596">
        <w:trPr>
          <w:trHeight w:val="283"/>
          <w:jc w:val="center"/>
        </w:trPr>
        <w:tc>
          <w:tcPr>
            <w:tcW w:w="576" w:type="dxa"/>
            <w:vAlign w:val="center"/>
          </w:tcPr>
          <w:p w14:paraId="1B8C4382"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6F06A206"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bdr w:val="none" w:sz="0" w:space="0" w:color="auto" w:frame="1"/>
                <w:lang w:eastAsia="uk-UA"/>
              </w:rPr>
            </w:pPr>
          </w:p>
        </w:tc>
      </w:tr>
      <w:tr w:rsidR="00234DBC" w:rsidRPr="005F34A9" w14:paraId="1E73C414" w14:textId="77777777" w:rsidTr="00664596">
        <w:trPr>
          <w:trHeight w:val="283"/>
          <w:jc w:val="center"/>
        </w:trPr>
        <w:tc>
          <w:tcPr>
            <w:tcW w:w="576" w:type="dxa"/>
            <w:vAlign w:val="center"/>
          </w:tcPr>
          <w:p w14:paraId="6BEDC5DF"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1BCCE4D7"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bdr w:val="none" w:sz="0" w:space="0" w:color="auto" w:frame="1"/>
                <w:lang w:eastAsia="uk-UA"/>
              </w:rPr>
            </w:pPr>
            <w:r w:rsidRPr="005F34A9">
              <w:rPr>
                <w:rFonts w:ascii="Times New Roman" w:eastAsia="Times New Roman" w:hAnsi="Times New Roman" w:cs="Times New Roman"/>
                <w:color w:val="000000"/>
                <w:highlight w:val="yellow"/>
                <w:bdr w:val="none" w:sz="0" w:space="0" w:color="auto" w:frame="1"/>
                <w:lang w:eastAsia="uk-UA"/>
              </w:rPr>
              <w:t>Розділ ІV. Подання та розкриття тендерної пропозиції</w:t>
            </w:r>
          </w:p>
        </w:tc>
      </w:tr>
      <w:tr w:rsidR="00234DBC" w:rsidRPr="005F34A9" w14:paraId="05CE2DAE" w14:textId="77777777" w:rsidTr="00664596">
        <w:trPr>
          <w:trHeight w:val="283"/>
          <w:jc w:val="center"/>
        </w:trPr>
        <w:tc>
          <w:tcPr>
            <w:tcW w:w="576" w:type="dxa"/>
            <w:vAlign w:val="center"/>
          </w:tcPr>
          <w:p w14:paraId="5A36010A"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64D2CB4D"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bdr w:val="none" w:sz="0" w:space="0" w:color="auto" w:frame="1"/>
                <w:lang w:eastAsia="uk-UA"/>
              </w:rPr>
            </w:pPr>
          </w:p>
        </w:tc>
      </w:tr>
      <w:tr w:rsidR="00234DBC" w:rsidRPr="005F34A9" w14:paraId="4E0FD710" w14:textId="77777777" w:rsidTr="00664596">
        <w:trPr>
          <w:trHeight w:val="283"/>
          <w:jc w:val="center"/>
        </w:trPr>
        <w:tc>
          <w:tcPr>
            <w:tcW w:w="576" w:type="dxa"/>
            <w:vAlign w:val="center"/>
          </w:tcPr>
          <w:p w14:paraId="51BB247B"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13736C56"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bdr w:val="none" w:sz="0" w:space="0" w:color="auto" w:frame="1"/>
                <w:lang w:eastAsia="uk-UA"/>
              </w:rPr>
            </w:pPr>
            <w:r w:rsidRPr="005F34A9">
              <w:rPr>
                <w:rFonts w:ascii="Times New Roman" w:eastAsia="Times New Roman" w:hAnsi="Times New Roman" w:cs="Times New Roman"/>
                <w:color w:val="000000"/>
                <w:highlight w:val="yellow"/>
                <w:bdr w:val="none" w:sz="0" w:space="0" w:color="auto" w:frame="1"/>
                <w:lang w:eastAsia="uk-UA"/>
              </w:rPr>
              <w:t>Розділ V. Оцінка тендерної пропозиції</w:t>
            </w:r>
          </w:p>
        </w:tc>
      </w:tr>
      <w:tr w:rsidR="00234DBC" w:rsidRPr="005F34A9" w14:paraId="460E44F4" w14:textId="77777777" w:rsidTr="00664596">
        <w:trPr>
          <w:trHeight w:val="283"/>
          <w:jc w:val="center"/>
        </w:trPr>
        <w:tc>
          <w:tcPr>
            <w:tcW w:w="576" w:type="dxa"/>
            <w:vAlign w:val="center"/>
          </w:tcPr>
          <w:p w14:paraId="50BA6704"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1A0ED501"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bdr w:val="none" w:sz="0" w:space="0" w:color="auto" w:frame="1"/>
                <w:lang w:eastAsia="uk-UA"/>
              </w:rPr>
            </w:pPr>
          </w:p>
        </w:tc>
      </w:tr>
      <w:tr w:rsidR="00234DBC" w:rsidRPr="005F34A9" w14:paraId="6ECD9A6A" w14:textId="77777777" w:rsidTr="00664596">
        <w:trPr>
          <w:trHeight w:val="283"/>
          <w:jc w:val="center"/>
        </w:trPr>
        <w:tc>
          <w:tcPr>
            <w:tcW w:w="576" w:type="dxa"/>
            <w:vAlign w:val="center"/>
          </w:tcPr>
          <w:p w14:paraId="2C782A52"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18FC51ED" w14:textId="77777777" w:rsidR="00234DBC" w:rsidRPr="005F34A9" w:rsidRDefault="00234DBC" w:rsidP="00234DBC">
            <w:pPr>
              <w:widowControl w:val="0"/>
              <w:spacing w:after="0" w:line="240" w:lineRule="auto"/>
              <w:contextualSpacing/>
              <w:rPr>
                <w:rFonts w:ascii="Times New Roman" w:eastAsia="Times New Roman" w:hAnsi="Times New Roman" w:cs="Times New Roman"/>
                <w:color w:val="000000"/>
                <w:highlight w:val="yellow"/>
                <w:bdr w:val="none" w:sz="0" w:space="0" w:color="auto" w:frame="1"/>
                <w:lang w:eastAsia="uk-UA"/>
              </w:rPr>
            </w:pPr>
            <w:r w:rsidRPr="005F34A9">
              <w:rPr>
                <w:rFonts w:ascii="Times New Roman" w:eastAsia="Times New Roman" w:hAnsi="Times New Roman" w:cs="Times New Roman"/>
                <w:color w:val="000000"/>
                <w:highlight w:val="yellow"/>
                <w:bdr w:val="none" w:sz="0" w:space="0" w:color="auto" w:frame="1"/>
                <w:lang w:eastAsia="uk-UA"/>
              </w:rPr>
              <w:t>Розділ VІ. Результати торгів та укладання договору про закупівлю</w:t>
            </w:r>
          </w:p>
          <w:p w14:paraId="22DFA52D" w14:textId="77777777" w:rsidR="00234DBC" w:rsidRPr="005F34A9" w:rsidRDefault="00234DBC" w:rsidP="00234DBC">
            <w:pPr>
              <w:widowControl w:val="0"/>
              <w:spacing w:after="0" w:line="240" w:lineRule="auto"/>
              <w:contextualSpacing/>
              <w:rPr>
                <w:rFonts w:ascii="Times New Roman" w:eastAsia="Times New Roman" w:hAnsi="Times New Roman" w:cs="Times New Roman"/>
                <w:color w:val="000000"/>
                <w:highlight w:val="yellow"/>
                <w:bdr w:val="none" w:sz="0" w:space="0" w:color="auto" w:frame="1"/>
                <w:lang w:eastAsia="uk-UA"/>
              </w:rPr>
            </w:pPr>
          </w:p>
          <w:p w14:paraId="78D06C09" w14:textId="77777777" w:rsidR="00234DBC" w:rsidRPr="005F34A9" w:rsidRDefault="00234DBC" w:rsidP="00234DBC">
            <w:pPr>
              <w:widowControl w:val="0"/>
              <w:spacing w:after="0" w:line="240" w:lineRule="auto"/>
              <w:contextualSpacing/>
              <w:rPr>
                <w:rFonts w:ascii="Times New Roman" w:eastAsia="Times New Roman" w:hAnsi="Times New Roman" w:cs="Times New Roman"/>
                <w:color w:val="000000"/>
                <w:highlight w:val="yellow"/>
                <w:bdr w:val="none" w:sz="0" w:space="0" w:color="auto" w:frame="1"/>
                <w:lang w:eastAsia="uk-UA"/>
              </w:rPr>
            </w:pPr>
            <w:r w:rsidRPr="005F34A9">
              <w:rPr>
                <w:rFonts w:ascii="Times New Roman" w:eastAsia="Times New Roman" w:hAnsi="Times New Roman" w:cs="Times New Roman"/>
                <w:color w:val="000000"/>
                <w:highlight w:val="yellow"/>
                <w:bdr w:val="none" w:sz="0" w:space="0" w:color="auto" w:frame="1"/>
                <w:lang w:eastAsia="uk-UA"/>
              </w:rPr>
              <w:t>Розділ VІІ. Додаткова інформація</w:t>
            </w:r>
          </w:p>
        </w:tc>
      </w:tr>
      <w:tr w:rsidR="00234DBC" w:rsidRPr="005F34A9" w14:paraId="43A8A61C" w14:textId="77777777" w:rsidTr="00664596">
        <w:trPr>
          <w:trHeight w:val="283"/>
          <w:jc w:val="center"/>
        </w:trPr>
        <w:tc>
          <w:tcPr>
            <w:tcW w:w="576" w:type="dxa"/>
            <w:vAlign w:val="center"/>
          </w:tcPr>
          <w:p w14:paraId="60A9CC2B"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6D0A6A9B" w14:textId="77777777" w:rsidR="00234DBC" w:rsidRPr="005F34A9" w:rsidRDefault="00234DBC" w:rsidP="00234DBC">
            <w:pPr>
              <w:widowControl w:val="0"/>
              <w:spacing w:after="0" w:line="240" w:lineRule="auto"/>
              <w:contextualSpacing/>
              <w:rPr>
                <w:rFonts w:ascii="Times New Roman" w:eastAsia="Times New Roman" w:hAnsi="Times New Roman" w:cs="Times New Roman"/>
                <w:color w:val="000000"/>
                <w:highlight w:val="yellow"/>
                <w:bdr w:val="none" w:sz="0" w:space="0" w:color="auto" w:frame="1"/>
                <w:lang w:eastAsia="uk-UA"/>
              </w:rPr>
            </w:pPr>
          </w:p>
        </w:tc>
      </w:tr>
      <w:tr w:rsidR="00234DBC" w:rsidRPr="00234DBC" w14:paraId="25969589" w14:textId="77777777" w:rsidTr="00664596">
        <w:trPr>
          <w:trHeight w:val="283"/>
          <w:jc w:val="center"/>
        </w:trPr>
        <w:tc>
          <w:tcPr>
            <w:tcW w:w="576" w:type="dxa"/>
            <w:vAlign w:val="center"/>
          </w:tcPr>
          <w:p w14:paraId="37F945EE" w14:textId="77777777" w:rsidR="00234DBC" w:rsidRPr="005F34A9" w:rsidRDefault="00234DBC" w:rsidP="00234DBC">
            <w:pPr>
              <w:widowControl w:val="0"/>
              <w:spacing w:after="0" w:line="216" w:lineRule="auto"/>
              <w:contextualSpacing/>
              <w:rPr>
                <w:rFonts w:ascii="Times New Roman" w:eastAsia="Times New Roman" w:hAnsi="Times New Roman" w:cs="Times New Roman"/>
                <w:color w:val="000000"/>
                <w:highlight w:val="yellow"/>
                <w:lang w:eastAsia="uk-UA"/>
              </w:rPr>
            </w:pPr>
          </w:p>
        </w:tc>
        <w:tc>
          <w:tcPr>
            <w:tcW w:w="9420" w:type="dxa"/>
            <w:vAlign w:val="center"/>
          </w:tcPr>
          <w:p w14:paraId="70FC996B" w14:textId="77777777" w:rsidR="00234DBC" w:rsidRPr="00234DBC" w:rsidRDefault="00234DBC" w:rsidP="00234DBC">
            <w:pPr>
              <w:widowControl w:val="0"/>
              <w:spacing w:after="0" w:line="240" w:lineRule="auto"/>
              <w:contextualSpacing/>
              <w:rPr>
                <w:rFonts w:ascii="Times New Roman" w:eastAsia="Times New Roman" w:hAnsi="Times New Roman" w:cs="Times New Roman"/>
                <w:b/>
                <w:color w:val="000000"/>
                <w:bdr w:val="none" w:sz="0" w:space="0" w:color="auto" w:frame="1"/>
                <w:lang w:eastAsia="uk-UA"/>
              </w:rPr>
            </w:pPr>
            <w:r w:rsidRPr="005F34A9">
              <w:rPr>
                <w:rFonts w:ascii="Times New Roman" w:eastAsia="Times New Roman" w:hAnsi="Times New Roman" w:cs="Times New Roman"/>
                <w:b/>
                <w:color w:val="000000"/>
                <w:highlight w:val="yellow"/>
                <w:bdr w:val="none" w:sz="0" w:space="0" w:color="auto" w:frame="1"/>
                <w:lang w:eastAsia="uk-UA"/>
              </w:rPr>
              <w:t>Додатки</w:t>
            </w:r>
          </w:p>
        </w:tc>
      </w:tr>
    </w:tbl>
    <w:p w14:paraId="1CF35F65" w14:textId="77777777" w:rsidR="00234DBC" w:rsidRPr="00234DBC" w:rsidRDefault="00234DBC" w:rsidP="00234DBC">
      <w:pPr>
        <w:spacing w:after="0" w:line="216" w:lineRule="auto"/>
        <w:rPr>
          <w:rFonts w:ascii="Times New Roman" w:eastAsia="Times New Roman" w:hAnsi="Times New Roman" w:cs="Times New Roman"/>
          <w:color w:val="000000"/>
        </w:rPr>
      </w:pPr>
      <w:r w:rsidRPr="00234DBC">
        <w:rPr>
          <w:rFonts w:ascii="Times New Roman" w:eastAsia="Times New Roman" w:hAnsi="Times New Roman" w:cs="Times New Roman"/>
          <w:color w:val="000000"/>
        </w:rPr>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2624"/>
        <w:gridCol w:w="7391"/>
      </w:tblGrid>
      <w:tr w:rsidR="00234DBC" w:rsidRPr="00A53F8B" w14:paraId="0D71695A" w14:textId="77777777" w:rsidTr="006056B5">
        <w:trPr>
          <w:trHeight w:val="173"/>
          <w:jc w:val="center"/>
        </w:trPr>
        <w:tc>
          <w:tcPr>
            <w:tcW w:w="470" w:type="dxa"/>
            <w:tcBorders>
              <w:top w:val="single" w:sz="4" w:space="0" w:color="auto"/>
              <w:left w:val="single" w:sz="4" w:space="0" w:color="auto"/>
              <w:bottom w:val="single" w:sz="4" w:space="0" w:color="auto"/>
              <w:right w:val="single" w:sz="4" w:space="0" w:color="auto"/>
            </w:tcBorders>
            <w:hideMark/>
          </w:tcPr>
          <w:p w14:paraId="3F9F6921" w14:textId="77777777" w:rsidR="00234DBC" w:rsidRPr="00A53F8B" w:rsidRDefault="00234DBC" w:rsidP="006056B5">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A53F8B">
              <w:rPr>
                <w:rFonts w:ascii="Times New Roman" w:eastAsia="Times New Roman" w:hAnsi="Times New Roman" w:cs="Times New Roman"/>
                <w:b/>
                <w:color w:val="000000"/>
                <w:spacing w:val="-6"/>
                <w:lang w:eastAsia="uk-UA"/>
              </w:rPr>
              <w:lastRenderedPageBreak/>
              <w:t>№</w:t>
            </w:r>
          </w:p>
        </w:tc>
        <w:tc>
          <w:tcPr>
            <w:tcW w:w="10015" w:type="dxa"/>
            <w:gridSpan w:val="2"/>
            <w:tcBorders>
              <w:top w:val="single" w:sz="4" w:space="0" w:color="auto"/>
              <w:left w:val="single" w:sz="4" w:space="0" w:color="auto"/>
              <w:bottom w:val="single" w:sz="4" w:space="0" w:color="auto"/>
              <w:right w:val="single" w:sz="4" w:space="0" w:color="auto"/>
            </w:tcBorders>
            <w:hideMark/>
          </w:tcPr>
          <w:p w14:paraId="6190DCBF" w14:textId="77777777" w:rsidR="00234DBC" w:rsidRPr="00A53F8B" w:rsidRDefault="00234DBC" w:rsidP="006056B5">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A53F8B">
              <w:rPr>
                <w:rFonts w:ascii="Times New Roman" w:eastAsia="Times New Roman" w:hAnsi="Times New Roman" w:cs="Times New Roman"/>
                <w:b/>
                <w:color w:val="000000"/>
                <w:spacing w:val="-6"/>
                <w:bdr w:val="none" w:sz="0" w:space="0" w:color="auto" w:frame="1"/>
                <w:lang w:eastAsia="uk-UA"/>
              </w:rPr>
              <w:t>Зведена інформація про закупівлю</w:t>
            </w:r>
          </w:p>
        </w:tc>
      </w:tr>
      <w:tr w:rsidR="00234DBC" w:rsidRPr="00A53F8B" w14:paraId="5A708E6B" w14:textId="77777777" w:rsidTr="006056B5">
        <w:trPr>
          <w:trHeight w:val="70"/>
          <w:jc w:val="center"/>
        </w:trPr>
        <w:tc>
          <w:tcPr>
            <w:tcW w:w="470" w:type="dxa"/>
            <w:tcBorders>
              <w:top w:val="single" w:sz="4" w:space="0" w:color="auto"/>
              <w:left w:val="single" w:sz="4" w:space="0" w:color="auto"/>
              <w:bottom w:val="single" w:sz="4" w:space="0" w:color="auto"/>
              <w:right w:val="single" w:sz="4" w:space="0" w:color="auto"/>
            </w:tcBorders>
            <w:hideMark/>
          </w:tcPr>
          <w:p w14:paraId="52E34CA1" w14:textId="77777777" w:rsidR="00234DBC" w:rsidRPr="00A53F8B" w:rsidRDefault="00234DBC" w:rsidP="006056B5">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A53F8B">
              <w:rPr>
                <w:rFonts w:ascii="Times New Roman" w:eastAsia="Times New Roman" w:hAnsi="Times New Roman" w:cs="Times New Roman"/>
                <w:b/>
                <w:color w:val="000000"/>
                <w:spacing w:val="-6"/>
                <w:lang w:eastAsia="uk-UA"/>
              </w:rPr>
              <w:t>1</w:t>
            </w:r>
          </w:p>
        </w:tc>
        <w:tc>
          <w:tcPr>
            <w:tcW w:w="2624" w:type="dxa"/>
            <w:tcBorders>
              <w:top w:val="single" w:sz="4" w:space="0" w:color="auto"/>
              <w:left w:val="single" w:sz="4" w:space="0" w:color="auto"/>
              <w:bottom w:val="single" w:sz="4" w:space="0" w:color="auto"/>
              <w:right w:val="single" w:sz="4" w:space="0" w:color="auto"/>
            </w:tcBorders>
            <w:hideMark/>
          </w:tcPr>
          <w:p w14:paraId="74FF9965" w14:textId="77777777" w:rsidR="00234DBC" w:rsidRPr="00A53F8B" w:rsidRDefault="00234DBC" w:rsidP="006056B5">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A53F8B">
              <w:rPr>
                <w:rFonts w:ascii="Times New Roman" w:eastAsia="Times New Roman" w:hAnsi="Times New Roman" w:cs="Times New Roman"/>
                <w:b/>
                <w:color w:val="000000"/>
                <w:spacing w:val="-6"/>
                <w:lang w:eastAsia="uk-UA"/>
              </w:rPr>
              <w:t>2</w:t>
            </w:r>
          </w:p>
        </w:tc>
        <w:tc>
          <w:tcPr>
            <w:tcW w:w="7391" w:type="dxa"/>
            <w:tcBorders>
              <w:top w:val="single" w:sz="4" w:space="0" w:color="auto"/>
              <w:left w:val="single" w:sz="4" w:space="0" w:color="auto"/>
              <w:bottom w:val="single" w:sz="4" w:space="0" w:color="auto"/>
              <w:right w:val="single" w:sz="4" w:space="0" w:color="auto"/>
            </w:tcBorders>
            <w:hideMark/>
          </w:tcPr>
          <w:p w14:paraId="0CACC0E3" w14:textId="77777777" w:rsidR="00234DBC" w:rsidRPr="00A53F8B" w:rsidRDefault="00234DBC" w:rsidP="006056B5">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A53F8B">
              <w:rPr>
                <w:rFonts w:ascii="Times New Roman" w:eastAsia="Times New Roman" w:hAnsi="Times New Roman" w:cs="Times New Roman"/>
                <w:b/>
                <w:color w:val="000000"/>
                <w:spacing w:val="-6"/>
                <w:lang w:eastAsia="uk-UA"/>
              </w:rPr>
              <w:t>3</w:t>
            </w:r>
          </w:p>
        </w:tc>
      </w:tr>
      <w:tr w:rsidR="001D4061" w:rsidRPr="00A53F8B" w14:paraId="5B921A31" w14:textId="77777777" w:rsidTr="00E13222">
        <w:trPr>
          <w:trHeight w:val="2437"/>
          <w:jc w:val="center"/>
        </w:trPr>
        <w:tc>
          <w:tcPr>
            <w:tcW w:w="470" w:type="dxa"/>
            <w:tcBorders>
              <w:top w:val="single" w:sz="4" w:space="0" w:color="auto"/>
              <w:left w:val="single" w:sz="4" w:space="0" w:color="auto"/>
              <w:bottom w:val="single" w:sz="4" w:space="0" w:color="auto"/>
              <w:right w:val="single" w:sz="4" w:space="0" w:color="auto"/>
            </w:tcBorders>
            <w:hideMark/>
          </w:tcPr>
          <w:p w14:paraId="2B14836D" w14:textId="0E198883" w:rsidR="001D4061" w:rsidRPr="00A53F8B" w:rsidRDefault="001D4061" w:rsidP="001D4061">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1</w:t>
            </w:r>
          </w:p>
        </w:tc>
        <w:tc>
          <w:tcPr>
            <w:tcW w:w="2624" w:type="dxa"/>
            <w:tcBorders>
              <w:top w:val="single" w:sz="4" w:space="0" w:color="auto"/>
              <w:left w:val="single" w:sz="4" w:space="0" w:color="auto"/>
              <w:bottom w:val="single" w:sz="4" w:space="0" w:color="auto"/>
              <w:right w:val="single" w:sz="4" w:space="0" w:color="auto"/>
            </w:tcBorders>
            <w:hideMark/>
          </w:tcPr>
          <w:p w14:paraId="4D02BD4C" w14:textId="25532D30" w:rsidR="001D4061" w:rsidRPr="005F34A9" w:rsidRDefault="001D4061" w:rsidP="001D4061">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Контактна особа замовника, уповноважена здійснювати зв’язок з учасниками</w:t>
            </w:r>
          </w:p>
        </w:tc>
        <w:tc>
          <w:tcPr>
            <w:tcW w:w="7391" w:type="dxa"/>
            <w:tcBorders>
              <w:top w:val="single" w:sz="4" w:space="0" w:color="auto"/>
              <w:left w:val="single" w:sz="4" w:space="0" w:color="auto"/>
              <w:bottom w:val="single" w:sz="4" w:space="0" w:color="auto"/>
              <w:right w:val="single" w:sz="4" w:space="0" w:color="auto"/>
            </w:tcBorders>
            <w:vAlign w:val="center"/>
            <w:hideMark/>
          </w:tcPr>
          <w:p w14:paraId="77A3EA0C" w14:textId="77777777" w:rsidR="00AC24BC" w:rsidRPr="005F34A9" w:rsidRDefault="00AC24BC" w:rsidP="00AC24BC">
            <w:pPr>
              <w:widowControl w:val="0"/>
              <w:spacing w:after="0" w:line="240" w:lineRule="auto"/>
              <w:ind w:right="-108"/>
              <w:contextualSpacing/>
              <w:rPr>
                <w:rFonts w:ascii="Times New Roman" w:eastAsia="Times New Roman" w:hAnsi="Times New Roman" w:cs="Times New Roman"/>
                <w:color w:val="000000"/>
                <w:highlight w:val="yellow"/>
                <w:lang w:eastAsia="uk-UA"/>
              </w:rPr>
            </w:pPr>
            <w:r w:rsidRPr="005F34A9">
              <w:rPr>
                <w:rFonts w:ascii="Times New Roman" w:eastAsia="Times New Roman" w:hAnsi="Times New Roman" w:cs="Times New Roman"/>
                <w:color w:val="000000"/>
                <w:highlight w:val="yellow"/>
                <w:lang w:eastAsia="uk-UA"/>
              </w:rPr>
              <w:t xml:space="preserve">Контактні особи замовника: </w:t>
            </w:r>
          </w:p>
          <w:p w14:paraId="17860FFD" w14:textId="113532E9" w:rsidR="00DC734C" w:rsidRPr="005F34A9" w:rsidRDefault="00AC24BC" w:rsidP="00DC734C">
            <w:pPr>
              <w:widowControl w:val="0"/>
              <w:spacing w:after="0" w:line="240" w:lineRule="auto"/>
              <w:contextualSpacing/>
              <w:rPr>
                <w:rFonts w:ascii="Times New Roman" w:eastAsia="Times New Roman" w:hAnsi="Times New Roman" w:cs="Times New Roman"/>
                <w:color w:val="000000"/>
                <w:highlight w:val="yellow"/>
                <w:lang w:eastAsia="uk-UA"/>
              </w:rPr>
            </w:pPr>
            <w:r w:rsidRPr="005F34A9">
              <w:rPr>
                <w:rFonts w:ascii="Times New Roman" w:eastAsia="Times New Roman" w:hAnsi="Times New Roman" w:cs="Times New Roman"/>
                <w:color w:val="000000"/>
                <w:highlight w:val="yellow"/>
                <w:lang w:eastAsia="uk-UA"/>
              </w:rPr>
              <w:t xml:space="preserve">1) щодо процедурних питань: </w:t>
            </w:r>
            <w:r w:rsidR="00DC734C" w:rsidRPr="005F34A9">
              <w:rPr>
                <w:rFonts w:ascii="Times New Roman" w:eastAsia="Times New Roman" w:hAnsi="Times New Roman" w:cs="Times New Roman"/>
                <w:color w:val="000000"/>
                <w:highlight w:val="yellow"/>
                <w:lang w:eastAsia="uk-UA"/>
              </w:rPr>
              <w:t xml:space="preserve">Глущенко Дар’я Володимирівна, провідний фахівець відділу організації та супроводу закупівель робіт та послуг; </w:t>
            </w:r>
            <w:proofErr w:type="spellStart"/>
            <w:r w:rsidR="00DC734C" w:rsidRPr="005F34A9">
              <w:rPr>
                <w:rFonts w:ascii="Times New Roman" w:eastAsia="Times New Roman" w:hAnsi="Times New Roman" w:cs="Times New Roman"/>
                <w:color w:val="000000"/>
                <w:highlight w:val="yellow"/>
                <w:lang w:eastAsia="uk-UA"/>
              </w:rPr>
              <w:t>тел</w:t>
            </w:r>
            <w:proofErr w:type="spellEnd"/>
            <w:r w:rsidR="00DC734C" w:rsidRPr="005F34A9">
              <w:rPr>
                <w:rFonts w:ascii="Times New Roman" w:eastAsia="Times New Roman" w:hAnsi="Times New Roman" w:cs="Times New Roman"/>
                <w:color w:val="000000"/>
                <w:highlight w:val="yellow"/>
                <w:lang w:eastAsia="uk-UA"/>
              </w:rPr>
              <w:t>.: 044462285, е-</w:t>
            </w:r>
            <w:proofErr w:type="spellStart"/>
            <w:r w:rsidR="00DC734C" w:rsidRPr="005F34A9">
              <w:rPr>
                <w:rFonts w:ascii="Times New Roman" w:eastAsia="Times New Roman" w:hAnsi="Times New Roman" w:cs="Times New Roman"/>
                <w:color w:val="000000"/>
                <w:highlight w:val="yellow"/>
                <w:lang w:eastAsia="uk-UA"/>
              </w:rPr>
              <w:t>mail</w:t>
            </w:r>
            <w:proofErr w:type="spellEnd"/>
            <w:r w:rsidR="00DC734C" w:rsidRPr="005F34A9">
              <w:rPr>
                <w:rFonts w:ascii="Times New Roman" w:eastAsia="Times New Roman" w:hAnsi="Times New Roman" w:cs="Times New Roman"/>
                <w:color w:val="000000"/>
                <w:highlight w:val="yellow"/>
                <w:lang w:eastAsia="uk-UA"/>
              </w:rPr>
              <w:t xml:space="preserve">: </w:t>
            </w:r>
            <w:r w:rsidR="00DC734C" w:rsidRPr="005F34A9">
              <w:rPr>
                <w:rFonts w:ascii="Times New Roman" w:eastAsia="Times New Roman" w:hAnsi="Times New Roman" w:cs="Times New Roman"/>
                <w:color w:val="0000FF"/>
                <w:highlight w:val="yellow"/>
                <w:u w:val="single"/>
                <w:lang w:eastAsia="uk-UA"/>
              </w:rPr>
              <w:t>hlushchenko-dv@utg.ua</w:t>
            </w:r>
            <w:r w:rsidR="00DC734C" w:rsidRPr="005F34A9">
              <w:rPr>
                <w:rFonts w:ascii="Times New Roman" w:eastAsia="Times New Roman" w:hAnsi="Times New Roman" w:cs="Times New Roman"/>
                <w:color w:val="0000FF"/>
                <w:highlight w:val="yellow"/>
                <w:lang w:eastAsia="uk-UA"/>
              </w:rPr>
              <w:t>;</w:t>
            </w:r>
            <w:r w:rsidR="00DC734C" w:rsidRPr="005F34A9">
              <w:rPr>
                <w:rFonts w:ascii="Times New Roman" w:eastAsia="Times New Roman" w:hAnsi="Times New Roman" w:cs="Times New Roman"/>
                <w:color w:val="000000"/>
                <w:highlight w:val="yellow"/>
                <w:lang w:eastAsia="uk-UA"/>
              </w:rPr>
              <w:t xml:space="preserve"> </w:t>
            </w:r>
          </w:p>
          <w:p w14:paraId="4D5C7F8B" w14:textId="77777777" w:rsidR="000554EC" w:rsidRPr="005F34A9" w:rsidRDefault="000554EC" w:rsidP="000554EC">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2) щодо технічних питань: звертатись через електронну систему закупівель;</w:t>
            </w:r>
          </w:p>
          <w:p w14:paraId="525C0FB3" w14:textId="77777777" w:rsidR="008716F1" w:rsidRPr="005F34A9" w:rsidRDefault="008716F1" w:rsidP="008716F1">
            <w:pPr>
              <w:widowControl w:val="0"/>
              <w:spacing w:line="240" w:lineRule="auto"/>
              <w:contextualSpacing/>
              <w:rPr>
                <w:rFonts w:ascii="Times New Roman" w:eastAsia="Times New Roman" w:hAnsi="Times New Roman" w:cs="Times New Roman"/>
                <w:color w:val="000000"/>
                <w:highlight w:val="yellow"/>
                <w:lang w:eastAsia="uk-UA"/>
              </w:rPr>
            </w:pPr>
            <w:r w:rsidRPr="005F34A9">
              <w:rPr>
                <w:rFonts w:ascii="Times New Roman" w:eastAsia="Times New Roman" w:hAnsi="Times New Roman" w:cs="Times New Roman"/>
                <w:color w:val="000000"/>
                <w:highlight w:val="yellow"/>
                <w:lang w:eastAsia="uk-UA"/>
              </w:rPr>
              <w:t xml:space="preserve">3) щодо отримання документів від переможця процедури закупівлі: </w:t>
            </w:r>
          </w:p>
          <w:p w14:paraId="59E9DAD3" w14:textId="77777777" w:rsidR="005B4263" w:rsidRPr="005F34A9" w:rsidRDefault="005B4263" w:rsidP="005B4263">
            <w:pPr>
              <w:spacing w:after="0" w:line="240" w:lineRule="auto"/>
              <w:rPr>
                <w:rFonts w:ascii="Times New Roman" w:eastAsia="Times New Roman" w:hAnsi="Times New Roman" w:cs="Times New Roman"/>
                <w:highlight w:val="yellow"/>
                <w:lang w:eastAsia="uk-UA"/>
              </w:rPr>
            </w:pPr>
            <w:r w:rsidRPr="005F34A9">
              <w:rPr>
                <w:rFonts w:ascii="Times New Roman" w:eastAsia="Times New Roman" w:hAnsi="Times New Roman" w:cs="Times New Roman"/>
                <w:highlight w:val="yellow"/>
                <w:lang w:eastAsia="uk-UA"/>
              </w:rPr>
              <w:t xml:space="preserve">щодо отримання документів від переможця процедури закупівлі: </w:t>
            </w:r>
          </w:p>
          <w:p w14:paraId="7B7CBA26" w14:textId="77777777" w:rsidR="005B4263" w:rsidRPr="005F34A9" w:rsidRDefault="005B4263" w:rsidP="005B4263">
            <w:pPr>
              <w:spacing w:after="0" w:line="240" w:lineRule="auto"/>
              <w:rPr>
                <w:rFonts w:ascii="Times New Roman" w:eastAsia="Times New Roman" w:hAnsi="Times New Roman" w:cs="Times New Roman"/>
                <w:highlight w:val="yellow"/>
                <w:lang w:eastAsia="uk-UA"/>
              </w:rPr>
            </w:pPr>
            <w:r w:rsidRPr="005F34A9">
              <w:rPr>
                <w:rFonts w:ascii="Times New Roman" w:eastAsia="Times New Roman" w:hAnsi="Times New Roman" w:cs="Times New Roman"/>
                <w:highlight w:val="yellow"/>
                <w:lang w:eastAsia="uk-UA"/>
              </w:rPr>
              <w:t xml:space="preserve">- </w:t>
            </w:r>
            <w:proofErr w:type="spellStart"/>
            <w:r w:rsidRPr="005F34A9">
              <w:rPr>
                <w:rFonts w:ascii="Times New Roman" w:eastAsia="Times New Roman" w:hAnsi="Times New Roman" w:cs="Times New Roman"/>
                <w:highlight w:val="yellow"/>
                <w:lang w:eastAsia="uk-UA"/>
              </w:rPr>
              <w:t>Хоцяновський</w:t>
            </w:r>
            <w:proofErr w:type="spellEnd"/>
            <w:r w:rsidRPr="005F34A9">
              <w:rPr>
                <w:rFonts w:ascii="Times New Roman" w:eastAsia="Times New Roman" w:hAnsi="Times New Roman" w:cs="Times New Roman"/>
                <w:highlight w:val="yellow"/>
                <w:lang w:eastAsia="uk-UA"/>
              </w:rPr>
              <w:t xml:space="preserve"> Ігор Сергійович (провідний інженер відділу підготовки робіт та послуг; місцезнаходження: 01021, м. Київ; </w:t>
            </w:r>
          </w:p>
          <w:p w14:paraId="6F925349" w14:textId="673A4E4A" w:rsidR="002C7B0D" w:rsidRPr="005F34A9" w:rsidRDefault="005B4263" w:rsidP="005B4263">
            <w:pPr>
              <w:spacing w:after="0" w:line="240" w:lineRule="auto"/>
              <w:rPr>
                <w:rFonts w:ascii="Times New Roman" w:eastAsia="Times New Roman" w:hAnsi="Times New Roman" w:cs="Times New Roman"/>
                <w:highlight w:val="yellow"/>
                <w:lang w:eastAsia="uk-UA"/>
              </w:rPr>
            </w:pPr>
            <w:proofErr w:type="spellStart"/>
            <w:r w:rsidRPr="005F34A9">
              <w:rPr>
                <w:rFonts w:ascii="Times New Roman" w:eastAsia="Times New Roman" w:hAnsi="Times New Roman" w:cs="Times New Roman"/>
                <w:highlight w:val="yellow"/>
                <w:lang w:eastAsia="uk-UA"/>
              </w:rPr>
              <w:t>тел</w:t>
            </w:r>
            <w:proofErr w:type="spellEnd"/>
            <w:r w:rsidRPr="005F34A9">
              <w:rPr>
                <w:rFonts w:ascii="Times New Roman" w:eastAsia="Times New Roman" w:hAnsi="Times New Roman" w:cs="Times New Roman"/>
                <w:highlight w:val="yellow"/>
                <w:lang w:eastAsia="uk-UA"/>
              </w:rPr>
              <w:t>.: +380504318724; е-</w:t>
            </w:r>
            <w:proofErr w:type="spellStart"/>
            <w:r w:rsidRPr="005F34A9">
              <w:rPr>
                <w:rFonts w:ascii="Times New Roman" w:eastAsia="Times New Roman" w:hAnsi="Times New Roman" w:cs="Times New Roman"/>
                <w:highlight w:val="yellow"/>
                <w:lang w:eastAsia="uk-UA"/>
              </w:rPr>
              <w:t>mail</w:t>
            </w:r>
            <w:proofErr w:type="spellEnd"/>
            <w:r w:rsidRPr="005F34A9">
              <w:rPr>
                <w:rFonts w:ascii="Times New Roman" w:eastAsia="Times New Roman" w:hAnsi="Times New Roman" w:cs="Times New Roman"/>
                <w:highlight w:val="yellow"/>
                <w:lang w:eastAsia="uk-UA"/>
              </w:rPr>
              <w:t xml:space="preserve">: </w:t>
            </w:r>
            <w:hyperlink r:id="rId11" w:history="1">
              <w:r w:rsidRPr="005F34A9">
                <w:rPr>
                  <w:rStyle w:val="a7"/>
                  <w:rFonts w:ascii="Times New Roman" w:eastAsia="Times New Roman" w:hAnsi="Times New Roman" w:cs="Times New Roman"/>
                  <w:color w:val="0000FF"/>
                  <w:highlight w:val="yellow"/>
                  <w:u w:val="none"/>
                  <w:lang w:eastAsia="uk-UA"/>
                </w:rPr>
                <w:t>khotsianovskyi-is@utg.ua</w:t>
              </w:r>
            </w:hyperlink>
            <w:r w:rsidRPr="005F34A9">
              <w:rPr>
                <w:rFonts w:ascii="Times New Roman" w:eastAsia="Times New Roman" w:hAnsi="Times New Roman" w:cs="Times New Roman"/>
                <w:color w:val="0000FF"/>
                <w:highlight w:val="yellow"/>
                <w:lang w:eastAsia="uk-UA"/>
              </w:rPr>
              <w:t>.</w:t>
            </w:r>
            <w:r w:rsidRPr="005F34A9">
              <w:rPr>
                <w:rFonts w:ascii="Times New Roman" w:eastAsia="Times New Roman" w:hAnsi="Times New Roman" w:cs="Times New Roman"/>
                <w:highlight w:val="yellow"/>
                <w:lang w:eastAsia="uk-UA"/>
              </w:rPr>
              <w:t xml:space="preserve"> </w:t>
            </w:r>
          </w:p>
        </w:tc>
      </w:tr>
      <w:tr w:rsidR="00CB174C" w:rsidRPr="00A53F8B" w14:paraId="3080DEE9" w14:textId="77777777" w:rsidTr="006056B5">
        <w:trPr>
          <w:trHeight w:val="357"/>
          <w:jc w:val="center"/>
        </w:trPr>
        <w:tc>
          <w:tcPr>
            <w:tcW w:w="470" w:type="dxa"/>
            <w:tcBorders>
              <w:top w:val="single" w:sz="4" w:space="0" w:color="auto"/>
              <w:left w:val="single" w:sz="4" w:space="0" w:color="auto"/>
              <w:bottom w:val="single" w:sz="4" w:space="0" w:color="auto"/>
              <w:right w:val="single" w:sz="4" w:space="0" w:color="auto"/>
            </w:tcBorders>
          </w:tcPr>
          <w:p w14:paraId="0F03C19D" w14:textId="4AE70304" w:rsidR="00CB174C" w:rsidRPr="00A53F8B" w:rsidRDefault="00CB174C" w:rsidP="00CB174C">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2</w:t>
            </w:r>
          </w:p>
        </w:tc>
        <w:tc>
          <w:tcPr>
            <w:tcW w:w="2624" w:type="dxa"/>
            <w:tcBorders>
              <w:top w:val="single" w:sz="4" w:space="0" w:color="auto"/>
              <w:left w:val="single" w:sz="4" w:space="0" w:color="auto"/>
              <w:bottom w:val="single" w:sz="4" w:space="0" w:color="auto"/>
              <w:right w:val="single" w:sz="4" w:space="0" w:color="auto"/>
            </w:tcBorders>
          </w:tcPr>
          <w:p w14:paraId="1E276886" w14:textId="094E9DC8" w:rsidR="00CB174C" w:rsidRPr="005F34A9" w:rsidRDefault="00CB174C" w:rsidP="00CB174C">
            <w:pPr>
              <w:spacing w:after="0" w:line="240" w:lineRule="auto"/>
              <w:ind w:right="34"/>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Назва предмета закупівлі</w:t>
            </w:r>
          </w:p>
        </w:tc>
        <w:tc>
          <w:tcPr>
            <w:tcW w:w="7391" w:type="dxa"/>
            <w:tcBorders>
              <w:top w:val="single" w:sz="4" w:space="0" w:color="auto"/>
              <w:left w:val="single" w:sz="4" w:space="0" w:color="auto"/>
              <w:bottom w:val="single" w:sz="4" w:space="0" w:color="auto"/>
              <w:right w:val="single" w:sz="4" w:space="0" w:color="auto"/>
            </w:tcBorders>
            <w:vAlign w:val="center"/>
          </w:tcPr>
          <w:p w14:paraId="68E190E7" w14:textId="5AC9CCED" w:rsidR="00CB174C" w:rsidRPr="005F34A9" w:rsidRDefault="00A00045" w:rsidP="00E30391">
            <w:pPr>
              <w:widowControl w:val="0"/>
              <w:tabs>
                <w:tab w:val="left" w:pos="6129"/>
              </w:tabs>
              <w:spacing w:after="0" w:line="240" w:lineRule="auto"/>
              <w:ind w:right="113"/>
              <w:contextualSpacing/>
              <w:jc w:val="both"/>
              <w:rPr>
                <w:rFonts w:ascii="Times New Roman" w:hAnsi="Times New Roman" w:cs="Times New Roman"/>
                <w:bCs/>
                <w:color w:val="000000" w:themeColor="text1"/>
                <w:spacing w:val="-6"/>
                <w:highlight w:val="yellow"/>
                <w:lang w:eastAsia="uk-UA"/>
              </w:rPr>
            </w:pPr>
            <w:r w:rsidRPr="005F34A9">
              <w:rPr>
                <w:rFonts w:ascii="Times New Roman" w:hAnsi="Times New Roman" w:cs="Times New Roman"/>
                <w:bCs/>
                <w:color w:val="000000" w:themeColor="text1"/>
                <w:spacing w:val="-6"/>
                <w:highlight w:val="yellow"/>
                <w:lang w:eastAsia="uk-UA"/>
              </w:rPr>
              <w:t>«</w:t>
            </w:r>
            <w:r w:rsidR="005B4263" w:rsidRPr="005F34A9">
              <w:rPr>
                <w:rFonts w:ascii="Times New Roman" w:hAnsi="Times New Roman" w:cs="Times New Roman"/>
                <w:bCs/>
                <w:color w:val="000000" w:themeColor="text1"/>
                <w:spacing w:val="-6"/>
                <w:highlight w:val="yellow"/>
                <w:lang w:eastAsia="uk-UA"/>
              </w:rPr>
              <w:t xml:space="preserve">Послуги з ремонту і технічного обслуговування мототранспортних засобів і супутнього обладнання (Ремонт та технічне обслуговування </w:t>
            </w:r>
            <w:proofErr w:type="spellStart"/>
            <w:r w:rsidR="005B4263" w:rsidRPr="005F34A9">
              <w:rPr>
                <w:rFonts w:ascii="Times New Roman" w:hAnsi="Times New Roman" w:cs="Times New Roman"/>
                <w:bCs/>
                <w:color w:val="000000" w:themeColor="text1"/>
                <w:spacing w:val="-6"/>
                <w:highlight w:val="yellow"/>
                <w:lang w:eastAsia="uk-UA"/>
              </w:rPr>
              <w:t>дорожньо</w:t>
            </w:r>
            <w:proofErr w:type="spellEnd"/>
            <w:r w:rsidR="005B4263" w:rsidRPr="005F34A9">
              <w:rPr>
                <w:rFonts w:ascii="Times New Roman" w:hAnsi="Times New Roman" w:cs="Times New Roman"/>
                <w:bCs/>
                <w:color w:val="000000" w:themeColor="text1"/>
                <w:spacing w:val="-6"/>
                <w:highlight w:val="yellow"/>
                <w:lang w:eastAsia="uk-UA"/>
              </w:rPr>
              <w:t>-будівельної техніки марки JCB)»</w:t>
            </w:r>
          </w:p>
        </w:tc>
      </w:tr>
      <w:tr w:rsidR="00CB174C" w:rsidRPr="00A53F8B" w14:paraId="133A672E" w14:textId="77777777" w:rsidTr="006056B5">
        <w:trPr>
          <w:trHeight w:val="522"/>
          <w:jc w:val="center"/>
        </w:trPr>
        <w:tc>
          <w:tcPr>
            <w:tcW w:w="470" w:type="dxa"/>
            <w:tcBorders>
              <w:top w:val="single" w:sz="4" w:space="0" w:color="auto"/>
              <w:left w:val="single" w:sz="4" w:space="0" w:color="auto"/>
              <w:bottom w:val="single" w:sz="4" w:space="0" w:color="auto"/>
              <w:right w:val="single" w:sz="4" w:space="0" w:color="auto"/>
            </w:tcBorders>
          </w:tcPr>
          <w:p w14:paraId="5AF4672F" w14:textId="1E92BE98" w:rsidR="00CB174C" w:rsidRPr="00A53F8B" w:rsidRDefault="00CB174C" w:rsidP="00CB174C">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3</w:t>
            </w:r>
          </w:p>
        </w:tc>
        <w:tc>
          <w:tcPr>
            <w:tcW w:w="2624" w:type="dxa"/>
            <w:tcBorders>
              <w:top w:val="single" w:sz="4" w:space="0" w:color="auto"/>
              <w:left w:val="single" w:sz="4" w:space="0" w:color="auto"/>
              <w:bottom w:val="single" w:sz="4" w:space="0" w:color="auto"/>
              <w:right w:val="single" w:sz="4" w:space="0" w:color="auto"/>
            </w:tcBorders>
          </w:tcPr>
          <w:p w14:paraId="6D276E68" w14:textId="56FFA32D" w:rsidR="00CB174C" w:rsidRPr="005F34A9" w:rsidRDefault="00CB174C" w:rsidP="00CB174C">
            <w:pPr>
              <w:keepNext/>
              <w:spacing w:after="0" w:line="240" w:lineRule="auto"/>
              <w:ind w:right="34"/>
              <w:outlineLvl w:val="0"/>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Коди відповідних класифікаторів предмета закупівлі (за наявності)</w:t>
            </w:r>
          </w:p>
        </w:tc>
        <w:tc>
          <w:tcPr>
            <w:tcW w:w="7391" w:type="dxa"/>
            <w:tcBorders>
              <w:top w:val="single" w:sz="4" w:space="0" w:color="auto"/>
              <w:left w:val="single" w:sz="4" w:space="0" w:color="auto"/>
              <w:bottom w:val="single" w:sz="4" w:space="0" w:color="auto"/>
              <w:right w:val="single" w:sz="4" w:space="0" w:color="auto"/>
            </w:tcBorders>
            <w:vAlign w:val="center"/>
          </w:tcPr>
          <w:p w14:paraId="1CC3810C" w14:textId="7D91D2E9" w:rsidR="00CB174C" w:rsidRPr="005F34A9" w:rsidRDefault="00E05A49" w:rsidP="00AD3837">
            <w:pPr>
              <w:widowControl w:val="0"/>
              <w:tabs>
                <w:tab w:val="left" w:pos="6129"/>
              </w:tabs>
              <w:spacing w:after="0" w:line="240" w:lineRule="auto"/>
              <w:ind w:right="113"/>
              <w:contextualSpacing/>
              <w:jc w:val="both"/>
              <w:rPr>
                <w:rFonts w:ascii="Times New Roman" w:hAnsi="Times New Roman" w:cs="Times New Roman"/>
                <w:highlight w:val="yellow"/>
              </w:rPr>
            </w:pPr>
            <w:r w:rsidRPr="005F34A9">
              <w:rPr>
                <w:rFonts w:ascii="Times New Roman" w:hAnsi="Times New Roman" w:cs="Times New Roman"/>
                <w:highlight w:val="yellow"/>
              </w:rPr>
              <w:t>ДК 021:2015:</w:t>
            </w:r>
            <w:r w:rsidR="0004244F" w:rsidRPr="005F34A9">
              <w:rPr>
                <w:highlight w:val="yellow"/>
              </w:rPr>
              <w:t xml:space="preserve"> </w:t>
            </w:r>
            <w:r w:rsidR="0072252B" w:rsidRPr="005F34A9">
              <w:rPr>
                <w:rFonts w:ascii="Times New Roman" w:hAnsi="Times New Roman" w:cs="Times New Roman"/>
                <w:highlight w:val="yellow"/>
              </w:rPr>
              <w:t>50110000-9   Послуги з ремонту і технічного обслуговування мототранспортних засобів і супутнього обладнання</w:t>
            </w:r>
          </w:p>
        </w:tc>
      </w:tr>
      <w:tr w:rsidR="00CB174C" w:rsidRPr="00A53F8B" w14:paraId="76C84C54" w14:textId="77777777" w:rsidTr="006056B5">
        <w:trPr>
          <w:trHeight w:val="522"/>
          <w:jc w:val="center"/>
        </w:trPr>
        <w:tc>
          <w:tcPr>
            <w:tcW w:w="470" w:type="dxa"/>
            <w:tcBorders>
              <w:top w:val="single" w:sz="4" w:space="0" w:color="auto"/>
              <w:left w:val="single" w:sz="4" w:space="0" w:color="auto"/>
              <w:bottom w:val="single" w:sz="4" w:space="0" w:color="auto"/>
              <w:right w:val="single" w:sz="4" w:space="0" w:color="auto"/>
            </w:tcBorders>
          </w:tcPr>
          <w:p w14:paraId="4294FD91" w14:textId="72E2B425" w:rsidR="00CB174C" w:rsidRPr="00A53F8B" w:rsidRDefault="00CB174C" w:rsidP="00CB174C">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4</w:t>
            </w:r>
          </w:p>
        </w:tc>
        <w:tc>
          <w:tcPr>
            <w:tcW w:w="2624" w:type="dxa"/>
            <w:tcBorders>
              <w:top w:val="single" w:sz="4" w:space="0" w:color="auto"/>
              <w:left w:val="single" w:sz="4" w:space="0" w:color="auto"/>
              <w:bottom w:val="single" w:sz="4" w:space="0" w:color="auto"/>
              <w:right w:val="single" w:sz="4" w:space="0" w:color="auto"/>
            </w:tcBorders>
          </w:tcPr>
          <w:p w14:paraId="68D083CE" w14:textId="109DFC4F" w:rsidR="00CB174C" w:rsidRPr="005F34A9" w:rsidRDefault="00CB174C" w:rsidP="00CB174C">
            <w:pPr>
              <w:spacing w:after="0" w:line="240" w:lineRule="auto"/>
              <w:ind w:right="34"/>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Опис окремої частини (частин) предмета закупівлі (лота), щодо якої можуть бути подані тендерні пропозиції</w:t>
            </w:r>
          </w:p>
        </w:tc>
        <w:tc>
          <w:tcPr>
            <w:tcW w:w="7391" w:type="dxa"/>
            <w:tcBorders>
              <w:top w:val="single" w:sz="4" w:space="0" w:color="auto"/>
              <w:left w:val="single" w:sz="4" w:space="0" w:color="auto"/>
              <w:bottom w:val="single" w:sz="4" w:space="0" w:color="auto"/>
              <w:right w:val="single" w:sz="4" w:space="0" w:color="auto"/>
            </w:tcBorders>
            <w:vAlign w:val="center"/>
          </w:tcPr>
          <w:p w14:paraId="225D77C4" w14:textId="092B7F6C" w:rsidR="00CB174C" w:rsidRPr="005F34A9" w:rsidRDefault="00537E4A" w:rsidP="00CB174C">
            <w:pPr>
              <w:shd w:val="clear" w:color="auto" w:fill="FFFFFF"/>
              <w:spacing w:after="0" w:line="240" w:lineRule="auto"/>
              <w:jc w:val="both"/>
              <w:rPr>
                <w:rFonts w:ascii="Times New Roman" w:eastAsia="Times New Roman" w:hAnsi="Times New Roman" w:cs="Times New Roman"/>
                <w:color w:val="000000"/>
                <w:spacing w:val="-6"/>
                <w:highlight w:val="yellow"/>
                <w:lang w:eastAsia="ru-RU"/>
              </w:rPr>
            </w:pPr>
            <w:r w:rsidRPr="005F34A9">
              <w:rPr>
                <w:rFonts w:ascii="Times New Roman" w:hAnsi="Times New Roman" w:cs="Times New Roman"/>
                <w:color w:val="000000"/>
                <w:spacing w:val="-6"/>
                <w:highlight w:val="yellow"/>
                <w:lang w:eastAsia="ru-RU"/>
              </w:rPr>
              <w:t>Дана закупівля здійснюється без поділу на окремі частини предмета закупівлі (лоти)</w:t>
            </w:r>
          </w:p>
        </w:tc>
      </w:tr>
      <w:tr w:rsidR="009F534C" w:rsidRPr="00A53F8B" w14:paraId="3E9D41EB" w14:textId="77777777" w:rsidTr="006056B5">
        <w:trPr>
          <w:trHeight w:val="635"/>
          <w:jc w:val="center"/>
        </w:trPr>
        <w:tc>
          <w:tcPr>
            <w:tcW w:w="470" w:type="dxa"/>
            <w:tcBorders>
              <w:top w:val="single" w:sz="4" w:space="0" w:color="auto"/>
              <w:left w:val="single" w:sz="4" w:space="0" w:color="auto"/>
              <w:bottom w:val="single" w:sz="4" w:space="0" w:color="auto"/>
              <w:right w:val="single" w:sz="4" w:space="0" w:color="auto"/>
            </w:tcBorders>
          </w:tcPr>
          <w:p w14:paraId="7D252035" w14:textId="39C2F2EC" w:rsidR="009F534C" w:rsidRPr="00A53F8B" w:rsidRDefault="009F534C" w:rsidP="009F534C">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5</w:t>
            </w:r>
          </w:p>
        </w:tc>
        <w:tc>
          <w:tcPr>
            <w:tcW w:w="2624" w:type="dxa"/>
            <w:tcBorders>
              <w:top w:val="single" w:sz="4" w:space="0" w:color="auto"/>
              <w:left w:val="single" w:sz="4" w:space="0" w:color="auto"/>
              <w:bottom w:val="single" w:sz="4" w:space="0" w:color="auto"/>
              <w:right w:val="single" w:sz="4" w:space="0" w:color="auto"/>
            </w:tcBorders>
          </w:tcPr>
          <w:p w14:paraId="14518E76" w14:textId="783A59B1" w:rsidR="009F534C" w:rsidRPr="005F34A9" w:rsidRDefault="009F534C" w:rsidP="009F534C">
            <w:pPr>
              <w:spacing w:after="0" w:line="240" w:lineRule="auto"/>
              <w:ind w:right="34"/>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Кількість товарів або обсяг виконання робіт чи надання послуг</w:t>
            </w:r>
          </w:p>
        </w:tc>
        <w:tc>
          <w:tcPr>
            <w:tcW w:w="7391" w:type="dxa"/>
            <w:tcBorders>
              <w:top w:val="single" w:sz="4" w:space="0" w:color="auto"/>
              <w:left w:val="single" w:sz="4" w:space="0" w:color="auto"/>
              <w:bottom w:val="single" w:sz="4" w:space="0" w:color="auto"/>
              <w:right w:val="single" w:sz="4" w:space="0" w:color="auto"/>
            </w:tcBorders>
            <w:vAlign w:val="center"/>
          </w:tcPr>
          <w:p w14:paraId="0DB046EA" w14:textId="0F80FA46" w:rsidR="009F534C" w:rsidRPr="005F34A9" w:rsidRDefault="008B1751" w:rsidP="009F534C">
            <w:pPr>
              <w:widowControl w:val="0"/>
              <w:tabs>
                <w:tab w:val="left" w:pos="6129"/>
              </w:tabs>
              <w:spacing w:after="0" w:line="240" w:lineRule="auto"/>
              <w:ind w:right="113"/>
              <w:contextualSpacing/>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1 послуга</w:t>
            </w:r>
          </w:p>
        </w:tc>
      </w:tr>
      <w:tr w:rsidR="009F534C" w:rsidRPr="00A53F8B" w14:paraId="00E7B7F3" w14:textId="77777777" w:rsidTr="006056B5">
        <w:trPr>
          <w:trHeight w:val="636"/>
          <w:jc w:val="center"/>
        </w:trPr>
        <w:tc>
          <w:tcPr>
            <w:tcW w:w="470" w:type="dxa"/>
            <w:tcBorders>
              <w:top w:val="single" w:sz="4" w:space="0" w:color="auto"/>
              <w:left w:val="single" w:sz="4" w:space="0" w:color="auto"/>
              <w:bottom w:val="single" w:sz="4" w:space="0" w:color="auto"/>
              <w:right w:val="single" w:sz="4" w:space="0" w:color="auto"/>
            </w:tcBorders>
          </w:tcPr>
          <w:p w14:paraId="31F6B614" w14:textId="2FDE12EB" w:rsidR="009F534C" w:rsidRPr="00A53F8B" w:rsidRDefault="009F534C" w:rsidP="009F534C">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6</w:t>
            </w:r>
          </w:p>
        </w:tc>
        <w:tc>
          <w:tcPr>
            <w:tcW w:w="2624" w:type="dxa"/>
            <w:tcBorders>
              <w:top w:val="single" w:sz="4" w:space="0" w:color="auto"/>
              <w:left w:val="single" w:sz="4" w:space="0" w:color="auto"/>
              <w:bottom w:val="single" w:sz="4" w:space="0" w:color="auto"/>
              <w:right w:val="single" w:sz="4" w:space="0" w:color="auto"/>
            </w:tcBorders>
          </w:tcPr>
          <w:p w14:paraId="60B3F1B5" w14:textId="13868600" w:rsidR="009F534C" w:rsidRPr="005F34A9" w:rsidRDefault="009F534C" w:rsidP="009F534C">
            <w:pPr>
              <w:spacing w:after="0" w:line="240" w:lineRule="auto"/>
              <w:ind w:right="34"/>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Місце поставки товарів або місце виконання робіт чи надання послуг</w:t>
            </w:r>
          </w:p>
        </w:tc>
        <w:tc>
          <w:tcPr>
            <w:tcW w:w="73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4CA1CA" w14:textId="2BA26903" w:rsidR="009F534C" w:rsidRPr="005F34A9" w:rsidRDefault="003F4D6E" w:rsidP="00203028">
            <w:pPr>
              <w:spacing w:after="0" w:line="240" w:lineRule="auto"/>
              <w:jc w:val="both"/>
              <w:rPr>
                <w:rFonts w:ascii="Times New Roman" w:eastAsia="Times New Roman" w:hAnsi="Times New Roman" w:cs="Times New Roman"/>
                <w:sz w:val="24"/>
                <w:szCs w:val="24"/>
                <w:highlight w:val="yellow"/>
                <w:lang w:eastAsia="ru-RU"/>
              </w:rPr>
            </w:pPr>
            <w:r w:rsidRPr="005F34A9">
              <w:rPr>
                <w:rFonts w:ascii="Times New Roman" w:hAnsi="Times New Roman" w:cs="Times New Roman"/>
                <w:highlight w:val="yellow"/>
              </w:rPr>
              <w:t>Послуги за домовленістю надаються за місцезнаходженням виробничих потужностей Виконавця та/або за місцем розташування Техніки на об’єктах Замовника.</w:t>
            </w:r>
          </w:p>
        </w:tc>
      </w:tr>
      <w:tr w:rsidR="00D155B0" w:rsidRPr="00A53F8B" w14:paraId="04C245E0" w14:textId="77777777" w:rsidTr="00381478">
        <w:trPr>
          <w:trHeight w:val="752"/>
          <w:jc w:val="center"/>
        </w:trPr>
        <w:tc>
          <w:tcPr>
            <w:tcW w:w="470" w:type="dxa"/>
            <w:tcBorders>
              <w:top w:val="single" w:sz="4" w:space="0" w:color="auto"/>
              <w:left w:val="single" w:sz="4" w:space="0" w:color="auto"/>
              <w:bottom w:val="single" w:sz="4" w:space="0" w:color="auto"/>
              <w:right w:val="single" w:sz="4" w:space="0" w:color="auto"/>
            </w:tcBorders>
          </w:tcPr>
          <w:p w14:paraId="5488989A" w14:textId="392B99FD" w:rsidR="00D155B0" w:rsidRPr="00A53F8B" w:rsidRDefault="00D155B0" w:rsidP="00D155B0">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7</w:t>
            </w:r>
          </w:p>
        </w:tc>
        <w:tc>
          <w:tcPr>
            <w:tcW w:w="2624" w:type="dxa"/>
            <w:tcBorders>
              <w:top w:val="single" w:sz="4" w:space="0" w:color="auto"/>
              <w:left w:val="single" w:sz="4" w:space="0" w:color="auto"/>
              <w:bottom w:val="single" w:sz="4" w:space="0" w:color="auto"/>
              <w:right w:val="single" w:sz="4" w:space="0" w:color="auto"/>
            </w:tcBorders>
          </w:tcPr>
          <w:p w14:paraId="1753360C" w14:textId="40D362E1" w:rsidR="00D155B0" w:rsidRPr="005F34A9" w:rsidRDefault="00D155B0" w:rsidP="00D155B0">
            <w:pPr>
              <w:spacing w:after="0" w:line="240" w:lineRule="auto"/>
              <w:ind w:right="34"/>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Строк поставки товарів, виконання робіт чи надання послуг</w:t>
            </w:r>
          </w:p>
        </w:tc>
        <w:tc>
          <w:tcPr>
            <w:tcW w:w="73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688222" w14:textId="77777777" w:rsidR="0004700A" w:rsidRPr="005F34A9" w:rsidRDefault="0004700A" w:rsidP="0004700A">
            <w:pPr>
              <w:widowControl w:val="0"/>
              <w:tabs>
                <w:tab w:val="left" w:pos="6129"/>
              </w:tabs>
              <w:spacing w:after="0" w:line="240" w:lineRule="auto"/>
              <w:ind w:right="113"/>
              <w:rPr>
                <w:rFonts w:ascii="Times New Roman" w:hAnsi="Times New Roman" w:cs="Times New Roman"/>
                <w:spacing w:val="-6"/>
                <w:highlight w:val="yellow"/>
              </w:rPr>
            </w:pPr>
            <w:r w:rsidRPr="005F34A9">
              <w:rPr>
                <w:rFonts w:ascii="Times New Roman" w:hAnsi="Times New Roman" w:cs="Times New Roman"/>
                <w:spacing w:val="-6"/>
                <w:highlight w:val="yellow"/>
              </w:rPr>
              <w:t xml:space="preserve">Строк надання послуг складає 30 (тридцять)* календарних днів з дати погодження  наряду-замовлення Замовником. </w:t>
            </w:r>
          </w:p>
          <w:p w14:paraId="53552E36" w14:textId="77777777" w:rsidR="0004700A" w:rsidRPr="005F34A9" w:rsidRDefault="0004700A" w:rsidP="0004700A">
            <w:pPr>
              <w:widowControl w:val="0"/>
              <w:tabs>
                <w:tab w:val="left" w:pos="6129"/>
              </w:tabs>
              <w:spacing w:after="0" w:line="240" w:lineRule="auto"/>
              <w:ind w:right="113"/>
              <w:rPr>
                <w:rFonts w:ascii="Times New Roman" w:hAnsi="Times New Roman" w:cs="Times New Roman"/>
                <w:i/>
                <w:iCs/>
                <w:spacing w:val="-6"/>
                <w:highlight w:val="yellow"/>
              </w:rPr>
            </w:pPr>
            <w:r w:rsidRPr="005F34A9">
              <w:rPr>
                <w:rFonts w:ascii="Times New Roman" w:hAnsi="Times New Roman" w:cs="Times New Roman"/>
                <w:i/>
                <w:iCs/>
                <w:spacing w:val="-6"/>
                <w:highlight w:val="yellow"/>
              </w:rPr>
              <w:t>* строк надання послуг зазначений на одиницю Техніки.</w:t>
            </w:r>
          </w:p>
          <w:p w14:paraId="22612B2E" w14:textId="05DAC1FC" w:rsidR="00D155B0" w:rsidRPr="005F34A9" w:rsidRDefault="0004700A" w:rsidP="0004700A">
            <w:pPr>
              <w:widowControl w:val="0"/>
              <w:tabs>
                <w:tab w:val="left" w:pos="6129"/>
              </w:tabs>
              <w:spacing w:after="0" w:line="240" w:lineRule="auto"/>
              <w:ind w:right="113"/>
              <w:rPr>
                <w:rFonts w:ascii="Times New Roman" w:hAnsi="Times New Roman" w:cs="Times New Roman"/>
                <w:spacing w:val="-6"/>
                <w:highlight w:val="yellow"/>
              </w:rPr>
            </w:pPr>
            <w:r w:rsidRPr="005F34A9">
              <w:rPr>
                <w:rFonts w:ascii="Times New Roman" w:hAnsi="Times New Roman" w:cs="Times New Roman"/>
                <w:spacing w:val="-6"/>
                <w:highlight w:val="yellow"/>
              </w:rPr>
              <w:t xml:space="preserve">Строк дії договору по </w:t>
            </w:r>
            <w:r w:rsidRPr="005F34A9">
              <w:rPr>
                <w:rFonts w:ascii="Times New Roman" w:eastAsia="Courier New" w:hAnsi="Times New Roman" w:cs="Times New Roman"/>
                <w:b/>
                <w:bCs/>
                <w:highlight w:val="yellow"/>
                <w:lang w:eastAsia="uk-UA"/>
              </w:rPr>
              <w:t>«31» грудня 2025 року</w:t>
            </w:r>
            <w:r w:rsidRPr="005F34A9">
              <w:rPr>
                <w:rFonts w:ascii="Times New Roman" w:eastAsia="Courier New" w:hAnsi="Times New Roman" w:cs="Times New Roman"/>
                <w:highlight w:val="yellow"/>
                <w:lang w:eastAsia="uk-UA"/>
              </w:rPr>
              <w:t>.</w:t>
            </w:r>
          </w:p>
        </w:tc>
      </w:tr>
      <w:tr w:rsidR="00D155B0" w:rsidRPr="00A53F8B" w14:paraId="069B862F" w14:textId="77777777" w:rsidTr="006056B5">
        <w:trPr>
          <w:trHeight w:val="522"/>
          <w:jc w:val="center"/>
        </w:trPr>
        <w:tc>
          <w:tcPr>
            <w:tcW w:w="470" w:type="dxa"/>
            <w:tcBorders>
              <w:top w:val="single" w:sz="4" w:space="0" w:color="auto"/>
              <w:left w:val="single" w:sz="4" w:space="0" w:color="auto"/>
              <w:bottom w:val="single" w:sz="4" w:space="0" w:color="auto"/>
              <w:right w:val="single" w:sz="4" w:space="0" w:color="auto"/>
            </w:tcBorders>
          </w:tcPr>
          <w:p w14:paraId="2BFF64C3" w14:textId="0CED78AF" w:rsidR="00D155B0" w:rsidRPr="00A53F8B" w:rsidRDefault="00D155B0" w:rsidP="00D155B0">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8</w:t>
            </w:r>
          </w:p>
        </w:tc>
        <w:tc>
          <w:tcPr>
            <w:tcW w:w="2624" w:type="dxa"/>
            <w:tcBorders>
              <w:top w:val="single" w:sz="4" w:space="0" w:color="auto"/>
              <w:left w:val="single" w:sz="4" w:space="0" w:color="auto"/>
              <w:bottom w:val="single" w:sz="4" w:space="0" w:color="auto"/>
              <w:right w:val="single" w:sz="4" w:space="0" w:color="auto"/>
            </w:tcBorders>
          </w:tcPr>
          <w:p w14:paraId="7FC96421" w14:textId="3EF63AB2" w:rsidR="00D155B0" w:rsidRPr="005F34A9" w:rsidRDefault="00D155B0" w:rsidP="00D155B0">
            <w:pPr>
              <w:spacing w:after="0" w:line="240" w:lineRule="auto"/>
              <w:ind w:right="34"/>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Очікувана вартість  предмета закупівлі</w:t>
            </w:r>
          </w:p>
        </w:tc>
        <w:tc>
          <w:tcPr>
            <w:tcW w:w="7391" w:type="dxa"/>
            <w:tcBorders>
              <w:top w:val="single" w:sz="4" w:space="0" w:color="auto"/>
              <w:left w:val="single" w:sz="4" w:space="0" w:color="auto"/>
              <w:bottom w:val="single" w:sz="4" w:space="0" w:color="auto"/>
              <w:right w:val="single" w:sz="4" w:space="0" w:color="auto"/>
            </w:tcBorders>
            <w:vAlign w:val="center"/>
          </w:tcPr>
          <w:p w14:paraId="3393A496" w14:textId="6BECCD7B" w:rsidR="00AC24BC" w:rsidRPr="005F34A9" w:rsidRDefault="00AC24BC" w:rsidP="00AC24BC">
            <w:pPr>
              <w:widowControl w:val="0"/>
              <w:tabs>
                <w:tab w:val="left" w:pos="6129"/>
              </w:tabs>
              <w:autoSpaceDN w:val="0"/>
              <w:spacing w:after="0" w:line="216" w:lineRule="auto"/>
              <w:ind w:left="83" w:right="113" w:firstLine="343"/>
              <w:rPr>
                <w:rFonts w:ascii="Times New Roman" w:eastAsia="Calibri" w:hAnsi="Times New Roman" w:cs="Times New Roman"/>
                <w:color w:val="000000"/>
                <w:spacing w:val="-6"/>
                <w:highlight w:val="yellow"/>
              </w:rPr>
            </w:pPr>
            <w:r w:rsidRPr="005F34A9">
              <w:rPr>
                <w:rFonts w:ascii="Times New Roman" w:eastAsia="Calibri" w:hAnsi="Times New Roman" w:cs="Times New Roman"/>
                <w:color w:val="000000"/>
                <w:spacing w:val="-6"/>
                <w:highlight w:val="yellow"/>
              </w:rPr>
              <w:t xml:space="preserve">- </w:t>
            </w:r>
            <w:r w:rsidR="00685089" w:rsidRPr="005F34A9">
              <w:rPr>
                <w:rFonts w:ascii="Times New Roman" w:eastAsia="Calibri" w:hAnsi="Times New Roman" w:cs="Times New Roman"/>
                <w:color w:val="000000"/>
                <w:spacing w:val="-6"/>
                <w:highlight w:val="yellow"/>
              </w:rPr>
              <w:t>3 731 250,00</w:t>
            </w:r>
            <w:r w:rsidRPr="005F34A9">
              <w:rPr>
                <w:rFonts w:ascii="Times New Roman" w:eastAsia="Calibri" w:hAnsi="Times New Roman" w:cs="Times New Roman"/>
                <w:color w:val="000000"/>
                <w:spacing w:val="-6"/>
                <w:highlight w:val="yellow"/>
              </w:rPr>
              <w:t xml:space="preserve"> грн (з ПДВ);</w:t>
            </w:r>
          </w:p>
          <w:p w14:paraId="383C9136" w14:textId="2639761C" w:rsidR="00107B08" w:rsidRPr="005F34A9" w:rsidRDefault="00AC24BC" w:rsidP="00AC24BC">
            <w:pPr>
              <w:widowControl w:val="0"/>
              <w:tabs>
                <w:tab w:val="left" w:pos="6129"/>
              </w:tabs>
              <w:autoSpaceDN w:val="0"/>
              <w:spacing w:after="0" w:line="216" w:lineRule="auto"/>
              <w:ind w:left="83" w:right="113" w:firstLine="343"/>
              <w:rPr>
                <w:rFonts w:ascii="Times New Roman" w:eastAsia="Calibri" w:hAnsi="Times New Roman" w:cs="Times New Roman"/>
                <w:color w:val="000000"/>
                <w:spacing w:val="-6"/>
                <w:sz w:val="24"/>
                <w:szCs w:val="24"/>
                <w:highlight w:val="yellow"/>
              </w:rPr>
            </w:pPr>
            <w:r w:rsidRPr="005F34A9">
              <w:rPr>
                <w:rFonts w:ascii="Times New Roman" w:eastAsia="Calibri" w:hAnsi="Times New Roman" w:cs="Times New Roman"/>
                <w:color w:val="000000"/>
                <w:spacing w:val="-6"/>
                <w:highlight w:val="yellow"/>
              </w:rPr>
              <w:t>- 3</w:t>
            </w:r>
            <w:r w:rsidR="00685089" w:rsidRPr="005F34A9">
              <w:rPr>
                <w:rFonts w:ascii="Times New Roman" w:eastAsia="Calibri" w:hAnsi="Times New Roman" w:cs="Times New Roman"/>
                <w:color w:val="000000"/>
                <w:spacing w:val="-6"/>
                <w:highlight w:val="yellow"/>
              </w:rPr>
              <w:t xml:space="preserve"> 109 375,00 </w:t>
            </w:r>
            <w:r w:rsidRPr="005F34A9">
              <w:rPr>
                <w:rFonts w:ascii="Times New Roman" w:eastAsia="Calibri" w:hAnsi="Times New Roman" w:cs="Times New Roman"/>
                <w:color w:val="000000"/>
                <w:spacing w:val="-6"/>
                <w:highlight w:val="yellow"/>
              </w:rPr>
              <w:t>грн (без ПДВ).</w:t>
            </w:r>
          </w:p>
        </w:tc>
      </w:tr>
      <w:tr w:rsidR="00CB174C" w:rsidRPr="00A53F8B" w14:paraId="3FB12BAA" w14:textId="77777777" w:rsidTr="006056B5">
        <w:trPr>
          <w:trHeight w:val="20"/>
          <w:jc w:val="center"/>
        </w:trPr>
        <w:tc>
          <w:tcPr>
            <w:tcW w:w="470" w:type="dxa"/>
            <w:tcBorders>
              <w:top w:val="single" w:sz="4" w:space="0" w:color="auto"/>
              <w:left w:val="single" w:sz="4" w:space="0" w:color="auto"/>
              <w:bottom w:val="single" w:sz="4" w:space="0" w:color="auto"/>
              <w:right w:val="single" w:sz="4" w:space="0" w:color="auto"/>
            </w:tcBorders>
          </w:tcPr>
          <w:p w14:paraId="17776A15" w14:textId="67058558" w:rsidR="00CB174C" w:rsidRPr="00A53F8B" w:rsidRDefault="00CB174C" w:rsidP="00CB174C">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9</w:t>
            </w:r>
          </w:p>
        </w:tc>
        <w:tc>
          <w:tcPr>
            <w:tcW w:w="2624" w:type="dxa"/>
            <w:tcBorders>
              <w:top w:val="single" w:sz="4" w:space="0" w:color="auto"/>
              <w:left w:val="single" w:sz="4" w:space="0" w:color="auto"/>
              <w:bottom w:val="single" w:sz="4" w:space="0" w:color="auto"/>
              <w:right w:val="single" w:sz="4" w:space="0" w:color="auto"/>
            </w:tcBorders>
          </w:tcPr>
          <w:p w14:paraId="5B2D5329" w14:textId="6679BAF0" w:rsidR="00CB174C" w:rsidRPr="005F34A9" w:rsidRDefault="00CB174C" w:rsidP="00CB174C">
            <w:pPr>
              <w:spacing w:after="0" w:line="240" w:lineRule="auto"/>
              <w:ind w:right="34"/>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Розмір мінімального кроку пониження ціни</w:t>
            </w:r>
          </w:p>
        </w:tc>
        <w:tc>
          <w:tcPr>
            <w:tcW w:w="7391" w:type="dxa"/>
            <w:tcBorders>
              <w:top w:val="single" w:sz="4" w:space="0" w:color="auto"/>
              <w:left w:val="single" w:sz="4" w:space="0" w:color="auto"/>
              <w:bottom w:val="single" w:sz="4" w:space="0" w:color="auto"/>
              <w:right w:val="single" w:sz="4" w:space="0" w:color="auto"/>
            </w:tcBorders>
            <w:vAlign w:val="center"/>
          </w:tcPr>
          <w:p w14:paraId="74DC3A30" w14:textId="288B41AF" w:rsidR="00CB174C" w:rsidRPr="005F34A9" w:rsidRDefault="00CB174C" w:rsidP="00CB174C">
            <w:pPr>
              <w:widowControl w:val="0"/>
              <w:tabs>
                <w:tab w:val="left" w:pos="6129"/>
              </w:tabs>
              <w:spacing w:after="0" w:line="240" w:lineRule="auto"/>
              <w:ind w:right="113"/>
              <w:contextualSpacing/>
              <w:rPr>
                <w:rFonts w:ascii="Times New Roman" w:hAnsi="Times New Roman" w:cs="Times New Roman"/>
                <w:color w:val="000000" w:themeColor="text1"/>
                <w:spacing w:val="-6"/>
                <w:highlight w:val="yellow"/>
              </w:rPr>
            </w:pPr>
            <w:r w:rsidRPr="005F34A9">
              <w:rPr>
                <w:rFonts w:ascii="Times New Roman" w:hAnsi="Times New Roman" w:cs="Times New Roman"/>
                <w:color w:val="000000" w:themeColor="text1"/>
                <w:spacing w:val="-6"/>
                <w:highlight w:val="yellow"/>
              </w:rPr>
              <w:t xml:space="preserve">1% </w:t>
            </w:r>
          </w:p>
        </w:tc>
      </w:tr>
      <w:tr w:rsidR="00CB174C" w:rsidRPr="00A53F8B" w14:paraId="53029DB6" w14:textId="77777777" w:rsidTr="006056B5">
        <w:trPr>
          <w:trHeight w:val="20"/>
          <w:jc w:val="center"/>
        </w:trPr>
        <w:tc>
          <w:tcPr>
            <w:tcW w:w="470" w:type="dxa"/>
            <w:tcBorders>
              <w:top w:val="single" w:sz="4" w:space="0" w:color="auto"/>
              <w:left w:val="single" w:sz="4" w:space="0" w:color="auto"/>
              <w:bottom w:val="single" w:sz="4" w:space="0" w:color="auto"/>
              <w:right w:val="single" w:sz="4" w:space="0" w:color="auto"/>
            </w:tcBorders>
          </w:tcPr>
          <w:p w14:paraId="0AE4E5B6" w14:textId="17767009" w:rsidR="00CB174C" w:rsidRPr="00A53F8B" w:rsidRDefault="00CB174C" w:rsidP="00CB174C">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10</w:t>
            </w:r>
          </w:p>
        </w:tc>
        <w:tc>
          <w:tcPr>
            <w:tcW w:w="2624" w:type="dxa"/>
            <w:tcBorders>
              <w:top w:val="single" w:sz="4" w:space="0" w:color="auto"/>
              <w:left w:val="single" w:sz="4" w:space="0" w:color="auto"/>
              <w:bottom w:val="single" w:sz="4" w:space="0" w:color="auto"/>
              <w:right w:val="single" w:sz="4" w:space="0" w:color="auto"/>
            </w:tcBorders>
          </w:tcPr>
          <w:p w14:paraId="0A4D3F80" w14:textId="0A3EF2F5" w:rsidR="00CB174C" w:rsidRPr="005F34A9" w:rsidRDefault="00CB174C" w:rsidP="00CB174C">
            <w:pPr>
              <w:keepNext/>
              <w:spacing w:after="0" w:line="240" w:lineRule="auto"/>
              <w:ind w:right="34"/>
              <w:outlineLvl w:val="0"/>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Кінцевий строк подання тендерної пропозиції</w:t>
            </w:r>
          </w:p>
        </w:tc>
        <w:tc>
          <w:tcPr>
            <w:tcW w:w="7391" w:type="dxa"/>
            <w:tcBorders>
              <w:top w:val="single" w:sz="4" w:space="0" w:color="auto"/>
              <w:left w:val="single" w:sz="4" w:space="0" w:color="auto"/>
              <w:bottom w:val="single" w:sz="4" w:space="0" w:color="auto"/>
              <w:right w:val="single" w:sz="4" w:space="0" w:color="auto"/>
            </w:tcBorders>
            <w:vAlign w:val="center"/>
          </w:tcPr>
          <w:p w14:paraId="5089D6CF" w14:textId="22052D7F" w:rsidR="00CB174C" w:rsidRPr="005F34A9" w:rsidRDefault="00CB174C" w:rsidP="00CB174C">
            <w:pPr>
              <w:widowControl w:val="0"/>
              <w:spacing w:after="0" w:line="240" w:lineRule="auto"/>
              <w:ind w:right="113"/>
              <w:contextualSpacing/>
              <w:rPr>
                <w:rFonts w:ascii="Times New Roman" w:hAnsi="Times New Roman" w:cs="Times New Roman"/>
                <w:b/>
                <w:color w:val="000000" w:themeColor="text1"/>
                <w:spacing w:val="-6"/>
                <w:highlight w:val="yellow"/>
              </w:rPr>
            </w:pPr>
            <w:r w:rsidRPr="005F34A9">
              <w:rPr>
                <w:rFonts w:ascii="Times New Roman" w:hAnsi="Times New Roman" w:cs="Times New Roman"/>
                <w:b/>
                <w:color w:val="000000" w:themeColor="text1"/>
                <w:spacing w:val="-6"/>
                <w:highlight w:val="yellow"/>
              </w:rPr>
              <w:t>до 14 год.00 хв.</w:t>
            </w:r>
            <w:r w:rsidR="00B26E71" w:rsidRPr="005F34A9">
              <w:rPr>
                <w:rFonts w:ascii="Times New Roman" w:hAnsi="Times New Roman" w:cs="Times New Roman"/>
                <w:b/>
                <w:color w:val="000000" w:themeColor="text1"/>
                <w:spacing w:val="-6"/>
                <w:highlight w:val="yellow"/>
                <w:lang w:val="en-US"/>
              </w:rPr>
              <w:t xml:space="preserve"> </w:t>
            </w:r>
            <w:r w:rsidR="0014460E" w:rsidRPr="005F34A9">
              <w:rPr>
                <w:rFonts w:ascii="Times New Roman" w:hAnsi="Times New Roman" w:cs="Times New Roman"/>
                <w:b/>
                <w:color w:val="000000" w:themeColor="text1"/>
                <w:spacing w:val="-6"/>
                <w:highlight w:val="yellow"/>
                <w:lang w:val="en-US"/>
              </w:rPr>
              <w:t>05</w:t>
            </w:r>
            <w:r w:rsidR="00610EDA" w:rsidRPr="005F34A9">
              <w:rPr>
                <w:rFonts w:ascii="Times New Roman" w:hAnsi="Times New Roman" w:cs="Times New Roman"/>
                <w:b/>
                <w:color w:val="000000" w:themeColor="text1"/>
                <w:spacing w:val="-6"/>
                <w:highlight w:val="yellow"/>
              </w:rPr>
              <w:t>.</w:t>
            </w:r>
            <w:r w:rsidR="00D55E39" w:rsidRPr="005F34A9">
              <w:rPr>
                <w:rFonts w:ascii="Times New Roman" w:hAnsi="Times New Roman" w:cs="Times New Roman"/>
                <w:b/>
                <w:color w:val="000000" w:themeColor="text1"/>
                <w:spacing w:val="-6"/>
                <w:highlight w:val="yellow"/>
              </w:rPr>
              <w:t>0</w:t>
            </w:r>
            <w:r w:rsidR="0014460E" w:rsidRPr="005F34A9">
              <w:rPr>
                <w:rFonts w:ascii="Times New Roman" w:hAnsi="Times New Roman" w:cs="Times New Roman"/>
                <w:b/>
                <w:color w:val="000000" w:themeColor="text1"/>
                <w:spacing w:val="-6"/>
                <w:highlight w:val="yellow"/>
                <w:lang w:val="en-US"/>
              </w:rPr>
              <w:t>2</w:t>
            </w:r>
            <w:r w:rsidR="00610EDA" w:rsidRPr="005F34A9">
              <w:rPr>
                <w:rFonts w:ascii="Times New Roman" w:hAnsi="Times New Roman" w:cs="Times New Roman"/>
                <w:b/>
                <w:color w:val="000000" w:themeColor="text1"/>
                <w:spacing w:val="-6"/>
                <w:highlight w:val="yellow"/>
              </w:rPr>
              <w:t>.</w:t>
            </w:r>
            <w:r w:rsidR="006F72B0" w:rsidRPr="005F34A9">
              <w:rPr>
                <w:rFonts w:ascii="Times New Roman" w:hAnsi="Times New Roman" w:cs="Times New Roman"/>
                <w:b/>
                <w:color w:val="000000" w:themeColor="text1"/>
                <w:spacing w:val="-6"/>
                <w:highlight w:val="yellow"/>
              </w:rPr>
              <w:t>202</w:t>
            </w:r>
            <w:r w:rsidR="0072252B" w:rsidRPr="005F34A9">
              <w:rPr>
                <w:rFonts w:ascii="Times New Roman" w:hAnsi="Times New Roman" w:cs="Times New Roman"/>
                <w:b/>
                <w:color w:val="000000" w:themeColor="text1"/>
                <w:spacing w:val="-6"/>
                <w:highlight w:val="yellow"/>
              </w:rPr>
              <w:t>4</w:t>
            </w:r>
            <w:r w:rsidR="006F72B0" w:rsidRPr="005F34A9">
              <w:rPr>
                <w:rFonts w:ascii="Times New Roman" w:hAnsi="Times New Roman" w:cs="Times New Roman"/>
                <w:b/>
                <w:color w:val="000000" w:themeColor="text1"/>
                <w:spacing w:val="-6"/>
                <w:highlight w:val="yellow"/>
              </w:rPr>
              <w:t xml:space="preserve"> року</w:t>
            </w:r>
          </w:p>
        </w:tc>
      </w:tr>
      <w:tr w:rsidR="00A2023B" w:rsidRPr="00A53F8B" w14:paraId="48993F9D" w14:textId="77777777" w:rsidTr="006835A5">
        <w:trPr>
          <w:trHeight w:val="20"/>
          <w:jc w:val="center"/>
        </w:trPr>
        <w:tc>
          <w:tcPr>
            <w:tcW w:w="470" w:type="dxa"/>
            <w:tcBorders>
              <w:top w:val="single" w:sz="4" w:space="0" w:color="auto"/>
              <w:left w:val="single" w:sz="4" w:space="0" w:color="auto"/>
              <w:bottom w:val="single" w:sz="4" w:space="0" w:color="auto"/>
              <w:right w:val="single" w:sz="4" w:space="0" w:color="auto"/>
            </w:tcBorders>
          </w:tcPr>
          <w:p w14:paraId="26693925" w14:textId="6DEC8D47" w:rsidR="00A2023B" w:rsidRPr="00A53F8B" w:rsidRDefault="00A2023B" w:rsidP="00A2023B">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11</w:t>
            </w:r>
          </w:p>
        </w:tc>
        <w:tc>
          <w:tcPr>
            <w:tcW w:w="2624" w:type="dxa"/>
            <w:tcBorders>
              <w:top w:val="single" w:sz="4" w:space="0" w:color="auto"/>
              <w:left w:val="single" w:sz="4" w:space="0" w:color="auto"/>
              <w:bottom w:val="single" w:sz="4" w:space="0" w:color="auto"/>
              <w:right w:val="single" w:sz="4" w:space="0" w:color="auto"/>
            </w:tcBorders>
          </w:tcPr>
          <w:p w14:paraId="2DC1F4BE" w14:textId="133F9BD4" w:rsidR="00A2023B" w:rsidRPr="005F34A9" w:rsidRDefault="00A2023B" w:rsidP="00A2023B">
            <w:pPr>
              <w:keepNext/>
              <w:spacing w:after="0" w:line="240" w:lineRule="auto"/>
              <w:ind w:right="34"/>
              <w:outlineLvl w:val="0"/>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Розмір забезпечення тендерної пропозиції (якщо замовник вимагає його надати)</w:t>
            </w:r>
          </w:p>
        </w:tc>
        <w:tc>
          <w:tcPr>
            <w:tcW w:w="7391" w:type="dxa"/>
            <w:tcBorders>
              <w:top w:val="single" w:sz="4" w:space="0" w:color="auto"/>
              <w:left w:val="single" w:sz="4" w:space="0" w:color="auto"/>
              <w:bottom w:val="single" w:sz="4" w:space="0" w:color="auto"/>
              <w:right w:val="single" w:sz="4" w:space="0" w:color="auto"/>
            </w:tcBorders>
            <w:vAlign w:val="center"/>
          </w:tcPr>
          <w:p w14:paraId="747F096B" w14:textId="0E22F860" w:rsidR="00A2023B" w:rsidRPr="005F34A9" w:rsidRDefault="00C15ED3" w:rsidP="006835A5">
            <w:pPr>
              <w:widowControl w:val="0"/>
              <w:tabs>
                <w:tab w:val="left" w:pos="6129"/>
              </w:tabs>
              <w:spacing w:after="0" w:line="240" w:lineRule="auto"/>
              <w:ind w:right="113"/>
              <w:contextualSpacing/>
              <w:rPr>
                <w:rFonts w:ascii="Times New Roman" w:hAnsi="Times New Roman" w:cs="Times New Roman"/>
                <w:highlight w:val="yellow"/>
              </w:rPr>
            </w:pPr>
            <w:r w:rsidRPr="005F34A9">
              <w:rPr>
                <w:rFonts w:ascii="Times New Roman" w:hAnsi="Times New Roman" w:cs="Times New Roman"/>
                <w:highlight w:val="yellow"/>
              </w:rPr>
              <w:t>93 200,00 грн</w:t>
            </w:r>
          </w:p>
        </w:tc>
      </w:tr>
      <w:tr w:rsidR="00A2023B" w:rsidRPr="00A53F8B" w14:paraId="2F1CF367" w14:textId="77777777" w:rsidTr="006835A5">
        <w:trPr>
          <w:trHeight w:val="20"/>
          <w:jc w:val="center"/>
        </w:trPr>
        <w:tc>
          <w:tcPr>
            <w:tcW w:w="470" w:type="dxa"/>
            <w:tcBorders>
              <w:top w:val="single" w:sz="4" w:space="0" w:color="auto"/>
              <w:left w:val="single" w:sz="4" w:space="0" w:color="auto"/>
              <w:bottom w:val="single" w:sz="4" w:space="0" w:color="auto"/>
              <w:right w:val="single" w:sz="4" w:space="0" w:color="auto"/>
            </w:tcBorders>
          </w:tcPr>
          <w:p w14:paraId="3A2A39AF" w14:textId="7A2D1D4C" w:rsidR="00A2023B" w:rsidRPr="00A53F8B" w:rsidRDefault="00A2023B" w:rsidP="00A2023B">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12</w:t>
            </w:r>
          </w:p>
        </w:tc>
        <w:tc>
          <w:tcPr>
            <w:tcW w:w="2624" w:type="dxa"/>
            <w:tcBorders>
              <w:top w:val="single" w:sz="4" w:space="0" w:color="auto"/>
              <w:left w:val="single" w:sz="4" w:space="0" w:color="auto"/>
              <w:bottom w:val="single" w:sz="4" w:space="0" w:color="auto"/>
              <w:right w:val="single" w:sz="4" w:space="0" w:color="auto"/>
            </w:tcBorders>
          </w:tcPr>
          <w:p w14:paraId="00F3CBA4" w14:textId="69EB47D0" w:rsidR="00A2023B" w:rsidRPr="005F34A9" w:rsidRDefault="00A2023B" w:rsidP="00A2023B">
            <w:pPr>
              <w:keepNext/>
              <w:spacing w:after="0" w:line="240" w:lineRule="auto"/>
              <w:ind w:right="34"/>
              <w:outlineLvl w:val="0"/>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Вид забезпечення тендерної пропозиції (якщо замовник вимагає його надати)</w:t>
            </w:r>
          </w:p>
        </w:tc>
        <w:tc>
          <w:tcPr>
            <w:tcW w:w="7391" w:type="dxa"/>
            <w:tcBorders>
              <w:top w:val="single" w:sz="4" w:space="0" w:color="auto"/>
              <w:left w:val="single" w:sz="4" w:space="0" w:color="auto"/>
              <w:bottom w:val="single" w:sz="4" w:space="0" w:color="auto"/>
              <w:right w:val="single" w:sz="4" w:space="0" w:color="auto"/>
            </w:tcBorders>
            <w:vAlign w:val="center"/>
          </w:tcPr>
          <w:p w14:paraId="3B5D7FEF" w14:textId="77777777" w:rsidR="00C15ED3" w:rsidRPr="005F34A9" w:rsidRDefault="00C15ED3" w:rsidP="00C15ED3">
            <w:pPr>
              <w:widowControl w:val="0"/>
              <w:tabs>
                <w:tab w:val="left" w:pos="6129"/>
              </w:tabs>
              <w:spacing w:after="0" w:line="240" w:lineRule="auto"/>
              <w:ind w:right="113"/>
              <w:contextualSpacing/>
              <w:rPr>
                <w:rFonts w:ascii="Times New Roman" w:hAnsi="Times New Roman" w:cs="Times New Roman"/>
                <w:highlight w:val="yellow"/>
              </w:rPr>
            </w:pPr>
            <w:r w:rsidRPr="005F34A9">
              <w:rPr>
                <w:rFonts w:ascii="Times New Roman" w:hAnsi="Times New Roman" w:cs="Times New Roman"/>
                <w:highlight w:val="yellow"/>
              </w:rPr>
              <w:t>Банківська гарантія (оригінал електронної банківської гарантії, що оформлена в електронному вигляді з дотриманням вимог законодавства про електронний документообіг та електронний підпис).</w:t>
            </w:r>
          </w:p>
          <w:p w14:paraId="23D7F69F" w14:textId="0D01B8FD" w:rsidR="00A2023B" w:rsidRPr="005F34A9" w:rsidRDefault="00C15ED3" w:rsidP="00C15ED3">
            <w:pPr>
              <w:widowControl w:val="0"/>
              <w:tabs>
                <w:tab w:val="left" w:pos="6129"/>
              </w:tabs>
              <w:spacing w:after="0" w:line="240" w:lineRule="auto"/>
              <w:ind w:right="113"/>
              <w:contextualSpacing/>
              <w:rPr>
                <w:rFonts w:ascii="Times New Roman" w:hAnsi="Times New Roman" w:cs="Times New Roman"/>
                <w:highlight w:val="yellow"/>
              </w:rPr>
            </w:pPr>
            <w:r w:rsidRPr="005F34A9">
              <w:rPr>
                <w:rFonts w:ascii="Times New Roman" w:hAnsi="Times New Roman" w:cs="Times New Roman"/>
                <w:highlight w:val="yellow"/>
              </w:rPr>
              <w:t xml:space="preserve">Тендерне забезпечення повинно відповідати вимогам, що викладені в </w:t>
            </w:r>
            <w:r w:rsidRPr="005F34A9">
              <w:rPr>
                <w:rFonts w:ascii="Times New Roman" w:hAnsi="Times New Roman" w:cs="Times New Roman"/>
                <w:b/>
                <w:bCs/>
                <w:highlight w:val="yellow"/>
              </w:rPr>
              <w:t>Додатку VI</w:t>
            </w:r>
            <w:r w:rsidRPr="005F34A9">
              <w:rPr>
                <w:rFonts w:ascii="Times New Roman" w:hAnsi="Times New Roman" w:cs="Times New Roman"/>
                <w:highlight w:val="yellow"/>
              </w:rPr>
              <w:t xml:space="preserve"> </w:t>
            </w:r>
            <w:r w:rsidRPr="005F34A9">
              <w:rPr>
                <w:rFonts w:ascii="Times New Roman" w:hAnsi="Times New Roman" w:cs="Times New Roman"/>
                <w:b/>
                <w:bCs/>
                <w:highlight w:val="yellow"/>
              </w:rPr>
              <w:t>до тендерної документації</w:t>
            </w:r>
            <w:r w:rsidRPr="005F34A9">
              <w:rPr>
                <w:rFonts w:ascii="Times New Roman" w:hAnsi="Times New Roman" w:cs="Times New Roman"/>
                <w:highlight w:val="yellow"/>
              </w:rPr>
              <w:t>, зі строком дії не менше 120 днів з кінцевої дати подання тендерних пропозицій.</w:t>
            </w:r>
          </w:p>
        </w:tc>
      </w:tr>
      <w:tr w:rsidR="00CB174C" w:rsidRPr="00A53F8B" w14:paraId="6CDCF2DE" w14:textId="77777777" w:rsidTr="006056B5">
        <w:trPr>
          <w:trHeight w:val="279"/>
          <w:jc w:val="center"/>
        </w:trPr>
        <w:tc>
          <w:tcPr>
            <w:tcW w:w="470" w:type="dxa"/>
            <w:tcBorders>
              <w:top w:val="single" w:sz="4" w:space="0" w:color="auto"/>
              <w:left w:val="single" w:sz="4" w:space="0" w:color="auto"/>
              <w:bottom w:val="single" w:sz="4" w:space="0" w:color="auto"/>
              <w:right w:val="single" w:sz="4" w:space="0" w:color="auto"/>
            </w:tcBorders>
          </w:tcPr>
          <w:p w14:paraId="04B279E5" w14:textId="365F23F9" w:rsidR="00CB174C" w:rsidRPr="00A53F8B" w:rsidRDefault="00CB174C" w:rsidP="00CB174C">
            <w:pPr>
              <w:widowControl w:val="0"/>
              <w:spacing w:after="0" w:line="240" w:lineRule="auto"/>
              <w:contextualSpacing/>
              <w:rPr>
                <w:rFonts w:ascii="Times New Roman" w:eastAsia="Times New Roman" w:hAnsi="Times New Roman" w:cs="Times New Roman"/>
                <w:color w:val="000000"/>
                <w:spacing w:val="-6"/>
                <w:lang w:eastAsia="uk-UA"/>
              </w:rPr>
            </w:pPr>
            <w:r w:rsidRPr="00A53F8B">
              <w:rPr>
                <w:rFonts w:ascii="Times New Roman" w:eastAsia="Times New Roman" w:hAnsi="Times New Roman" w:cs="Times New Roman"/>
                <w:color w:val="000000"/>
                <w:spacing w:val="-6"/>
                <w:lang w:eastAsia="uk-UA"/>
              </w:rPr>
              <w:t>13</w:t>
            </w:r>
          </w:p>
        </w:tc>
        <w:tc>
          <w:tcPr>
            <w:tcW w:w="2624" w:type="dxa"/>
            <w:tcBorders>
              <w:top w:val="single" w:sz="4" w:space="0" w:color="auto"/>
              <w:left w:val="single" w:sz="4" w:space="0" w:color="auto"/>
              <w:bottom w:val="single" w:sz="4" w:space="0" w:color="auto"/>
              <w:right w:val="single" w:sz="4" w:space="0" w:color="auto"/>
            </w:tcBorders>
          </w:tcPr>
          <w:p w14:paraId="4DFAFC40" w14:textId="73BA1AC2" w:rsidR="00CB174C" w:rsidRPr="005F34A9" w:rsidRDefault="00CB174C" w:rsidP="00CB174C">
            <w:pPr>
              <w:keepNext/>
              <w:spacing w:after="0" w:line="240" w:lineRule="auto"/>
              <w:ind w:right="34"/>
              <w:outlineLvl w:val="0"/>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Забезпечення виконання договору про закупівлю </w:t>
            </w:r>
          </w:p>
        </w:tc>
        <w:tc>
          <w:tcPr>
            <w:tcW w:w="7391" w:type="dxa"/>
            <w:tcBorders>
              <w:top w:val="single" w:sz="4" w:space="0" w:color="auto"/>
              <w:left w:val="single" w:sz="4" w:space="0" w:color="auto"/>
              <w:bottom w:val="single" w:sz="4" w:space="0" w:color="auto"/>
              <w:right w:val="single" w:sz="4" w:space="0" w:color="auto"/>
            </w:tcBorders>
            <w:vAlign w:val="center"/>
          </w:tcPr>
          <w:p w14:paraId="04577875" w14:textId="77777777" w:rsidR="004F34C5" w:rsidRPr="005F34A9" w:rsidRDefault="004F34C5" w:rsidP="004F34C5">
            <w:pPr>
              <w:widowControl w:val="0"/>
              <w:tabs>
                <w:tab w:val="left" w:pos="6129"/>
              </w:tabs>
              <w:spacing w:after="0" w:line="240" w:lineRule="auto"/>
              <w:ind w:right="113"/>
              <w:contextualSpacing/>
              <w:rPr>
                <w:rFonts w:ascii="Times New Roman" w:hAnsi="Times New Roman" w:cs="Times New Roman"/>
                <w:highlight w:val="yellow"/>
              </w:rPr>
            </w:pPr>
            <w:r w:rsidRPr="005F34A9">
              <w:rPr>
                <w:rFonts w:ascii="Times New Roman" w:hAnsi="Times New Roman" w:cs="Times New Roman"/>
                <w:highlight w:val="yellow"/>
              </w:rPr>
              <w:t xml:space="preserve">Замовник вимагає надання забезпечення виконання договору про закупівлю переможцем торгів у виді банківської гарантії виконання зобов’язання у розмірі </w:t>
            </w:r>
            <w:r w:rsidRPr="005F34A9">
              <w:rPr>
                <w:rFonts w:ascii="Times New Roman" w:hAnsi="Times New Roman" w:cs="Times New Roman"/>
                <w:b/>
                <w:bCs/>
                <w:highlight w:val="yellow"/>
              </w:rPr>
              <w:t>5 %</w:t>
            </w:r>
            <w:r w:rsidRPr="005F34A9">
              <w:rPr>
                <w:rFonts w:ascii="Times New Roman" w:hAnsi="Times New Roman" w:cs="Times New Roman"/>
                <w:highlight w:val="yellow"/>
              </w:rPr>
              <w:t xml:space="preserve"> від загальної суми вартості договору.</w:t>
            </w:r>
          </w:p>
          <w:p w14:paraId="54481866" w14:textId="2F42323D" w:rsidR="00CB174C" w:rsidRPr="005F34A9" w:rsidRDefault="004F34C5" w:rsidP="004F34C5">
            <w:pPr>
              <w:widowControl w:val="0"/>
              <w:tabs>
                <w:tab w:val="left" w:pos="6129"/>
              </w:tabs>
              <w:spacing w:after="0" w:line="240" w:lineRule="auto"/>
              <w:ind w:right="113"/>
              <w:contextualSpacing/>
              <w:rPr>
                <w:rFonts w:ascii="Times New Roman" w:hAnsi="Times New Roman" w:cs="Times New Roman"/>
                <w:highlight w:val="yellow"/>
              </w:rPr>
            </w:pPr>
            <w:r w:rsidRPr="005F34A9">
              <w:rPr>
                <w:rFonts w:ascii="Times New Roman" w:hAnsi="Times New Roman" w:cs="Times New Roman"/>
                <w:highlight w:val="yellow"/>
              </w:rPr>
              <w:t xml:space="preserve">Забезпечення виконання договору про закупівлю повинно відповідати вимогам, що викладені в </w:t>
            </w:r>
            <w:r w:rsidRPr="005F34A9">
              <w:rPr>
                <w:rFonts w:ascii="Times New Roman" w:hAnsi="Times New Roman" w:cs="Times New Roman"/>
                <w:b/>
                <w:bCs/>
                <w:highlight w:val="yellow"/>
              </w:rPr>
              <w:t>Додатку VI</w:t>
            </w:r>
            <w:r w:rsidR="006C0233" w:rsidRPr="005F34A9">
              <w:rPr>
                <w:rFonts w:ascii="Times New Roman" w:hAnsi="Times New Roman" w:cs="Times New Roman"/>
                <w:b/>
                <w:bCs/>
                <w:highlight w:val="yellow"/>
                <w:lang w:val="en-US"/>
              </w:rPr>
              <w:t>I</w:t>
            </w:r>
            <w:r w:rsidRPr="005F34A9">
              <w:rPr>
                <w:rFonts w:ascii="Times New Roman" w:hAnsi="Times New Roman" w:cs="Times New Roman"/>
                <w:b/>
                <w:bCs/>
                <w:highlight w:val="yellow"/>
              </w:rPr>
              <w:t xml:space="preserve"> до тендерної документації.</w:t>
            </w:r>
          </w:p>
        </w:tc>
      </w:tr>
    </w:tbl>
    <w:p w14:paraId="71127DDB" w14:textId="77777777" w:rsidR="00A53F8B" w:rsidRDefault="00A53F8B">
      <w:r>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2901"/>
        <w:gridCol w:w="7042"/>
      </w:tblGrid>
      <w:tr w:rsidR="00F6275A" w:rsidRPr="00B75BDF" w14:paraId="3FEE6D85"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tcPr>
          <w:p w14:paraId="163F84E2" w14:textId="77777777" w:rsidR="00F6275A" w:rsidRPr="00B75BDF" w:rsidRDefault="00F6275A" w:rsidP="00C706ED">
            <w:pPr>
              <w:widowControl w:val="0"/>
              <w:spacing w:after="0" w:line="240" w:lineRule="auto"/>
              <w:contextualSpacing/>
              <w:jc w:val="center"/>
              <w:rPr>
                <w:rFonts w:ascii="Times New Roman" w:eastAsia="Times New Roman" w:hAnsi="Times New Roman" w:cs="Times New Roman"/>
                <w:b/>
                <w:color w:val="000000"/>
                <w:spacing w:val="-6"/>
                <w:lang w:eastAsia="uk-UA"/>
              </w:rPr>
            </w:pPr>
          </w:p>
        </w:tc>
        <w:tc>
          <w:tcPr>
            <w:tcW w:w="9943" w:type="dxa"/>
            <w:gridSpan w:val="2"/>
            <w:tcBorders>
              <w:top w:val="single" w:sz="4" w:space="0" w:color="auto"/>
              <w:left w:val="single" w:sz="4" w:space="0" w:color="auto"/>
              <w:bottom w:val="single" w:sz="4" w:space="0" w:color="auto"/>
              <w:right w:val="single" w:sz="4" w:space="0" w:color="auto"/>
            </w:tcBorders>
          </w:tcPr>
          <w:p w14:paraId="1DD999CF" w14:textId="77777777" w:rsidR="00F6275A" w:rsidRPr="005F34A9" w:rsidRDefault="00F6275A" w:rsidP="00C706ED">
            <w:pPr>
              <w:widowControl w:val="0"/>
              <w:spacing w:after="0" w:line="240" w:lineRule="auto"/>
              <w:contextualSpacing/>
              <w:jc w:val="center"/>
              <w:rPr>
                <w:rFonts w:ascii="Times New Roman" w:eastAsia="Times New Roman" w:hAnsi="Times New Roman" w:cs="Times New Roman"/>
                <w:b/>
                <w:color w:val="000000"/>
                <w:spacing w:val="-6"/>
                <w:highlight w:val="yellow"/>
                <w:bdr w:val="none" w:sz="0" w:space="0" w:color="auto" w:frame="1"/>
                <w:lang w:eastAsia="uk-UA"/>
              </w:rPr>
            </w:pPr>
            <w:r w:rsidRPr="005F34A9">
              <w:rPr>
                <w:rFonts w:ascii="Times New Roman" w:eastAsia="Times New Roman" w:hAnsi="Times New Roman" w:cs="Times New Roman"/>
                <w:b/>
                <w:color w:val="000000"/>
                <w:spacing w:val="-6"/>
                <w:highlight w:val="yellow"/>
                <w:bdr w:val="none" w:sz="0" w:space="0" w:color="auto" w:frame="1"/>
                <w:lang w:eastAsia="uk-UA"/>
              </w:rPr>
              <w:t>Загальна інструкція учасникам процедури закупівлі</w:t>
            </w:r>
          </w:p>
        </w:tc>
      </w:tr>
      <w:tr w:rsidR="00F6275A" w:rsidRPr="00B75BDF" w14:paraId="5DCC0E27"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38EC608F" w14:textId="77777777" w:rsidR="00F6275A" w:rsidRPr="00B75BDF" w:rsidRDefault="00F6275A" w:rsidP="00C706ED">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B75BDF">
              <w:rPr>
                <w:rFonts w:ascii="Times New Roman" w:eastAsia="Times New Roman" w:hAnsi="Times New Roman" w:cs="Times New Roman"/>
                <w:b/>
                <w:color w:val="000000"/>
                <w:spacing w:val="-6"/>
                <w:lang w:eastAsia="uk-UA"/>
              </w:rPr>
              <w:t>№</w:t>
            </w:r>
          </w:p>
        </w:tc>
        <w:tc>
          <w:tcPr>
            <w:tcW w:w="9943" w:type="dxa"/>
            <w:gridSpan w:val="2"/>
            <w:tcBorders>
              <w:top w:val="single" w:sz="4" w:space="0" w:color="auto"/>
              <w:left w:val="single" w:sz="4" w:space="0" w:color="auto"/>
              <w:bottom w:val="single" w:sz="4" w:space="0" w:color="auto"/>
              <w:right w:val="single" w:sz="4" w:space="0" w:color="auto"/>
            </w:tcBorders>
            <w:hideMark/>
          </w:tcPr>
          <w:p w14:paraId="5F410E3C" w14:textId="77777777" w:rsidR="00F6275A" w:rsidRPr="005F34A9" w:rsidRDefault="00F6275A" w:rsidP="00C706ED">
            <w:pPr>
              <w:widowControl w:val="0"/>
              <w:spacing w:after="0" w:line="240" w:lineRule="auto"/>
              <w:contextualSpacing/>
              <w:jc w:val="center"/>
              <w:rPr>
                <w:rFonts w:ascii="Times New Roman" w:eastAsia="Times New Roman" w:hAnsi="Times New Roman" w:cs="Times New Roman"/>
                <w:b/>
                <w:color w:val="000000"/>
                <w:spacing w:val="-6"/>
                <w:highlight w:val="yellow"/>
                <w:lang w:eastAsia="uk-UA"/>
              </w:rPr>
            </w:pPr>
            <w:r w:rsidRPr="005F34A9">
              <w:rPr>
                <w:rFonts w:ascii="Times New Roman" w:eastAsia="Times New Roman" w:hAnsi="Times New Roman" w:cs="Times New Roman"/>
                <w:b/>
                <w:color w:val="000000"/>
                <w:spacing w:val="-6"/>
                <w:highlight w:val="yellow"/>
                <w:bdr w:val="none" w:sz="0" w:space="0" w:color="auto" w:frame="1"/>
                <w:lang w:eastAsia="uk-UA"/>
              </w:rPr>
              <w:t>Розділ І. Загальні положення</w:t>
            </w:r>
          </w:p>
        </w:tc>
      </w:tr>
      <w:tr w:rsidR="00F6275A" w:rsidRPr="00B75BDF" w14:paraId="4AFDE3DD"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7847DFC2" w14:textId="77777777" w:rsidR="00F6275A" w:rsidRPr="00B75BDF" w:rsidRDefault="00F6275A" w:rsidP="00C706ED">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B75BDF">
              <w:rPr>
                <w:rFonts w:ascii="Times New Roman" w:eastAsia="Times New Roman" w:hAnsi="Times New Roman" w:cs="Times New Roman"/>
                <w:b/>
                <w:color w:val="000000"/>
                <w:spacing w:val="-6"/>
                <w:lang w:eastAsia="uk-UA"/>
              </w:rPr>
              <w:t>1</w:t>
            </w:r>
          </w:p>
        </w:tc>
        <w:tc>
          <w:tcPr>
            <w:tcW w:w="2901" w:type="dxa"/>
            <w:tcBorders>
              <w:top w:val="single" w:sz="4" w:space="0" w:color="auto"/>
              <w:left w:val="single" w:sz="4" w:space="0" w:color="auto"/>
              <w:bottom w:val="single" w:sz="4" w:space="0" w:color="auto"/>
              <w:right w:val="single" w:sz="4" w:space="0" w:color="auto"/>
            </w:tcBorders>
            <w:hideMark/>
          </w:tcPr>
          <w:p w14:paraId="785FFD66" w14:textId="77777777" w:rsidR="00F6275A" w:rsidRPr="005F34A9" w:rsidRDefault="00F6275A" w:rsidP="00C706ED">
            <w:pPr>
              <w:widowControl w:val="0"/>
              <w:spacing w:after="0" w:line="240" w:lineRule="auto"/>
              <w:contextualSpacing/>
              <w:jc w:val="center"/>
              <w:rPr>
                <w:rFonts w:ascii="Times New Roman" w:eastAsia="Times New Roman" w:hAnsi="Times New Roman" w:cs="Times New Roman"/>
                <w:b/>
                <w:color w:val="000000"/>
                <w:spacing w:val="-6"/>
                <w:highlight w:val="yellow"/>
                <w:lang w:eastAsia="uk-UA"/>
              </w:rPr>
            </w:pPr>
            <w:r w:rsidRPr="005F34A9">
              <w:rPr>
                <w:rFonts w:ascii="Times New Roman" w:eastAsia="Times New Roman" w:hAnsi="Times New Roman" w:cs="Times New Roman"/>
                <w:b/>
                <w:color w:val="000000"/>
                <w:spacing w:val="-6"/>
                <w:highlight w:val="yellow"/>
                <w:lang w:eastAsia="uk-UA"/>
              </w:rPr>
              <w:t>2</w:t>
            </w:r>
          </w:p>
        </w:tc>
        <w:tc>
          <w:tcPr>
            <w:tcW w:w="7042" w:type="dxa"/>
            <w:tcBorders>
              <w:top w:val="single" w:sz="4" w:space="0" w:color="auto"/>
              <w:left w:val="single" w:sz="4" w:space="0" w:color="auto"/>
              <w:bottom w:val="single" w:sz="4" w:space="0" w:color="auto"/>
              <w:right w:val="single" w:sz="4" w:space="0" w:color="auto"/>
            </w:tcBorders>
            <w:hideMark/>
          </w:tcPr>
          <w:p w14:paraId="15892FDD" w14:textId="77777777" w:rsidR="00F6275A" w:rsidRPr="005F34A9" w:rsidRDefault="00F6275A" w:rsidP="00C706ED">
            <w:pPr>
              <w:widowControl w:val="0"/>
              <w:spacing w:after="0" w:line="240" w:lineRule="auto"/>
              <w:contextualSpacing/>
              <w:jc w:val="center"/>
              <w:rPr>
                <w:rFonts w:ascii="Times New Roman" w:eastAsia="Times New Roman" w:hAnsi="Times New Roman" w:cs="Times New Roman"/>
                <w:b/>
                <w:color w:val="000000"/>
                <w:spacing w:val="-6"/>
                <w:highlight w:val="yellow"/>
                <w:lang w:eastAsia="uk-UA"/>
              </w:rPr>
            </w:pPr>
            <w:r w:rsidRPr="005F34A9">
              <w:rPr>
                <w:rFonts w:ascii="Times New Roman" w:eastAsia="Times New Roman" w:hAnsi="Times New Roman" w:cs="Times New Roman"/>
                <w:b/>
                <w:color w:val="000000"/>
                <w:spacing w:val="-6"/>
                <w:highlight w:val="yellow"/>
                <w:lang w:eastAsia="uk-UA"/>
              </w:rPr>
              <w:t>3</w:t>
            </w:r>
          </w:p>
        </w:tc>
      </w:tr>
      <w:tr w:rsidR="00F6275A" w:rsidRPr="00B75BDF" w14:paraId="72FC6E77"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091B6011"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1</w:t>
            </w:r>
          </w:p>
        </w:tc>
        <w:tc>
          <w:tcPr>
            <w:tcW w:w="2901" w:type="dxa"/>
            <w:tcBorders>
              <w:top w:val="single" w:sz="4" w:space="0" w:color="auto"/>
              <w:left w:val="single" w:sz="4" w:space="0" w:color="auto"/>
              <w:bottom w:val="single" w:sz="4" w:space="0" w:color="auto"/>
              <w:right w:val="single" w:sz="4" w:space="0" w:color="auto"/>
            </w:tcBorders>
            <w:hideMark/>
          </w:tcPr>
          <w:p w14:paraId="7A412A4A"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Терміни, які вживаються в тендерній документації</w:t>
            </w:r>
          </w:p>
        </w:tc>
        <w:tc>
          <w:tcPr>
            <w:tcW w:w="7042" w:type="dxa"/>
            <w:tcBorders>
              <w:top w:val="single" w:sz="4" w:space="0" w:color="auto"/>
              <w:left w:val="single" w:sz="4" w:space="0" w:color="auto"/>
              <w:bottom w:val="single" w:sz="4" w:space="0" w:color="auto"/>
              <w:right w:val="single" w:sz="4" w:space="0" w:color="auto"/>
            </w:tcBorders>
            <w:hideMark/>
          </w:tcPr>
          <w:p w14:paraId="310048FA" w14:textId="0CF9A6F3" w:rsidR="00F6275A" w:rsidRPr="005F34A9" w:rsidRDefault="00F6275A" w:rsidP="00C706ED">
            <w:pPr>
              <w:widowControl w:val="0"/>
              <w:spacing w:after="0" w:line="240" w:lineRule="auto"/>
              <w:ind w:firstLine="275"/>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Тендерну документацію складено з урахуванням вимог Закону України “Про публічні закупівлі” №922-VIІI від 25.12.2015 р. зі змінами (далі – Закон) та відповідно до вимог Постанови Кабінету міністрів України від 12.10.2022</w:t>
            </w:r>
            <w:r w:rsidR="00A25B55" w:rsidRPr="005F34A9">
              <w:rPr>
                <w:rFonts w:ascii="Times New Roman" w:eastAsia="Times New Roman" w:hAnsi="Times New Roman" w:cs="Times New Roman"/>
                <w:color w:val="000000"/>
                <w:spacing w:val="-6"/>
                <w:highlight w:val="yellow"/>
                <w:lang w:eastAsia="uk-UA"/>
              </w:rPr>
              <w:t> </w:t>
            </w:r>
            <w:r w:rsidRPr="005F34A9">
              <w:rPr>
                <w:rFonts w:ascii="Times New Roman" w:eastAsia="Times New Roman" w:hAnsi="Times New Roman" w:cs="Times New Roman"/>
                <w:color w:val="000000"/>
                <w:spacing w:val="-6"/>
                <w:highlight w:val="yellow"/>
                <w:lang w:eastAsia="uk-UA"/>
              </w:rPr>
              <w:t>р. №1178 (</w:t>
            </w:r>
            <w:r w:rsidR="00663180" w:rsidRPr="005F34A9">
              <w:rPr>
                <w:rFonts w:ascii="Times New Roman" w:eastAsia="Times New Roman" w:hAnsi="Times New Roman" w:cs="Times New Roman"/>
                <w:color w:val="000000"/>
                <w:spacing w:val="-6"/>
                <w:highlight w:val="yellow"/>
                <w:lang w:eastAsia="uk-UA"/>
              </w:rPr>
              <w:t>із змінами</w:t>
            </w:r>
            <w:r w:rsidRPr="005F34A9">
              <w:rPr>
                <w:rFonts w:ascii="Times New Roman" w:eastAsia="Times New Roman" w:hAnsi="Times New Roman" w:cs="Times New Roman"/>
                <w:color w:val="000000"/>
                <w:spacing w:val="-6"/>
                <w:highlight w:val="yellow"/>
                <w:lang w:eastAsia="uk-UA"/>
              </w:rPr>
              <w:t>)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(далі – Особливості) та інших нормативних документів чинного законодавства у сфері публічних закупівель.</w:t>
            </w:r>
          </w:p>
        </w:tc>
      </w:tr>
      <w:tr w:rsidR="00F6275A" w:rsidRPr="00B75BDF" w14:paraId="2DB93945"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5926CEA7"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2</w:t>
            </w:r>
          </w:p>
        </w:tc>
        <w:tc>
          <w:tcPr>
            <w:tcW w:w="2901" w:type="dxa"/>
            <w:tcBorders>
              <w:top w:val="single" w:sz="4" w:space="0" w:color="auto"/>
              <w:left w:val="single" w:sz="4" w:space="0" w:color="auto"/>
              <w:bottom w:val="single" w:sz="4" w:space="0" w:color="auto"/>
              <w:right w:val="single" w:sz="4" w:space="0" w:color="auto"/>
            </w:tcBorders>
            <w:hideMark/>
          </w:tcPr>
          <w:p w14:paraId="40D2CD96"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Інформація про замовника торгів</w:t>
            </w:r>
          </w:p>
        </w:tc>
        <w:tc>
          <w:tcPr>
            <w:tcW w:w="7042" w:type="dxa"/>
            <w:tcBorders>
              <w:top w:val="single" w:sz="4" w:space="0" w:color="auto"/>
              <w:left w:val="single" w:sz="4" w:space="0" w:color="auto"/>
              <w:bottom w:val="single" w:sz="4" w:space="0" w:color="auto"/>
              <w:right w:val="single" w:sz="4" w:space="0" w:color="auto"/>
            </w:tcBorders>
          </w:tcPr>
          <w:p w14:paraId="7225C310"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p>
        </w:tc>
      </w:tr>
      <w:tr w:rsidR="00F6275A" w:rsidRPr="00B75BDF" w14:paraId="367DFAB8" w14:textId="77777777" w:rsidTr="00C706ED">
        <w:trPr>
          <w:trHeight w:val="227"/>
          <w:jc w:val="center"/>
        </w:trPr>
        <w:tc>
          <w:tcPr>
            <w:tcW w:w="542" w:type="dxa"/>
            <w:vMerge w:val="restart"/>
            <w:tcBorders>
              <w:top w:val="single" w:sz="4" w:space="0" w:color="auto"/>
              <w:left w:val="single" w:sz="4" w:space="0" w:color="auto"/>
              <w:right w:val="single" w:sz="4" w:space="0" w:color="auto"/>
            </w:tcBorders>
            <w:hideMark/>
          </w:tcPr>
          <w:p w14:paraId="35D6DAAB"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2.1</w:t>
            </w:r>
          </w:p>
        </w:tc>
        <w:tc>
          <w:tcPr>
            <w:tcW w:w="2901" w:type="dxa"/>
            <w:tcBorders>
              <w:top w:val="single" w:sz="4" w:space="0" w:color="auto"/>
              <w:left w:val="single" w:sz="4" w:space="0" w:color="auto"/>
              <w:bottom w:val="single" w:sz="4" w:space="0" w:color="auto"/>
              <w:right w:val="single" w:sz="4" w:space="0" w:color="auto"/>
            </w:tcBorders>
            <w:hideMark/>
          </w:tcPr>
          <w:p w14:paraId="0E8F9A5B"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повне найменування</w:t>
            </w:r>
          </w:p>
        </w:tc>
        <w:tc>
          <w:tcPr>
            <w:tcW w:w="7042" w:type="dxa"/>
            <w:tcBorders>
              <w:top w:val="single" w:sz="4" w:space="0" w:color="auto"/>
              <w:left w:val="single" w:sz="4" w:space="0" w:color="auto"/>
              <w:bottom w:val="single" w:sz="4" w:space="0" w:color="auto"/>
              <w:right w:val="single" w:sz="4" w:space="0" w:color="auto"/>
            </w:tcBorders>
            <w:hideMark/>
          </w:tcPr>
          <w:p w14:paraId="36214C6E"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Акціонерне товариство «Укртрансгаз»</w:t>
            </w:r>
          </w:p>
        </w:tc>
      </w:tr>
      <w:tr w:rsidR="00F6275A" w:rsidRPr="00B75BDF" w14:paraId="36544EF9" w14:textId="77777777" w:rsidTr="00C706ED">
        <w:trPr>
          <w:trHeight w:val="227"/>
          <w:jc w:val="center"/>
        </w:trPr>
        <w:tc>
          <w:tcPr>
            <w:tcW w:w="542" w:type="dxa"/>
            <w:vMerge/>
            <w:tcBorders>
              <w:left w:val="single" w:sz="4" w:space="0" w:color="auto"/>
              <w:bottom w:val="single" w:sz="4" w:space="0" w:color="auto"/>
              <w:right w:val="single" w:sz="4" w:space="0" w:color="auto"/>
            </w:tcBorders>
          </w:tcPr>
          <w:p w14:paraId="1A0827C2"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p>
        </w:tc>
        <w:tc>
          <w:tcPr>
            <w:tcW w:w="2901" w:type="dxa"/>
            <w:tcBorders>
              <w:top w:val="single" w:sz="4" w:space="0" w:color="auto"/>
              <w:left w:val="single" w:sz="4" w:space="0" w:color="auto"/>
              <w:bottom w:val="single" w:sz="4" w:space="0" w:color="auto"/>
              <w:right w:val="single" w:sz="4" w:space="0" w:color="auto"/>
            </w:tcBorders>
          </w:tcPr>
          <w:p w14:paraId="45E9F8D2"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ідентифікаційний код замовника в Єдиному державному реєстрі юридичних осіб, фізичних осіб - підприємців та громадських формувань</w:t>
            </w:r>
          </w:p>
        </w:tc>
        <w:tc>
          <w:tcPr>
            <w:tcW w:w="7042" w:type="dxa"/>
            <w:tcBorders>
              <w:top w:val="single" w:sz="4" w:space="0" w:color="auto"/>
              <w:left w:val="single" w:sz="4" w:space="0" w:color="auto"/>
              <w:bottom w:val="single" w:sz="4" w:space="0" w:color="auto"/>
              <w:right w:val="single" w:sz="4" w:space="0" w:color="auto"/>
            </w:tcBorders>
            <w:vAlign w:val="center"/>
          </w:tcPr>
          <w:p w14:paraId="3BFB64BC"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30019801</w:t>
            </w:r>
          </w:p>
        </w:tc>
      </w:tr>
      <w:tr w:rsidR="00F6275A" w:rsidRPr="00B75BDF" w14:paraId="2DB8A04B"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5B6675A8"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2.2</w:t>
            </w:r>
          </w:p>
        </w:tc>
        <w:tc>
          <w:tcPr>
            <w:tcW w:w="2901" w:type="dxa"/>
            <w:tcBorders>
              <w:top w:val="single" w:sz="4" w:space="0" w:color="auto"/>
              <w:left w:val="single" w:sz="4" w:space="0" w:color="auto"/>
              <w:bottom w:val="single" w:sz="4" w:space="0" w:color="auto"/>
              <w:right w:val="single" w:sz="4" w:space="0" w:color="auto"/>
            </w:tcBorders>
            <w:hideMark/>
          </w:tcPr>
          <w:p w14:paraId="04BC87A6"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місцезнаходження</w:t>
            </w:r>
          </w:p>
        </w:tc>
        <w:tc>
          <w:tcPr>
            <w:tcW w:w="7042" w:type="dxa"/>
            <w:tcBorders>
              <w:top w:val="single" w:sz="4" w:space="0" w:color="auto"/>
              <w:left w:val="single" w:sz="4" w:space="0" w:color="auto"/>
              <w:bottom w:val="single" w:sz="4" w:space="0" w:color="auto"/>
              <w:right w:val="single" w:sz="4" w:space="0" w:color="auto"/>
            </w:tcBorders>
            <w:hideMark/>
          </w:tcPr>
          <w:p w14:paraId="4FACA812"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01021, м. Київ, Кловський узвіз, 9/1</w:t>
            </w:r>
          </w:p>
        </w:tc>
      </w:tr>
      <w:tr w:rsidR="00F6275A" w:rsidRPr="00B75BDF" w14:paraId="2A3E3C90"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1EEA2A5A"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2.3</w:t>
            </w:r>
          </w:p>
        </w:tc>
        <w:tc>
          <w:tcPr>
            <w:tcW w:w="2901" w:type="dxa"/>
            <w:tcBorders>
              <w:top w:val="single" w:sz="4" w:space="0" w:color="auto"/>
              <w:left w:val="single" w:sz="4" w:space="0" w:color="auto"/>
              <w:bottom w:val="single" w:sz="4" w:space="0" w:color="auto"/>
              <w:right w:val="single" w:sz="4" w:space="0" w:color="auto"/>
            </w:tcBorders>
            <w:hideMark/>
          </w:tcPr>
          <w:p w14:paraId="18676EA7"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посадова особа замовника, уповноважена здійснювати зв'язок з учасниками</w:t>
            </w:r>
          </w:p>
        </w:tc>
        <w:tc>
          <w:tcPr>
            <w:tcW w:w="7042" w:type="dxa"/>
            <w:tcBorders>
              <w:top w:val="single" w:sz="4" w:space="0" w:color="auto"/>
              <w:left w:val="single" w:sz="4" w:space="0" w:color="auto"/>
              <w:bottom w:val="single" w:sz="4" w:space="0" w:color="auto"/>
              <w:right w:val="single" w:sz="4" w:space="0" w:color="auto"/>
            </w:tcBorders>
            <w:hideMark/>
          </w:tcPr>
          <w:p w14:paraId="530CB9BC" w14:textId="77777777" w:rsidR="00F6275A" w:rsidRPr="005F34A9" w:rsidRDefault="00F6275A" w:rsidP="00C706ED">
            <w:pPr>
              <w:widowControl w:val="0"/>
              <w:spacing w:after="0" w:line="240" w:lineRule="auto"/>
              <w:ind w:firstLine="176"/>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Інформацію зазначено в пункті 1 зведеної інформації про закупівлю.</w:t>
            </w:r>
          </w:p>
        </w:tc>
      </w:tr>
      <w:tr w:rsidR="00F6275A" w:rsidRPr="00B75BDF" w14:paraId="62BDA75B"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30A61CEE"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3</w:t>
            </w:r>
          </w:p>
        </w:tc>
        <w:tc>
          <w:tcPr>
            <w:tcW w:w="2901" w:type="dxa"/>
            <w:tcBorders>
              <w:top w:val="single" w:sz="4" w:space="0" w:color="auto"/>
              <w:left w:val="single" w:sz="4" w:space="0" w:color="auto"/>
              <w:bottom w:val="single" w:sz="4" w:space="0" w:color="auto"/>
              <w:right w:val="single" w:sz="4" w:space="0" w:color="auto"/>
            </w:tcBorders>
            <w:hideMark/>
          </w:tcPr>
          <w:p w14:paraId="6FB0AE46"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Процедура закупівлі</w:t>
            </w:r>
          </w:p>
        </w:tc>
        <w:tc>
          <w:tcPr>
            <w:tcW w:w="7042" w:type="dxa"/>
            <w:tcBorders>
              <w:top w:val="single" w:sz="4" w:space="0" w:color="auto"/>
              <w:left w:val="single" w:sz="4" w:space="0" w:color="auto"/>
              <w:bottom w:val="single" w:sz="4" w:space="0" w:color="auto"/>
              <w:right w:val="single" w:sz="4" w:space="0" w:color="auto"/>
            </w:tcBorders>
            <w:hideMark/>
          </w:tcPr>
          <w:p w14:paraId="681AAF22"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відкриті торги</w:t>
            </w:r>
          </w:p>
        </w:tc>
      </w:tr>
      <w:tr w:rsidR="00F6275A" w:rsidRPr="00B75BDF" w14:paraId="22C462F7"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20CA3F81"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4</w:t>
            </w:r>
          </w:p>
        </w:tc>
        <w:tc>
          <w:tcPr>
            <w:tcW w:w="2901" w:type="dxa"/>
            <w:tcBorders>
              <w:top w:val="single" w:sz="4" w:space="0" w:color="auto"/>
              <w:left w:val="single" w:sz="4" w:space="0" w:color="auto"/>
              <w:bottom w:val="single" w:sz="4" w:space="0" w:color="auto"/>
              <w:right w:val="single" w:sz="4" w:space="0" w:color="auto"/>
            </w:tcBorders>
            <w:hideMark/>
          </w:tcPr>
          <w:p w14:paraId="09F2EB7E"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Інформація про предмет закупівлі</w:t>
            </w:r>
          </w:p>
        </w:tc>
        <w:tc>
          <w:tcPr>
            <w:tcW w:w="7042" w:type="dxa"/>
            <w:tcBorders>
              <w:top w:val="single" w:sz="4" w:space="0" w:color="auto"/>
              <w:left w:val="single" w:sz="4" w:space="0" w:color="auto"/>
              <w:bottom w:val="single" w:sz="4" w:space="0" w:color="auto"/>
              <w:right w:val="single" w:sz="4" w:space="0" w:color="auto"/>
            </w:tcBorders>
          </w:tcPr>
          <w:p w14:paraId="4740FA05" w14:textId="77777777" w:rsidR="00F6275A" w:rsidRPr="005F34A9" w:rsidRDefault="00F6275A" w:rsidP="00C706ED">
            <w:pPr>
              <w:widowControl w:val="0"/>
              <w:spacing w:after="0" w:line="240" w:lineRule="auto"/>
              <w:ind w:firstLine="176"/>
              <w:contextualSpacing/>
              <w:rPr>
                <w:rFonts w:ascii="Times New Roman" w:eastAsia="Times New Roman" w:hAnsi="Times New Roman" w:cs="Times New Roman"/>
                <w:color w:val="000000"/>
                <w:spacing w:val="-6"/>
                <w:highlight w:val="yellow"/>
                <w:lang w:eastAsia="uk-UA"/>
              </w:rPr>
            </w:pPr>
          </w:p>
        </w:tc>
      </w:tr>
      <w:tr w:rsidR="00F6275A" w:rsidRPr="00B75BDF" w14:paraId="121F340E"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63156CB4"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4.1</w:t>
            </w:r>
          </w:p>
        </w:tc>
        <w:tc>
          <w:tcPr>
            <w:tcW w:w="2901" w:type="dxa"/>
            <w:tcBorders>
              <w:top w:val="single" w:sz="4" w:space="0" w:color="auto"/>
              <w:left w:val="single" w:sz="4" w:space="0" w:color="auto"/>
              <w:bottom w:val="single" w:sz="4" w:space="0" w:color="auto"/>
              <w:right w:val="single" w:sz="4" w:space="0" w:color="auto"/>
            </w:tcBorders>
            <w:hideMark/>
          </w:tcPr>
          <w:p w14:paraId="47F82077" w14:textId="77777777" w:rsidR="00F6275A" w:rsidRPr="005F34A9" w:rsidRDefault="00F6275A" w:rsidP="00C706ED">
            <w:pPr>
              <w:widowControl w:val="0"/>
              <w:spacing w:after="0" w:line="240" w:lineRule="auto"/>
              <w:ind w:left="-9"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назва предмета закупівлі</w:t>
            </w:r>
          </w:p>
        </w:tc>
        <w:tc>
          <w:tcPr>
            <w:tcW w:w="7042" w:type="dxa"/>
            <w:tcBorders>
              <w:top w:val="single" w:sz="4" w:space="0" w:color="auto"/>
              <w:left w:val="single" w:sz="4" w:space="0" w:color="auto"/>
              <w:bottom w:val="single" w:sz="4" w:space="0" w:color="auto"/>
              <w:right w:val="single" w:sz="4" w:space="0" w:color="auto"/>
            </w:tcBorders>
            <w:hideMark/>
          </w:tcPr>
          <w:p w14:paraId="15023E5D" w14:textId="77777777" w:rsidR="00F6275A" w:rsidRPr="005F34A9" w:rsidRDefault="00F6275A" w:rsidP="00C706ED">
            <w:pPr>
              <w:widowControl w:val="0"/>
              <w:spacing w:after="0" w:line="240" w:lineRule="auto"/>
              <w:ind w:firstLine="176"/>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Інформацію зазначено в пункті 2 зведеної інформації про закупівлю.</w:t>
            </w:r>
          </w:p>
        </w:tc>
      </w:tr>
      <w:tr w:rsidR="00F6275A" w:rsidRPr="00B75BDF" w14:paraId="41B81888"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521CAE63"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4.2</w:t>
            </w:r>
          </w:p>
        </w:tc>
        <w:tc>
          <w:tcPr>
            <w:tcW w:w="2901" w:type="dxa"/>
            <w:tcBorders>
              <w:top w:val="single" w:sz="4" w:space="0" w:color="auto"/>
              <w:left w:val="single" w:sz="4" w:space="0" w:color="auto"/>
              <w:bottom w:val="single" w:sz="4" w:space="0" w:color="auto"/>
              <w:right w:val="single" w:sz="4" w:space="0" w:color="auto"/>
            </w:tcBorders>
            <w:hideMark/>
          </w:tcPr>
          <w:p w14:paraId="315AF9BC" w14:textId="77777777" w:rsidR="00F6275A" w:rsidRPr="005F34A9" w:rsidRDefault="00F6275A" w:rsidP="00C706ED">
            <w:pPr>
              <w:widowControl w:val="0"/>
              <w:spacing w:after="0" w:line="240" w:lineRule="auto"/>
              <w:ind w:left="-9"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опис окремої частини (частин) предмета закупівлі (лота), щодо якої можуть бути подані тендерні пропозиції </w:t>
            </w:r>
          </w:p>
        </w:tc>
        <w:tc>
          <w:tcPr>
            <w:tcW w:w="7042" w:type="dxa"/>
            <w:tcBorders>
              <w:top w:val="single" w:sz="4" w:space="0" w:color="auto"/>
              <w:left w:val="single" w:sz="4" w:space="0" w:color="auto"/>
              <w:bottom w:val="single" w:sz="4" w:space="0" w:color="auto"/>
              <w:right w:val="single" w:sz="4" w:space="0" w:color="auto"/>
            </w:tcBorders>
            <w:hideMark/>
          </w:tcPr>
          <w:p w14:paraId="0A2B7F1C" w14:textId="77777777" w:rsidR="00F6275A" w:rsidRPr="005F34A9" w:rsidRDefault="00F6275A" w:rsidP="00C706ED">
            <w:pPr>
              <w:widowControl w:val="0"/>
              <w:spacing w:after="0" w:line="240" w:lineRule="auto"/>
              <w:ind w:firstLine="176"/>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Інформацію зазначено в пункті 4 зведеної інформації про закупівлю.</w:t>
            </w:r>
          </w:p>
        </w:tc>
      </w:tr>
      <w:tr w:rsidR="00F6275A" w:rsidRPr="00B75BDF" w14:paraId="48008273" w14:textId="77777777" w:rsidTr="00C706ED">
        <w:trPr>
          <w:trHeight w:val="227"/>
          <w:jc w:val="center"/>
        </w:trPr>
        <w:tc>
          <w:tcPr>
            <w:tcW w:w="542" w:type="dxa"/>
            <w:tcBorders>
              <w:top w:val="single" w:sz="4" w:space="0" w:color="auto"/>
              <w:left w:val="single" w:sz="4" w:space="0" w:color="auto"/>
              <w:right w:val="single" w:sz="4" w:space="0" w:color="auto"/>
            </w:tcBorders>
            <w:hideMark/>
          </w:tcPr>
          <w:p w14:paraId="4E91FE8F"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4.3</w:t>
            </w:r>
          </w:p>
        </w:tc>
        <w:tc>
          <w:tcPr>
            <w:tcW w:w="2901" w:type="dxa"/>
            <w:tcBorders>
              <w:top w:val="single" w:sz="4" w:space="0" w:color="auto"/>
              <w:left w:val="single" w:sz="4" w:space="0" w:color="auto"/>
              <w:right w:val="single" w:sz="4" w:space="0" w:color="auto"/>
            </w:tcBorders>
            <w:hideMark/>
          </w:tcPr>
          <w:p w14:paraId="51DF9608" w14:textId="77777777" w:rsidR="00F6275A" w:rsidRPr="005F34A9" w:rsidRDefault="00F6275A" w:rsidP="00C706ED">
            <w:pPr>
              <w:widowControl w:val="0"/>
              <w:spacing w:after="0" w:line="240" w:lineRule="auto"/>
              <w:ind w:left="-9" w:right="113"/>
              <w:contextualSpacing/>
              <w:rPr>
                <w:rFonts w:ascii="Times New Roman" w:eastAsia="Times New Roman" w:hAnsi="Times New Roman" w:cs="Times New Roman"/>
                <w:color w:val="000000"/>
                <w:spacing w:val="-6"/>
                <w:highlight w:val="yellow"/>
              </w:rPr>
            </w:pPr>
            <w:r w:rsidRPr="005F34A9">
              <w:rPr>
                <w:rFonts w:ascii="Times New Roman" w:eastAsia="Times New Roman" w:hAnsi="Times New Roman" w:cs="Times New Roman"/>
                <w:color w:val="000000"/>
                <w:spacing w:val="-6"/>
                <w:highlight w:val="yellow"/>
              </w:rPr>
              <w:t>місце, кількість, обсяг поставки товарів (надання послуг, виконання робіт)</w:t>
            </w:r>
          </w:p>
        </w:tc>
        <w:tc>
          <w:tcPr>
            <w:tcW w:w="7042" w:type="dxa"/>
            <w:tcBorders>
              <w:top w:val="single" w:sz="4" w:space="0" w:color="auto"/>
              <w:left w:val="single" w:sz="4" w:space="0" w:color="auto"/>
              <w:right w:val="single" w:sz="4" w:space="0" w:color="auto"/>
            </w:tcBorders>
            <w:hideMark/>
          </w:tcPr>
          <w:p w14:paraId="098B81D5" w14:textId="77777777" w:rsidR="00F6275A" w:rsidRPr="005F34A9" w:rsidRDefault="00F6275A" w:rsidP="00C706ED">
            <w:pPr>
              <w:widowControl w:val="0"/>
              <w:spacing w:after="0" w:line="240" w:lineRule="auto"/>
              <w:ind w:firstLine="176"/>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Інформацію зазначено в пунктах 5 та 6 зведеної інформації про закупівлю.</w:t>
            </w:r>
          </w:p>
        </w:tc>
      </w:tr>
      <w:tr w:rsidR="00F6275A" w:rsidRPr="00B75BDF" w14:paraId="52B891F6"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569946D9"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4.4</w:t>
            </w:r>
          </w:p>
        </w:tc>
        <w:tc>
          <w:tcPr>
            <w:tcW w:w="2901" w:type="dxa"/>
            <w:tcBorders>
              <w:top w:val="single" w:sz="4" w:space="0" w:color="auto"/>
              <w:left w:val="single" w:sz="4" w:space="0" w:color="auto"/>
              <w:bottom w:val="single" w:sz="4" w:space="0" w:color="auto"/>
              <w:right w:val="single" w:sz="4" w:space="0" w:color="auto"/>
            </w:tcBorders>
            <w:hideMark/>
          </w:tcPr>
          <w:p w14:paraId="513FE133" w14:textId="77777777" w:rsidR="00F6275A" w:rsidRPr="005F34A9" w:rsidRDefault="00F6275A" w:rsidP="00C706ED">
            <w:pPr>
              <w:widowControl w:val="0"/>
              <w:spacing w:after="0" w:line="240" w:lineRule="auto"/>
              <w:ind w:left="-9" w:right="113"/>
              <w:contextualSpacing/>
              <w:rPr>
                <w:rFonts w:ascii="Times New Roman" w:eastAsia="Times New Roman" w:hAnsi="Times New Roman" w:cs="Times New Roman"/>
                <w:color w:val="000000"/>
                <w:spacing w:val="-6"/>
                <w:highlight w:val="yellow"/>
              </w:rPr>
            </w:pPr>
            <w:r w:rsidRPr="005F34A9">
              <w:rPr>
                <w:rFonts w:ascii="Times New Roman" w:eastAsia="Times New Roman" w:hAnsi="Times New Roman" w:cs="Times New Roman"/>
                <w:color w:val="000000"/>
                <w:spacing w:val="-6"/>
                <w:highlight w:val="yellow"/>
              </w:rPr>
              <w:t>строк поставки товарів (надання послуг, виконання робіт)</w:t>
            </w:r>
          </w:p>
        </w:tc>
        <w:tc>
          <w:tcPr>
            <w:tcW w:w="7042" w:type="dxa"/>
            <w:tcBorders>
              <w:top w:val="single" w:sz="4" w:space="0" w:color="auto"/>
              <w:left w:val="single" w:sz="4" w:space="0" w:color="auto"/>
              <w:bottom w:val="single" w:sz="4" w:space="0" w:color="auto"/>
              <w:right w:val="single" w:sz="4" w:space="0" w:color="auto"/>
            </w:tcBorders>
            <w:hideMark/>
          </w:tcPr>
          <w:p w14:paraId="1AAF50B9" w14:textId="77777777" w:rsidR="00F6275A" w:rsidRPr="005F34A9" w:rsidRDefault="00F6275A" w:rsidP="00C706ED">
            <w:pPr>
              <w:widowControl w:val="0"/>
              <w:spacing w:after="0" w:line="240" w:lineRule="auto"/>
              <w:ind w:firstLine="176"/>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Інформацію зазначено в пункті 7 зведеної інформації про закупівлю.</w:t>
            </w:r>
          </w:p>
        </w:tc>
      </w:tr>
      <w:tr w:rsidR="00F6275A" w:rsidRPr="00B75BDF" w14:paraId="12EB6F5E"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0DC47285"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5</w:t>
            </w:r>
          </w:p>
        </w:tc>
        <w:tc>
          <w:tcPr>
            <w:tcW w:w="2901" w:type="dxa"/>
            <w:tcBorders>
              <w:top w:val="single" w:sz="4" w:space="0" w:color="auto"/>
              <w:left w:val="single" w:sz="4" w:space="0" w:color="auto"/>
              <w:bottom w:val="single" w:sz="4" w:space="0" w:color="auto"/>
              <w:right w:val="single" w:sz="4" w:space="0" w:color="auto"/>
            </w:tcBorders>
            <w:hideMark/>
          </w:tcPr>
          <w:p w14:paraId="446A1E39"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Недискримінація учасників</w:t>
            </w:r>
          </w:p>
        </w:tc>
        <w:tc>
          <w:tcPr>
            <w:tcW w:w="7042" w:type="dxa"/>
            <w:tcBorders>
              <w:top w:val="single" w:sz="4" w:space="0" w:color="auto"/>
              <w:left w:val="single" w:sz="4" w:space="0" w:color="auto"/>
              <w:bottom w:val="single" w:sz="4" w:space="0" w:color="auto"/>
              <w:right w:val="single" w:sz="4" w:space="0" w:color="auto"/>
            </w:tcBorders>
            <w:hideMark/>
          </w:tcPr>
          <w:p w14:paraId="36165C9B" w14:textId="77777777" w:rsidR="00F6275A" w:rsidRPr="005F34A9" w:rsidRDefault="00F6275A" w:rsidP="00C706ED">
            <w:pPr>
              <w:spacing w:after="0" w:line="240" w:lineRule="auto"/>
              <w:ind w:firstLine="174"/>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Під час проведення відкритих торгів тендерні пропозиції мають право подавати всі заінтересовані особи. </w:t>
            </w:r>
          </w:p>
        </w:tc>
      </w:tr>
      <w:tr w:rsidR="00F6275A" w:rsidRPr="00B75BDF" w14:paraId="19034353"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6D1C2071"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6</w:t>
            </w:r>
          </w:p>
        </w:tc>
        <w:tc>
          <w:tcPr>
            <w:tcW w:w="2901" w:type="dxa"/>
            <w:tcBorders>
              <w:top w:val="single" w:sz="4" w:space="0" w:color="auto"/>
              <w:left w:val="single" w:sz="4" w:space="0" w:color="auto"/>
              <w:bottom w:val="single" w:sz="4" w:space="0" w:color="auto"/>
              <w:right w:val="single" w:sz="4" w:space="0" w:color="auto"/>
            </w:tcBorders>
            <w:hideMark/>
          </w:tcPr>
          <w:p w14:paraId="6B159133"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Інформація про валюту, у якій повинно бути розраховано та зазначено ціну тендерної пропозиції</w:t>
            </w:r>
          </w:p>
        </w:tc>
        <w:tc>
          <w:tcPr>
            <w:tcW w:w="7042" w:type="dxa"/>
            <w:tcBorders>
              <w:top w:val="single" w:sz="4" w:space="0" w:color="auto"/>
              <w:left w:val="single" w:sz="4" w:space="0" w:color="auto"/>
              <w:bottom w:val="single" w:sz="4" w:space="0" w:color="auto"/>
              <w:right w:val="single" w:sz="4" w:space="0" w:color="auto"/>
            </w:tcBorders>
            <w:hideMark/>
          </w:tcPr>
          <w:p w14:paraId="35703F00"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Валютою тендерної пропозиції є гривня.</w:t>
            </w:r>
          </w:p>
          <w:p w14:paraId="2E2DA503"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Ціна тендерної пропозиції повинна бути розрахована із врахуванням податку на додану вартість (у випадках, що визначені законодавством) та вартості інших витрат необхідних для виконання договору.</w:t>
            </w:r>
          </w:p>
          <w:p w14:paraId="28203EE8"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 разі якщо учасником процедури закупівлі є нерезидент, такий учасник зазначає ціну тендерної пропозиції у доларах США або євро.</w:t>
            </w:r>
          </w:p>
          <w:p w14:paraId="781A0373"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При розкритті тендерних пропозицій ціна такої тендерної пропозиції перераховується у гривні за офіційним курсом до долара США або євро (відповідно), установленим Національним банком України на дату розкриття тендерних пропозицій.</w:t>
            </w:r>
          </w:p>
        </w:tc>
      </w:tr>
      <w:tr w:rsidR="00F6275A" w:rsidRPr="00B75BDF" w14:paraId="6496D6E6"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2D3A7409"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7</w:t>
            </w:r>
          </w:p>
        </w:tc>
        <w:tc>
          <w:tcPr>
            <w:tcW w:w="2901" w:type="dxa"/>
            <w:tcBorders>
              <w:top w:val="single" w:sz="4" w:space="0" w:color="auto"/>
              <w:left w:val="single" w:sz="4" w:space="0" w:color="auto"/>
              <w:bottom w:val="single" w:sz="4" w:space="0" w:color="auto"/>
              <w:right w:val="single" w:sz="4" w:space="0" w:color="auto"/>
            </w:tcBorders>
            <w:hideMark/>
          </w:tcPr>
          <w:p w14:paraId="36824F8B"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Інформація  про  мову (мови),  якою  (якими) повинно  бути  складено тендерні пропозиції</w:t>
            </w:r>
          </w:p>
        </w:tc>
        <w:tc>
          <w:tcPr>
            <w:tcW w:w="7042" w:type="dxa"/>
            <w:tcBorders>
              <w:top w:val="single" w:sz="4" w:space="0" w:color="auto"/>
              <w:left w:val="single" w:sz="4" w:space="0" w:color="auto"/>
              <w:bottom w:val="single" w:sz="4" w:space="0" w:color="auto"/>
              <w:right w:val="single" w:sz="4" w:space="0" w:color="auto"/>
            </w:tcBorders>
            <w:hideMark/>
          </w:tcPr>
          <w:p w14:paraId="40324BE8"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Під час проведення закупівлі документи, що подаються учасником, викладаються українською мовою. Якщо в складі пропозиції закупівлі надається документ, складений на іншій ніж передбачено цим пунктом мові, учасник надає автентичний переклад цього документу. Відповідальність за </w:t>
            </w:r>
            <w:r w:rsidRPr="005F34A9">
              <w:rPr>
                <w:rFonts w:ascii="Times New Roman" w:eastAsia="Times New Roman" w:hAnsi="Times New Roman" w:cs="Times New Roman"/>
                <w:color w:val="000000"/>
                <w:spacing w:val="-6"/>
                <w:highlight w:val="yellow"/>
                <w:lang w:eastAsia="uk-UA"/>
              </w:rPr>
              <w:lastRenderedPageBreak/>
              <w:t xml:space="preserve">достовірність перекладу несе учасник. Дана вимога не відноситься до власних назв та/або загальноприйнятих визначень, термінів, малюнків, креслень тощо. </w:t>
            </w:r>
          </w:p>
        </w:tc>
      </w:tr>
      <w:tr w:rsidR="00F6275A" w:rsidRPr="00B75BDF" w14:paraId="7853BD77"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tcPr>
          <w:p w14:paraId="09BF2AAC"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lastRenderedPageBreak/>
              <w:t>8</w:t>
            </w:r>
          </w:p>
        </w:tc>
        <w:tc>
          <w:tcPr>
            <w:tcW w:w="2901" w:type="dxa"/>
            <w:tcBorders>
              <w:top w:val="single" w:sz="4" w:space="0" w:color="auto"/>
              <w:left w:val="single" w:sz="4" w:space="0" w:color="auto"/>
              <w:bottom w:val="single" w:sz="4" w:space="0" w:color="auto"/>
              <w:right w:val="single" w:sz="4" w:space="0" w:color="auto"/>
            </w:tcBorders>
          </w:tcPr>
          <w:p w14:paraId="05D4B84B"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Інформація  про  мову (мови),  якою  (якими) складено тендерну  документацію</w:t>
            </w:r>
          </w:p>
        </w:tc>
        <w:tc>
          <w:tcPr>
            <w:tcW w:w="7042" w:type="dxa"/>
            <w:tcBorders>
              <w:top w:val="single" w:sz="4" w:space="0" w:color="auto"/>
              <w:left w:val="single" w:sz="4" w:space="0" w:color="auto"/>
              <w:bottom w:val="single" w:sz="4" w:space="0" w:color="auto"/>
              <w:right w:val="single" w:sz="4" w:space="0" w:color="auto"/>
            </w:tcBorders>
          </w:tcPr>
          <w:p w14:paraId="4CAEC460"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ru-RU"/>
              </w:rPr>
            </w:pPr>
            <w:r w:rsidRPr="005F34A9">
              <w:rPr>
                <w:rFonts w:ascii="Times New Roman" w:eastAsia="Times New Roman" w:hAnsi="Times New Roman" w:cs="Times New Roman"/>
                <w:color w:val="000000"/>
                <w:spacing w:val="-6"/>
                <w:highlight w:val="yellow"/>
                <w:lang w:eastAsia="ru-RU"/>
              </w:rPr>
              <w:t>Під час проведення процедури закупівлі усі документи, що готуються замовнико</w:t>
            </w:r>
            <w:r w:rsidRPr="005F34A9">
              <w:rPr>
                <w:rFonts w:ascii="Times New Roman" w:eastAsia="Times New Roman" w:hAnsi="Times New Roman" w:cs="Times New Roman"/>
                <w:spacing w:val="-6"/>
                <w:highlight w:val="yellow"/>
                <w:lang w:eastAsia="ru-RU"/>
              </w:rPr>
              <w:t xml:space="preserve">м, </w:t>
            </w:r>
            <w:r w:rsidRPr="005F34A9">
              <w:rPr>
                <w:rFonts w:ascii="Times New Roman" w:eastAsia="Times New Roman" w:hAnsi="Times New Roman" w:cs="Times New Roman"/>
                <w:color w:val="000000"/>
                <w:spacing w:val="-6"/>
                <w:highlight w:val="yellow"/>
                <w:lang w:eastAsia="ru-RU"/>
              </w:rPr>
              <w:t>викладаються українською мовою</w:t>
            </w:r>
            <w:r w:rsidRPr="005F34A9">
              <w:rPr>
                <w:rFonts w:ascii="Times New Roman" w:eastAsia="Times New Roman" w:hAnsi="Times New Roman" w:cs="Times New Roman"/>
                <w:color w:val="000000"/>
                <w:spacing w:val="-6"/>
                <w:highlight w:val="yellow"/>
                <w:lang w:eastAsia="uk-UA"/>
              </w:rPr>
              <w:t>, а також за рішенням замовника одночасно всі документи можуть мати автентичний переклад на іншу мову</w:t>
            </w:r>
            <w:r w:rsidRPr="005F34A9">
              <w:rPr>
                <w:rFonts w:ascii="Times New Roman" w:eastAsia="Times New Roman" w:hAnsi="Times New Roman" w:cs="Times New Roman"/>
                <w:color w:val="000000"/>
                <w:spacing w:val="-6"/>
                <w:highlight w:val="yellow"/>
                <w:lang w:eastAsia="ru-RU"/>
              </w:rPr>
              <w:t>. Документи тендерної документації, що додатково мають переклад на іншу мову несуть інформативний характер.</w:t>
            </w:r>
          </w:p>
          <w:p w14:paraId="67B07A61" w14:textId="77777777" w:rsidR="00F6275A" w:rsidRPr="005F34A9" w:rsidRDefault="00F6275A" w:rsidP="00C706ED">
            <w:pPr>
              <w:widowControl w:val="0"/>
              <w:pBdr>
                <w:top w:val="nil"/>
                <w:left w:val="nil"/>
                <w:bottom w:val="nil"/>
                <w:right w:val="nil"/>
                <w:between w:val="nil"/>
              </w:pBdr>
              <w:spacing w:after="0" w:line="240" w:lineRule="auto"/>
              <w:ind w:firstLine="133"/>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ru-RU"/>
              </w:rPr>
              <w:t>Визначальним є текст, викладений українською мовою.</w:t>
            </w:r>
          </w:p>
        </w:tc>
      </w:tr>
      <w:tr w:rsidR="00F6275A" w:rsidRPr="00B75BDF" w14:paraId="58F7D17B" w14:textId="77777777" w:rsidTr="00C706ED">
        <w:trPr>
          <w:trHeight w:val="227"/>
          <w:jc w:val="center"/>
        </w:trPr>
        <w:tc>
          <w:tcPr>
            <w:tcW w:w="10485" w:type="dxa"/>
            <w:gridSpan w:val="3"/>
            <w:tcBorders>
              <w:top w:val="single" w:sz="4" w:space="0" w:color="auto"/>
              <w:left w:val="single" w:sz="4" w:space="0" w:color="auto"/>
              <w:bottom w:val="single" w:sz="4" w:space="0" w:color="auto"/>
              <w:right w:val="single" w:sz="4" w:space="0" w:color="auto"/>
            </w:tcBorders>
            <w:hideMark/>
          </w:tcPr>
          <w:p w14:paraId="3F988374" w14:textId="77777777" w:rsidR="00F6275A" w:rsidRPr="00B75BDF" w:rsidRDefault="00F6275A" w:rsidP="00C706ED">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B75BDF">
              <w:rPr>
                <w:rFonts w:ascii="Times New Roman" w:eastAsia="Times New Roman" w:hAnsi="Times New Roman" w:cs="Times New Roman"/>
                <w:b/>
                <w:color w:val="000000"/>
                <w:spacing w:val="-6"/>
              </w:rPr>
              <w:t>Розділ ІІ. Порядок унесення змін та надання роз’яснень до тендерної документації</w:t>
            </w:r>
          </w:p>
        </w:tc>
      </w:tr>
      <w:tr w:rsidR="00F6275A" w:rsidRPr="00B75BDF" w14:paraId="3A3A8FAB"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362C3B71"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1</w:t>
            </w:r>
          </w:p>
        </w:tc>
        <w:tc>
          <w:tcPr>
            <w:tcW w:w="2901" w:type="dxa"/>
            <w:tcBorders>
              <w:top w:val="single" w:sz="4" w:space="0" w:color="auto"/>
              <w:left w:val="single" w:sz="4" w:space="0" w:color="auto"/>
              <w:bottom w:val="single" w:sz="4" w:space="0" w:color="auto"/>
              <w:right w:val="single" w:sz="4" w:space="0" w:color="auto"/>
            </w:tcBorders>
            <w:hideMark/>
          </w:tcPr>
          <w:p w14:paraId="59F13D22"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Процедура надання роз’яснень щодо тендерної документації </w:t>
            </w:r>
          </w:p>
        </w:tc>
        <w:tc>
          <w:tcPr>
            <w:tcW w:w="7042" w:type="dxa"/>
            <w:tcBorders>
              <w:top w:val="single" w:sz="4" w:space="0" w:color="auto"/>
              <w:left w:val="single" w:sz="4" w:space="0" w:color="auto"/>
              <w:bottom w:val="single" w:sz="4" w:space="0" w:color="auto"/>
              <w:right w:val="single" w:sz="4" w:space="0" w:color="auto"/>
            </w:tcBorders>
            <w:hideMark/>
          </w:tcPr>
          <w:p w14:paraId="16C32E73" w14:textId="4BE522A6"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Фізична/юридична особа має право не пізніше ніж за </w:t>
            </w:r>
            <w:r w:rsidR="00E31BE3" w:rsidRPr="005F34A9">
              <w:rPr>
                <w:rFonts w:ascii="Times New Roman" w:eastAsia="Times New Roman" w:hAnsi="Times New Roman" w:cs="Times New Roman"/>
                <w:color w:val="000000"/>
                <w:spacing w:val="-6"/>
                <w:highlight w:val="yellow"/>
                <w:lang w:eastAsia="uk-UA"/>
              </w:rPr>
              <w:t xml:space="preserve">три </w:t>
            </w:r>
            <w:r w:rsidRPr="005F34A9">
              <w:rPr>
                <w:rFonts w:ascii="Times New Roman" w:eastAsia="Times New Roman" w:hAnsi="Times New Roman" w:cs="Times New Roman"/>
                <w:color w:val="000000"/>
                <w:spacing w:val="-6"/>
                <w:highlight w:val="yellow"/>
                <w:lang w:eastAsia="uk-UA"/>
              </w:rPr>
              <w:t xml:space="preserve">дні до закінчення строку подання </w:t>
            </w:r>
            <w:r w:rsidR="00E31BE3" w:rsidRPr="005F34A9">
              <w:rPr>
                <w:rFonts w:ascii="Times New Roman" w:eastAsia="Times New Roman" w:hAnsi="Times New Roman" w:cs="Times New Roman"/>
                <w:color w:val="000000"/>
                <w:spacing w:val="-6"/>
                <w:highlight w:val="yellow"/>
                <w:lang w:eastAsia="uk-UA"/>
              </w:rPr>
              <w:t xml:space="preserve">тендерної </w:t>
            </w:r>
            <w:r w:rsidRPr="005F34A9">
              <w:rPr>
                <w:rFonts w:ascii="Times New Roman" w:eastAsia="Times New Roman" w:hAnsi="Times New Roman" w:cs="Times New Roman"/>
                <w:color w:val="000000"/>
                <w:spacing w:val="-6"/>
                <w:highlight w:val="yellow"/>
                <w:lang w:eastAsia="uk-UA"/>
              </w:rPr>
              <w:t>пропозиці</w:t>
            </w:r>
            <w:r w:rsidR="00E31BE3" w:rsidRPr="005F34A9">
              <w:rPr>
                <w:rFonts w:ascii="Times New Roman" w:eastAsia="Times New Roman" w:hAnsi="Times New Roman" w:cs="Times New Roman"/>
                <w:color w:val="000000"/>
                <w:spacing w:val="-6"/>
                <w:highlight w:val="yellow"/>
                <w:lang w:eastAsia="uk-UA"/>
              </w:rPr>
              <w:t>ї</w:t>
            </w:r>
            <w:r w:rsidRPr="005F34A9">
              <w:rPr>
                <w:rFonts w:ascii="Times New Roman" w:eastAsia="Times New Roman" w:hAnsi="Times New Roman" w:cs="Times New Roman"/>
                <w:color w:val="000000"/>
                <w:spacing w:val="-6"/>
                <w:highlight w:val="yellow"/>
                <w:lang w:eastAsia="uk-UA"/>
              </w:rPr>
              <w:t xml:space="preserve">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Замовник повинен протягом трьох днів з дати їх оприлюднення надати роз’яснення на звернення шляхом оприлюднення його в електронній системі закупівель.</w:t>
            </w:r>
          </w:p>
          <w:p w14:paraId="58D9B73C"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14:paraId="3357613F" w14:textId="1420B342"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не менш</w:t>
            </w:r>
            <w:r w:rsidR="00E31BE3" w:rsidRPr="005F34A9">
              <w:rPr>
                <w:rFonts w:ascii="Times New Roman" w:eastAsia="Times New Roman" w:hAnsi="Times New Roman" w:cs="Times New Roman"/>
                <w:color w:val="000000"/>
                <w:spacing w:val="-6"/>
                <w:highlight w:val="yellow"/>
                <w:lang w:eastAsia="uk-UA"/>
              </w:rPr>
              <w:t xml:space="preserve"> як на </w:t>
            </w:r>
            <w:r w:rsidRPr="005F34A9">
              <w:rPr>
                <w:rFonts w:ascii="Times New Roman" w:eastAsia="Times New Roman" w:hAnsi="Times New Roman" w:cs="Times New Roman"/>
                <w:color w:val="000000"/>
                <w:spacing w:val="-6"/>
                <w:highlight w:val="yellow"/>
                <w:lang w:eastAsia="uk-UA"/>
              </w:rPr>
              <w:t xml:space="preserve"> чотир</w:t>
            </w:r>
            <w:r w:rsidR="00E31BE3" w:rsidRPr="005F34A9">
              <w:rPr>
                <w:rFonts w:ascii="Times New Roman" w:eastAsia="Times New Roman" w:hAnsi="Times New Roman" w:cs="Times New Roman"/>
                <w:color w:val="000000"/>
                <w:spacing w:val="-6"/>
                <w:highlight w:val="yellow"/>
                <w:lang w:eastAsia="uk-UA"/>
              </w:rPr>
              <w:t>и</w:t>
            </w:r>
            <w:r w:rsidRPr="005F34A9">
              <w:rPr>
                <w:rFonts w:ascii="Times New Roman" w:eastAsia="Times New Roman" w:hAnsi="Times New Roman" w:cs="Times New Roman"/>
                <w:color w:val="000000"/>
                <w:spacing w:val="-6"/>
                <w:highlight w:val="yellow"/>
                <w:lang w:eastAsia="uk-UA"/>
              </w:rPr>
              <w:t xml:space="preserve"> дні.</w:t>
            </w:r>
          </w:p>
        </w:tc>
      </w:tr>
      <w:tr w:rsidR="00F6275A" w:rsidRPr="00B75BDF" w14:paraId="1F5749FD"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73A66E88"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2</w:t>
            </w:r>
          </w:p>
        </w:tc>
        <w:tc>
          <w:tcPr>
            <w:tcW w:w="2901" w:type="dxa"/>
            <w:tcBorders>
              <w:top w:val="single" w:sz="4" w:space="0" w:color="auto"/>
              <w:left w:val="single" w:sz="4" w:space="0" w:color="auto"/>
              <w:bottom w:val="single" w:sz="4" w:space="0" w:color="auto"/>
              <w:right w:val="single" w:sz="4" w:space="0" w:color="auto"/>
            </w:tcBorders>
            <w:hideMark/>
          </w:tcPr>
          <w:p w14:paraId="52EB4853"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Унесення змін до тендерної документації</w:t>
            </w:r>
          </w:p>
        </w:tc>
        <w:tc>
          <w:tcPr>
            <w:tcW w:w="7042" w:type="dxa"/>
            <w:tcBorders>
              <w:top w:val="single" w:sz="4" w:space="0" w:color="auto"/>
              <w:left w:val="single" w:sz="4" w:space="0" w:color="auto"/>
              <w:bottom w:val="single" w:sz="4" w:space="0" w:color="auto"/>
              <w:right w:val="single" w:sz="4" w:space="0" w:color="auto"/>
            </w:tcBorders>
            <w:hideMark/>
          </w:tcPr>
          <w:p w14:paraId="274267CE" w14:textId="2A3B3CF3"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w:t>
            </w:r>
            <w:r w:rsidR="00E31BE3" w:rsidRPr="005F34A9">
              <w:rPr>
                <w:rFonts w:ascii="Times New Roman" w:eastAsia="Times New Roman" w:hAnsi="Times New Roman" w:cs="Times New Roman"/>
                <w:color w:val="000000"/>
                <w:spacing w:val="-6"/>
                <w:highlight w:val="yellow"/>
                <w:lang w:eastAsia="uk-UA"/>
              </w:rPr>
              <w:t>, а саме в оголошенні про проведення відкритих торгів,</w:t>
            </w:r>
            <w:r w:rsidRPr="005F34A9">
              <w:rPr>
                <w:rFonts w:ascii="Times New Roman" w:eastAsia="Times New Roman" w:hAnsi="Times New Roman" w:cs="Times New Roman"/>
                <w:color w:val="000000"/>
                <w:spacing w:val="-6"/>
                <w:highlight w:val="yellow"/>
                <w:lang w:eastAsia="uk-UA"/>
              </w:rPr>
              <w:t xml:space="preserve">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14:paraId="2442522D" w14:textId="45899BAE"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Зміни, що вносяться замовником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початкової редакції тендерної документації. Замовник разом із змінами до тендерної документації в окремому документі оприлюднює перелік змін, що вносяться.</w:t>
            </w:r>
            <w:r w:rsidR="00E31BE3" w:rsidRPr="005F34A9">
              <w:rPr>
                <w:rFonts w:ascii="Times New Roman" w:eastAsia="Times New Roman" w:hAnsi="Times New Roman" w:cs="Times New Roman"/>
                <w:color w:val="000000"/>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t xml:space="preserve">Зміни до тендерної документації у </w:t>
            </w:r>
            <w:proofErr w:type="spellStart"/>
            <w:r w:rsidRPr="005F34A9">
              <w:rPr>
                <w:rFonts w:ascii="Times New Roman" w:eastAsia="Times New Roman" w:hAnsi="Times New Roman" w:cs="Times New Roman"/>
                <w:color w:val="000000"/>
                <w:spacing w:val="-6"/>
                <w:highlight w:val="yellow"/>
                <w:lang w:eastAsia="uk-UA"/>
              </w:rPr>
              <w:t>машинозчитувальному</w:t>
            </w:r>
            <w:proofErr w:type="spellEnd"/>
            <w:r w:rsidRPr="005F34A9">
              <w:rPr>
                <w:rFonts w:ascii="Times New Roman" w:eastAsia="Times New Roman" w:hAnsi="Times New Roman" w:cs="Times New Roman"/>
                <w:color w:val="000000"/>
                <w:spacing w:val="-6"/>
                <w:highlight w:val="yellow"/>
                <w:lang w:eastAsia="uk-UA"/>
              </w:rPr>
              <w:t xml:space="preserve"> форматі розміщуються в електронній системі закупівель протягом одного дня з дати прийняття рішення про їх внесення.</w:t>
            </w:r>
          </w:p>
        </w:tc>
      </w:tr>
      <w:tr w:rsidR="00F6275A" w:rsidRPr="00B75BDF" w14:paraId="03E679E2" w14:textId="77777777" w:rsidTr="00C706ED">
        <w:trPr>
          <w:trHeight w:val="227"/>
          <w:jc w:val="center"/>
        </w:trPr>
        <w:tc>
          <w:tcPr>
            <w:tcW w:w="10485" w:type="dxa"/>
            <w:gridSpan w:val="3"/>
            <w:tcBorders>
              <w:top w:val="single" w:sz="4" w:space="0" w:color="auto"/>
              <w:left w:val="single" w:sz="4" w:space="0" w:color="auto"/>
              <w:bottom w:val="single" w:sz="4" w:space="0" w:color="auto"/>
              <w:right w:val="single" w:sz="4" w:space="0" w:color="auto"/>
            </w:tcBorders>
            <w:hideMark/>
          </w:tcPr>
          <w:p w14:paraId="72BE26E1" w14:textId="77777777" w:rsidR="00F6275A" w:rsidRPr="00B75BDF" w:rsidRDefault="00F6275A" w:rsidP="00C706ED">
            <w:pPr>
              <w:widowControl w:val="0"/>
              <w:spacing w:after="0" w:line="240" w:lineRule="auto"/>
              <w:contextualSpacing/>
              <w:jc w:val="center"/>
              <w:rPr>
                <w:rFonts w:ascii="Times New Roman" w:eastAsia="Times New Roman" w:hAnsi="Times New Roman" w:cs="Times New Roman"/>
                <w:b/>
                <w:color w:val="000000"/>
                <w:spacing w:val="-6"/>
                <w:lang w:eastAsia="uk-UA"/>
              </w:rPr>
            </w:pPr>
            <w:r w:rsidRPr="00B75BDF">
              <w:rPr>
                <w:rFonts w:ascii="Times New Roman" w:eastAsia="Times New Roman" w:hAnsi="Times New Roman" w:cs="Times New Roman"/>
                <w:b/>
                <w:color w:val="000000"/>
                <w:spacing w:val="-6"/>
                <w:bdr w:val="none" w:sz="0" w:space="0" w:color="auto" w:frame="1"/>
                <w:lang w:eastAsia="uk-UA"/>
              </w:rPr>
              <w:t>Розділ ІІІ. Інструкція з підготовки тендерної пропозиції</w:t>
            </w:r>
          </w:p>
        </w:tc>
      </w:tr>
      <w:tr w:rsidR="00F6275A" w:rsidRPr="00B75BDF" w14:paraId="7578E119"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3BDE7532"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1</w:t>
            </w:r>
          </w:p>
        </w:tc>
        <w:tc>
          <w:tcPr>
            <w:tcW w:w="2901" w:type="dxa"/>
            <w:tcBorders>
              <w:top w:val="single" w:sz="4" w:space="0" w:color="auto"/>
              <w:left w:val="single" w:sz="4" w:space="0" w:color="auto"/>
              <w:bottom w:val="single" w:sz="4" w:space="0" w:color="auto"/>
              <w:right w:val="single" w:sz="4" w:space="0" w:color="auto"/>
            </w:tcBorders>
            <w:hideMark/>
          </w:tcPr>
          <w:p w14:paraId="6042CB70"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Зміст і спосіб подання тендерної пропозиції</w:t>
            </w:r>
          </w:p>
          <w:p w14:paraId="7D838471"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p>
          <w:p w14:paraId="397CCD73"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b/>
                <w:color w:val="000000"/>
                <w:spacing w:val="-6"/>
                <w:highlight w:val="yellow"/>
                <w:lang w:eastAsia="uk-UA"/>
              </w:rPr>
            </w:pPr>
            <w:r w:rsidRPr="005F34A9">
              <w:rPr>
                <w:rFonts w:ascii="Times New Roman" w:eastAsia="Times New Roman" w:hAnsi="Times New Roman" w:cs="Times New Roman"/>
                <w:color w:val="000000"/>
                <w:spacing w:val="-6"/>
                <w:highlight w:val="yellow"/>
                <w:vertAlign w:val="superscript"/>
                <w:lang w:eastAsia="uk-UA"/>
              </w:rPr>
              <w:t>1</w:t>
            </w:r>
            <w:r w:rsidRPr="005F34A9">
              <w:rPr>
                <w:rFonts w:ascii="Times New Roman" w:eastAsia="Times New Roman" w:hAnsi="Times New Roman" w:cs="Times New Roman"/>
                <w:color w:val="000000"/>
                <w:spacing w:val="-6"/>
                <w:highlight w:val="yellow"/>
                <w:lang w:eastAsia="uk-UA"/>
              </w:rPr>
              <w:t xml:space="preserve"> у разі проведення </w:t>
            </w:r>
            <w:proofErr w:type="spellStart"/>
            <w:r w:rsidRPr="005F34A9">
              <w:rPr>
                <w:rFonts w:ascii="Times New Roman" w:eastAsia="Times New Roman" w:hAnsi="Times New Roman" w:cs="Times New Roman"/>
                <w:color w:val="000000"/>
                <w:spacing w:val="-6"/>
                <w:highlight w:val="yellow"/>
                <w:lang w:eastAsia="uk-UA"/>
              </w:rPr>
              <w:t>багатолотової</w:t>
            </w:r>
            <w:proofErr w:type="spellEnd"/>
            <w:r w:rsidRPr="005F34A9">
              <w:rPr>
                <w:rFonts w:ascii="Times New Roman" w:eastAsia="Times New Roman" w:hAnsi="Times New Roman" w:cs="Times New Roman"/>
                <w:color w:val="000000"/>
                <w:spacing w:val="-6"/>
                <w:highlight w:val="yellow"/>
                <w:lang w:eastAsia="uk-UA"/>
              </w:rPr>
              <w:t xml:space="preserve"> закупівлі – подається по кожному лоту окремо.</w:t>
            </w:r>
          </w:p>
          <w:p w14:paraId="03E28BEC"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p>
        </w:tc>
        <w:tc>
          <w:tcPr>
            <w:tcW w:w="7042" w:type="dxa"/>
            <w:tcBorders>
              <w:top w:val="single" w:sz="4" w:space="0" w:color="auto"/>
              <w:left w:val="single" w:sz="4" w:space="0" w:color="auto"/>
              <w:bottom w:val="single" w:sz="4" w:space="0" w:color="auto"/>
              <w:right w:val="single" w:sz="4" w:space="0" w:color="auto"/>
            </w:tcBorders>
            <w:hideMark/>
          </w:tcPr>
          <w:p w14:paraId="251E99BA" w14:textId="7ADBFAC3"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B75BDF">
              <w:rPr>
                <w:rFonts w:ascii="Times New Roman" w:eastAsia="Times New Roman" w:hAnsi="Times New Roman" w:cs="Times New Roman"/>
                <w:spacing w:val="-6"/>
                <w:lang w:eastAsia="uk-UA"/>
              </w:rPr>
              <w:t>1.1</w:t>
            </w:r>
            <w:r w:rsidRPr="005F34A9">
              <w:rPr>
                <w:rFonts w:ascii="Times New Roman" w:eastAsia="Times New Roman" w:hAnsi="Times New Roman" w:cs="Times New Roman"/>
                <w:spacing w:val="-6"/>
                <w:highlight w:val="yellow"/>
                <w:lang w:eastAsia="uk-UA"/>
              </w:rPr>
              <w:t>. Тендерна пропозиція подається в електронн</w:t>
            </w:r>
            <w:r w:rsidR="00C06491" w:rsidRPr="005F34A9">
              <w:rPr>
                <w:rFonts w:ascii="Times New Roman" w:eastAsia="Times New Roman" w:hAnsi="Times New Roman" w:cs="Times New Roman"/>
                <w:spacing w:val="-6"/>
                <w:highlight w:val="yellow"/>
                <w:lang w:eastAsia="uk-UA"/>
              </w:rPr>
              <w:t xml:space="preserve">ій формі </w:t>
            </w:r>
            <w:r w:rsidRPr="005F34A9">
              <w:rPr>
                <w:rFonts w:ascii="Times New Roman" w:eastAsia="Times New Roman" w:hAnsi="Times New Roman" w:cs="Times New Roman"/>
                <w:spacing w:val="-6"/>
                <w:highlight w:val="yellow"/>
                <w:lang w:eastAsia="uk-UA"/>
              </w:rPr>
              <w:t xml:space="preserve"> через електронну систему закупівель шляхом заповнення електронних форм з окремими полями, </w:t>
            </w:r>
            <w:r w:rsidR="00C06491" w:rsidRPr="005F34A9">
              <w:rPr>
                <w:rFonts w:ascii="Times New Roman" w:eastAsia="Times New Roman" w:hAnsi="Times New Roman" w:cs="Times New Roman"/>
                <w:spacing w:val="-6"/>
                <w:highlight w:val="yellow"/>
                <w:lang w:eastAsia="uk-UA"/>
              </w:rPr>
              <w:t xml:space="preserve"> у яких </w:t>
            </w:r>
            <w:r w:rsidRPr="005F34A9">
              <w:rPr>
                <w:rFonts w:ascii="Times New Roman" w:eastAsia="Times New Roman" w:hAnsi="Times New Roman" w:cs="Times New Roman"/>
                <w:spacing w:val="-6"/>
                <w:highlight w:val="yellow"/>
                <w:lang w:eastAsia="uk-UA"/>
              </w:rPr>
              <w:t xml:space="preserve"> зазначається інформація про ціну</w:t>
            </w:r>
            <w:r w:rsidRPr="005F34A9">
              <w:rPr>
                <w:rFonts w:ascii="Times New Roman" w:eastAsia="Times New Roman" w:hAnsi="Times New Roman" w:cs="Times New Roman"/>
                <w:b/>
                <w:color w:val="000000"/>
                <w:spacing w:val="-6"/>
                <w:highlight w:val="yellow"/>
                <w:vertAlign w:val="superscript"/>
                <w:lang w:eastAsia="uk-UA"/>
              </w:rPr>
              <w:t>1</w:t>
            </w:r>
            <w:r w:rsidRPr="005F34A9">
              <w:rPr>
                <w:rFonts w:ascii="Times New Roman" w:eastAsia="Times New Roman" w:hAnsi="Times New Roman" w:cs="Times New Roman"/>
                <w:spacing w:val="-6"/>
                <w:highlight w:val="yellow"/>
                <w:lang w:eastAsia="uk-UA"/>
              </w:rPr>
              <w:t>, інші критерії оцінки</w:t>
            </w:r>
            <w:r w:rsidRPr="005F34A9">
              <w:rPr>
                <w:rFonts w:ascii="Times New Roman" w:eastAsia="Times New Roman" w:hAnsi="Times New Roman" w:cs="Times New Roman"/>
                <w:b/>
                <w:color w:val="000000"/>
                <w:spacing w:val="-6"/>
                <w:highlight w:val="yellow"/>
                <w:vertAlign w:val="superscript"/>
                <w:lang w:eastAsia="uk-UA"/>
              </w:rPr>
              <w:t>1</w:t>
            </w:r>
            <w:r w:rsidRPr="005F34A9">
              <w:rPr>
                <w:rFonts w:ascii="Times New Roman" w:eastAsia="Times New Roman" w:hAnsi="Times New Roman" w:cs="Times New Roman"/>
                <w:spacing w:val="-6"/>
                <w:highlight w:val="yellow"/>
                <w:lang w:eastAsia="uk-UA"/>
              </w:rPr>
              <w:t xml:space="preserve"> (у разі їх встановлення замовником), інформація від учасника процедури закупівлі про його відповідність кваліфікаційним/-</w:t>
            </w:r>
            <w:proofErr w:type="spellStart"/>
            <w:r w:rsidRPr="005F34A9">
              <w:rPr>
                <w:rFonts w:ascii="Times New Roman" w:eastAsia="Times New Roman" w:hAnsi="Times New Roman" w:cs="Times New Roman"/>
                <w:spacing w:val="-6"/>
                <w:highlight w:val="yellow"/>
                <w:lang w:eastAsia="uk-UA"/>
              </w:rPr>
              <w:t>ому</w:t>
            </w:r>
            <w:proofErr w:type="spellEnd"/>
            <w:r w:rsidRPr="005F34A9">
              <w:rPr>
                <w:rFonts w:ascii="Times New Roman" w:eastAsia="Times New Roman" w:hAnsi="Times New Roman" w:cs="Times New Roman"/>
                <w:spacing w:val="-6"/>
                <w:highlight w:val="yellow"/>
                <w:lang w:eastAsia="uk-UA"/>
              </w:rPr>
              <w:t xml:space="preserve"> критеріям/-ю</w:t>
            </w:r>
            <w:r w:rsidR="00C06491" w:rsidRPr="005F34A9">
              <w:rPr>
                <w:rFonts w:ascii="Times New Roman" w:eastAsia="Times New Roman" w:hAnsi="Times New Roman" w:cs="Times New Roman"/>
                <w:spacing w:val="-6"/>
                <w:highlight w:val="yellow"/>
                <w:lang w:eastAsia="uk-UA"/>
              </w:rPr>
              <w:t xml:space="preserve"> (у разі їх (його) встановлення)</w:t>
            </w:r>
            <w:r w:rsidRPr="005F34A9">
              <w:rPr>
                <w:rFonts w:ascii="Times New Roman" w:eastAsia="Times New Roman" w:hAnsi="Times New Roman" w:cs="Times New Roman"/>
                <w:spacing w:val="-6"/>
                <w:highlight w:val="yellow"/>
                <w:lang w:eastAsia="uk-UA"/>
              </w:rPr>
              <w:t xml:space="preserve">, наявність/відсутність підстав, </w:t>
            </w:r>
            <w:r w:rsidR="00C06491" w:rsidRPr="005F34A9">
              <w:rPr>
                <w:rFonts w:ascii="Times New Roman" w:eastAsia="Times New Roman" w:hAnsi="Times New Roman" w:cs="Times New Roman"/>
                <w:spacing w:val="-6"/>
                <w:highlight w:val="yellow"/>
                <w:lang w:eastAsia="uk-UA"/>
              </w:rPr>
              <w:t xml:space="preserve"> установлених у</w:t>
            </w:r>
            <w:r w:rsidRPr="005F34A9">
              <w:rPr>
                <w:rFonts w:ascii="Times New Roman" w:eastAsia="Times New Roman" w:hAnsi="Times New Roman" w:cs="Times New Roman"/>
                <w:spacing w:val="-6"/>
                <w:highlight w:val="yellow"/>
                <w:lang w:eastAsia="uk-UA"/>
              </w:rPr>
              <w:t xml:space="preserve"> пункт</w:t>
            </w:r>
            <w:r w:rsidR="00C06491" w:rsidRPr="005F34A9">
              <w:rPr>
                <w:rFonts w:ascii="Times New Roman" w:eastAsia="Times New Roman" w:hAnsi="Times New Roman" w:cs="Times New Roman"/>
                <w:spacing w:val="-6"/>
                <w:highlight w:val="yellow"/>
                <w:lang w:eastAsia="uk-UA"/>
              </w:rPr>
              <w:t>і</w:t>
            </w:r>
            <w:r w:rsidRPr="005F34A9">
              <w:rPr>
                <w:rFonts w:ascii="Times New Roman" w:eastAsia="Times New Roman" w:hAnsi="Times New Roman" w:cs="Times New Roman"/>
                <w:spacing w:val="-6"/>
                <w:highlight w:val="yellow"/>
                <w:lang w:eastAsia="uk-UA"/>
              </w:rPr>
              <w:t xml:space="preserve"> 4</w:t>
            </w:r>
            <w:r w:rsidR="00C06491" w:rsidRPr="005F34A9">
              <w:rPr>
                <w:rFonts w:ascii="Times New Roman" w:eastAsia="Times New Roman" w:hAnsi="Times New Roman" w:cs="Times New Roman"/>
                <w:spacing w:val="-6"/>
                <w:highlight w:val="yellow"/>
                <w:lang w:eastAsia="uk-UA"/>
              </w:rPr>
              <w:t>7</w:t>
            </w:r>
            <w:r w:rsidRPr="005F34A9">
              <w:rPr>
                <w:rFonts w:ascii="Times New Roman" w:eastAsia="Times New Roman" w:hAnsi="Times New Roman" w:cs="Times New Roman"/>
                <w:spacing w:val="-6"/>
                <w:highlight w:val="yellow"/>
                <w:lang w:eastAsia="uk-UA"/>
              </w:rPr>
              <w:t xml:space="preserve"> Особливостей і в цій тендерній документації</w:t>
            </w:r>
            <w:r w:rsidR="00C06491" w:rsidRPr="005F34A9">
              <w:rPr>
                <w:rFonts w:ascii="Times New Roman" w:eastAsia="Times New Roman" w:hAnsi="Times New Roman" w:cs="Times New Roman"/>
                <w:spacing w:val="-6"/>
                <w:highlight w:val="yellow"/>
                <w:lang w:eastAsia="uk-UA"/>
              </w:rPr>
              <w:t>,</w:t>
            </w:r>
            <w:r w:rsidRPr="005F34A9">
              <w:rPr>
                <w:rFonts w:ascii="Times New Roman" w:eastAsia="Times New Roman" w:hAnsi="Times New Roman" w:cs="Times New Roman"/>
                <w:spacing w:val="-6"/>
                <w:highlight w:val="yellow"/>
                <w:lang w:eastAsia="uk-UA"/>
              </w:rPr>
              <w:t xml:space="preserve"> та шляхом завантаження необхідних документів, перелік яких визначено в </w:t>
            </w:r>
            <w:r w:rsidRPr="005F34A9">
              <w:rPr>
                <w:rFonts w:ascii="Times New Roman" w:eastAsia="Times New Roman" w:hAnsi="Times New Roman" w:cs="Times New Roman"/>
                <w:b/>
                <w:spacing w:val="-6"/>
                <w:highlight w:val="yellow"/>
                <w:lang w:eastAsia="uk-UA"/>
              </w:rPr>
              <w:t>Додатку ІІ</w:t>
            </w:r>
            <w:r w:rsidRPr="005F34A9">
              <w:rPr>
                <w:rFonts w:ascii="Times New Roman" w:eastAsia="Times New Roman" w:hAnsi="Times New Roman" w:cs="Times New Roman"/>
                <w:spacing w:val="-6"/>
                <w:highlight w:val="yellow"/>
                <w:lang w:eastAsia="uk-UA"/>
              </w:rPr>
              <w:t xml:space="preserve"> до даної </w:t>
            </w:r>
            <w:r w:rsidR="00D60260" w:rsidRPr="005F34A9">
              <w:rPr>
                <w:rFonts w:ascii="Times New Roman" w:eastAsia="Times New Roman" w:hAnsi="Times New Roman" w:cs="Times New Roman"/>
                <w:spacing w:val="-6"/>
                <w:highlight w:val="yellow"/>
                <w:lang w:eastAsia="uk-UA"/>
              </w:rPr>
              <w:t xml:space="preserve">тендерної </w:t>
            </w:r>
            <w:r w:rsidRPr="005F34A9">
              <w:rPr>
                <w:rFonts w:ascii="Times New Roman" w:eastAsia="Times New Roman" w:hAnsi="Times New Roman" w:cs="Times New Roman"/>
                <w:spacing w:val="-6"/>
                <w:highlight w:val="yellow"/>
                <w:lang w:eastAsia="uk-UA"/>
              </w:rPr>
              <w:t>документації.</w:t>
            </w:r>
          </w:p>
          <w:p w14:paraId="21FC48DE"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spacing w:val="-6"/>
                <w:highlight w:val="yellow"/>
                <w:lang w:eastAsia="uk-UA"/>
              </w:rPr>
              <w:t xml:space="preserve">Кожен учасник має право подати тільки одну тендерну пропозицію (у тому числі до визначеної в тендерній документації частини предмета закупівлі </w:t>
            </w:r>
            <w:r w:rsidRPr="005F34A9">
              <w:rPr>
                <w:rFonts w:ascii="Times New Roman" w:eastAsia="Times New Roman" w:hAnsi="Times New Roman" w:cs="Times New Roman"/>
                <w:spacing w:val="-6"/>
                <w:highlight w:val="yellow"/>
                <w:lang w:eastAsia="uk-UA"/>
              </w:rPr>
              <w:lastRenderedPageBreak/>
              <w:t>(лота)).</w:t>
            </w:r>
          </w:p>
          <w:p w14:paraId="66842D62" w14:textId="77777777" w:rsidR="00F6275A" w:rsidRPr="005F34A9" w:rsidRDefault="00F6275A" w:rsidP="00C706ED">
            <w:pPr>
              <w:widowControl w:val="0"/>
              <w:spacing w:after="0" w:line="240" w:lineRule="auto"/>
              <w:ind w:firstLine="176"/>
              <w:contextualSpacing/>
              <w:rPr>
                <w:rFonts w:ascii="Times New Roman" w:eastAsia="Times New Roman" w:hAnsi="Times New Roman" w:cs="Times New Roman"/>
                <w:spacing w:val="-6"/>
                <w:sz w:val="16"/>
                <w:szCs w:val="16"/>
                <w:highlight w:val="yellow"/>
                <w:lang w:val="ru-RU" w:eastAsia="uk-UA"/>
              </w:rPr>
            </w:pPr>
          </w:p>
          <w:p w14:paraId="77CE0667"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1.2.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w:t>
            </w:r>
          </w:p>
          <w:p w14:paraId="35D89CA6"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Всі документи тендерної пропозиції подаються в електронному вигляді через електронну систему закупівель шляхом завантаження сканованих документів або електронних документів в електронну систему закупівель.</w:t>
            </w:r>
          </w:p>
          <w:p w14:paraId="51FE5044" w14:textId="59F746ED"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У разі не виконання учасником вимог, вказаних у цьому пункті тендерної документації, тендерна пропозиція такого учасника відхиляється у відповідності до абзацу п’ятого підпункту 2 пункту </w:t>
            </w:r>
            <w:r w:rsidR="00143FCE" w:rsidRPr="005F34A9">
              <w:rPr>
                <w:rFonts w:ascii="Times New Roman" w:eastAsia="Times New Roman" w:hAnsi="Times New Roman" w:cs="Times New Roman"/>
                <w:spacing w:val="-6"/>
                <w:highlight w:val="yellow"/>
                <w:lang w:eastAsia="uk-UA"/>
              </w:rPr>
              <w:t xml:space="preserve">44 </w:t>
            </w:r>
            <w:r w:rsidRPr="005F34A9">
              <w:rPr>
                <w:rFonts w:ascii="Times New Roman" w:eastAsia="Times New Roman" w:hAnsi="Times New Roman" w:cs="Times New Roman"/>
                <w:spacing w:val="-6"/>
                <w:highlight w:val="yellow"/>
                <w:lang w:eastAsia="uk-UA"/>
              </w:rPr>
              <w:t>Особливостей (не відповідає вимогам, установленим у тендерній документації відповідно до абзацу першого частини третьої статті 22 Закону).</w:t>
            </w:r>
          </w:p>
          <w:p w14:paraId="245A10E1"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Вимоги, щодо накладання учасниками кваліфікованого електронного підпису (КЕП) </w:t>
            </w:r>
            <w:r w:rsidRPr="005F34A9">
              <w:rPr>
                <w:rFonts w:ascii="Times New Roman" w:eastAsia="Times New Roman" w:hAnsi="Times New Roman" w:cs="Times New Roman"/>
                <w:spacing w:val="-6"/>
                <w:highlight w:val="yellow"/>
                <w:shd w:val="clear" w:color="auto" w:fill="FFFFFF"/>
                <w:lang w:eastAsia="uk-UA"/>
              </w:rPr>
              <w:t>або удосконаленого електронного підпису на кваліфікованому сертифікаті (УЕП)</w:t>
            </w:r>
            <w:r w:rsidRPr="005F34A9">
              <w:rPr>
                <w:rFonts w:ascii="Times New Roman" w:eastAsia="Times New Roman" w:hAnsi="Times New Roman" w:cs="Times New Roman"/>
                <w:spacing w:val="-6"/>
                <w:highlight w:val="yellow"/>
                <w:lang w:eastAsia="uk-UA"/>
              </w:rPr>
              <w:t xml:space="preserve"> на документи (матеріали та інформацію) тендерної пропозиції, викладені у пункті 3 Розділу ІІ Додатку ІІ тендерної документації.</w:t>
            </w:r>
          </w:p>
          <w:p w14:paraId="2E4648DA" w14:textId="77777777" w:rsidR="00F6275A" w:rsidRPr="005F34A9" w:rsidRDefault="00F6275A" w:rsidP="00C706ED">
            <w:pPr>
              <w:widowControl w:val="0"/>
              <w:spacing w:after="0" w:line="240" w:lineRule="auto"/>
              <w:ind w:firstLine="176"/>
              <w:contextualSpacing/>
              <w:rPr>
                <w:rFonts w:ascii="Times New Roman" w:eastAsia="Times New Roman" w:hAnsi="Times New Roman" w:cs="Times New Roman"/>
                <w:spacing w:val="-6"/>
                <w:sz w:val="16"/>
                <w:szCs w:val="16"/>
                <w:highlight w:val="yellow"/>
                <w:lang w:eastAsia="uk-UA"/>
              </w:rPr>
            </w:pPr>
          </w:p>
          <w:p w14:paraId="5965A71D"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1.3. Поданням своєї тендерної пропозиції учасник інформує замовника, що він (учасник):</w:t>
            </w:r>
          </w:p>
          <w:p w14:paraId="2BC8EE29" w14:textId="77777777" w:rsidR="00F6275A" w:rsidRPr="00B75BDF" w:rsidRDefault="00F6275A" w:rsidP="00C706ED">
            <w:pPr>
              <w:widowControl w:val="0"/>
              <w:spacing w:after="0" w:line="240" w:lineRule="auto"/>
              <w:ind w:firstLine="176"/>
              <w:contextualSpacing/>
              <w:jc w:val="both"/>
              <w:rPr>
                <w:rFonts w:ascii="Times New Roman" w:eastAsia="Times New Roman" w:hAnsi="Times New Roman" w:cs="Times New Roman"/>
                <w:spacing w:val="-6"/>
                <w:lang w:eastAsia="uk-UA"/>
              </w:rPr>
            </w:pPr>
            <w:r w:rsidRPr="005F34A9">
              <w:rPr>
                <w:rFonts w:ascii="Times New Roman" w:eastAsia="Times New Roman" w:hAnsi="Times New Roman" w:cs="Times New Roman"/>
                <w:spacing w:val="-6"/>
                <w:highlight w:val="yellow"/>
                <w:lang w:eastAsia="uk-UA"/>
              </w:rPr>
              <w:t>- підтверджує, що тендерна пропозиція подається з дотриманням чинного законодавства та нормативних актів України;</w:t>
            </w:r>
          </w:p>
          <w:p w14:paraId="56656094"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підтверджує повну і беззаперечну згоду з усіма умовами, що вказані в проекті договору згідно вимог </w:t>
            </w:r>
            <w:r w:rsidRPr="005F34A9">
              <w:rPr>
                <w:rFonts w:ascii="Times New Roman" w:eastAsia="Times New Roman" w:hAnsi="Times New Roman" w:cs="Times New Roman"/>
                <w:b/>
                <w:spacing w:val="-6"/>
                <w:highlight w:val="yellow"/>
                <w:lang w:eastAsia="uk-UA"/>
              </w:rPr>
              <w:t xml:space="preserve">Додатку </w:t>
            </w:r>
            <w:r w:rsidRPr="005F34A9">
              <w:rPr>
                <w:rFonts w:ascii="Times New Roman" w:eastAsia="Times New Roman" w:hAnsi="Times New Roman" w:cs="Times New Roman"/>
                <w:b/>
                <w:spacing w:val="-6"/>
                <w:highlight w:val="yellow"/>
                <w:lang w:val="en-US" w:eastAsia="uk-UA"/>
              </w:rPr>
              <w:t>IV</w:t>
            </w:r>
            <w:r w:rsidRPr="005F34A9">
              <w:rPr>
                <w:rFonts w:ascii="Times New Roman" w:eastAsia="Times New Roman" w:hAnsi="Times New Roman" w:cs="Times New Roman"/>
                <w:spacing w:val="-6"/>
                <w:highlight w:val="yellow"/>
                <w:lang w:eastAsia="uk-UA"/>
              </w:rPr>
              <w:t xml:space="preserve"> до тендерної документації;</w:t>
            </w:r>
          </w:p>
          <w:p w14:paraId="0A36E4C3" w14:textId="74556319"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підтверджує відсутність підстав у замовника щодо відмови в участі у відкритих торгах та/або відхилення тендерної пропозиції учасника процедури закупівлі, зазначених у пункт</w:t>
            </w:r>
            <w:r w:rsidR="00651B36" w:rsidRPr="005F34A9">
              <w:rPr>
                <w:rFonts w:ascii="Times New Roman" w:eastAsia="Times New Roman" w:hAnsi="Times New Roman" w:cs="Times New Roman"/>
                <w:spacing w:val="-6"/>
                <w:highlight w:val="yellow"/>
                <w:lang w:eastAsia="uk-UA"/>
              </w:rPr>
              <w:t>ах</w:t>
            </w:r>
            <w:r w:rsidR="00697F16" w:rsidRPr="005F34A9">
              <w:rPr>
                <w:rFonts w:ascii="Times New Roman" w:eastAsia="Times New Roman" w:hAnsi="Times New Roman" w:cs="Times New Roman"/>
                <w:spacing w:val="-6"/>
                <w:highlight w:val="yellow"/>
                <w:lang w:eastAsia="uk-UA"/>
              </w:rPr>
              <w:t xml:space="preserve"> </w:t>
            </w:r>
            <w:r w:rsidR="00FC09F1" w:rsidRPr="005F34A9">
              <w:rPr>
                <w:rFonts w:ascii="Times New Roman" w:eastAsia="Times New Roman" w:hAnsi="Times New Roman" w:cs="Times New Roman"/>
                <w:spacing w:val="-6"/>
                <w:highlight w:val="yellow"/>
                <w:lang w:eastAsia="uk-UA"/>
              </w:rPr>
              <w:t xml:space="preserve">47 </w:t>
            </w:r>
            <w:r w:rsidR="00651B36" w:rsidRPr="005F34A9">
              <w:rPr>
                <w:rFonts w:ascii="Times New Roman" w:eastAsia="Times New Roman" w:hAnsi="Times New Roman" w:cs="Times New Roman"/>
                <w:spacing w:val="-6"/>
                <w:highlight w:val="yellow"/>
                <w:lang w:eastAsia="uk-UA"/>
              </w:rPr>
              <w:t xml:space="preserve">та 42 </w:t>
            </w:r>
            <w:r w:rsidRPr="005F34A9">
              <w:rPr>
                <w:rFonts w:ascii="Times New Roman" w:eastAsia="Times New Roman" w:hAnsi="Times New Roman" w:cs="Times New Roman"/>
                <w:spacing w:val="-6"/>
                <w:highlight w:val="yellow"/>
                <w:lang w:eastAsia="uk-UA"/>
              </w:rPr>
              <w:t>Особливостей</w:t>
            </w:r>
            <w:r w:rsidR="002F7260" w:rsidRPr="005F34A9">
              <w:rPr>
                <w:rFonts w:ascii="Times New Roman" w:eastAsia="Times New Roman" w:hAnsi="Times New Roman" w:cs="Times New Roman"/>
                <w:spacing w:val="-6"/>
                <w:highlight w:val="yellow"/>
                <w:lang w:eastAsia="uk-UA"/>
              </w:rPr>
              <w:t>;</w:t>
            </w:r>
            <w:r w:rsidR="00FC09F1" w:rsidRPr="005F34A9">
              <w:rPr>
                <w:rFonts w:ascii="Times New Roman" w:eastAsia="Times New Roman" w:hAnsi="Times New Roman" w:cs="Times New Roman"/>
                <w:spacing w:val="-6"/>
                <w:highlight w:val="yellow"/>
                <w:lang w:eastAsia="uk-UA"/>
              </w:rPr>
              <w:t xml:space="preserve"> </w:t>
            </w:r>
          </w:p>
          <w:p w14:paraId="76F2BBE4"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підтверджує, що його тендерна пропозиція буде дійсною, протягом строку, визначеного в пункті 4 даного розділу;</w:t>
            </w:r>
          </w:p>
          <w:p w14:paraId="591F1CBA"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підтверджує, що він не має жодних обмежень для здійснення видів діяльності, що визначені договором про закупівлю (в </w:t>
            </w:r>
            <w:proofErr w:type="spellStart"/>
            <w:r w:rsidRPr="005F34A9">
              <w:rPr>
                <w:rFonts w:ascii="Times New Roman" w:eastAsia="Times New Roman" w:hAnsi="Times New Roman" w:cs="Times New Roman"/>
                <w:spacing w:val="-6"/>
                <w:highlight w:val="yellow"/>
                <w:lang w:eastAsia="uk-UA"/>
              </w:rPr>
              <w:t>т.ч</w:t>
            </w:r>
            <w:proofErr w:type="spellEnd"/>
            <w:r w:rsidRPr="005F34A9">
              <w:rPr>
                <w:rFonts w:ascii="Times New Roman" w:eastAsia="Times New Roman" w:hAnsi="Times New Roman" w:cs="Times New Roman"/>
                <w:spacing w:val="-6"/>
                <w:highlight w:val="yellow"/>
                <w:lang w:eastAsia="uk-UA"/>
              </w:rPr>
              <w:t>., з урахуванням інформації наявної в установчих документах учасника);</w:t>
            </w:r>
          </w:p>
          <w:p w14:paraId="199DF200" w14:textId="77777777" w:rsidR="00F6275A" w:rsidRPr="005F34A9" w:rsidRDefault="00F6275A" w:rsidP="00C706ED">
            <w:pPr>
              <w:widowControl w:val="0"/>
              <w:spacing w:after="0" w:line="240" w:lineRule="auto"/>
              <w:ind w:left="32"/>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підтверджує, що він та його пропозиція не підпадає під дію рішення/-нь Ради національної безпеки і оборони України щодо застосування персональних спеціальних економічних та інших обмежувальних заходів (санкцій), що введене/-ні в дію відповідним/-ми указом/-</w:t>
            </w:r>
            <w:proofErr w:type="spellStart"/>
            <w:r w:rsidRPr="005F34A9">
              <w:rPr>
                <w:rFonts w:ascii="Times New Roman" w:eastAsia="Times New Roman" w:hAnsi="Times New Roman" w:cs="Times New Roman"/>
                <w:spacing w:val="-6"/>
                <w:highlight w:val="yellow"/>
                <w:lang w:eastAsia="uk-UA"/>
              </w:rPr>
              <w:t>ами</w:t>
            </w:r>
            <w:proofErr w:type="spellEnd"/>
            <w:r w:rsidRPr="005F34A9">
              <w:rPr>
                <w:rFonts w:ascii="Times New Roman" w:eastAsia="Times New Roman" w:hAnsi="Times New Roman" w:cs="Times New Roman"/>
                <w:spacing w:val="-6"/>
                <w:highlight w:val="yellow"/>
                <w:lang w:eastAsia="uk-UA"/>
              </w:rPr>
              <w:t xml:space="preserve"> Президента України, та інших обмежувальних заходів (санкцій, спеціальних санкцій), які застосовуються у відповідності до законодавства України чинного на кінцеву дату подання тендерних пропозицій;</w:t>
            </w:r>
          </w:p>
          <w:p w14:paraId="5B59A917" w14:textId="6889EA45" w:rsidR="00F6275A" w:rsidRPr="005F34A9" w:rsidRDefault="00F6275A" w:rsidP="00C706ED">
            <w:pPr>
              <w:widowControl w:val="0"/>
              <w:spacing w:after="0" w:line="240" w:lineRule="auto"/>
              <w:ind w:left="32"/>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підтверджує, що він не є громадянином Російської Федерації/Республіки Білорусь (крім того, що проживає на території України на законних підставах); юридичною особою, </w:t>
            </w:r>
            <w:r w:rsidR="00FC09F1" w:rsidRPr="005F34A9">
              <w:rPr>
                <w:rFonts w:ascii="Times New Roman" w:eastAsia="Times New Roman" w:hAnsi="Times New Roman" w:cs="Times New Roman"/>
                <w:spacing w:val="-6"/>
                <w:highlight w:val="yellow"/>
                <w:lang w:eastAsia="uk-UA"/>
              </w:rPr>
              <w:t>у</w:t>
            </w:r>
            <w:r w:rsidRPr="005F34A9">
              <w:rPr>
                <w:rFonts w:ascii="Times New Roman" w:eastAsia="Times New Roman" w:hAnsi="Times New Roman" w:cs="Times New Roman"/>
                <w:spacing w:val="-6"/>
                <w:highlight w:val="yellow"/>
                <w:lang w:eastAsia="uk-UA"/>
              </w:rPr>
              <w:t xml:space="preserve">твореною та зареєстрованою відповідно до законодавства Російської Федерації/Республіки Білорусь; юридичною особою, </w:t>
            </w:r>
            <w:r w:rsidR="00FC09F1" w:rsidRPr="005F34A9">
              <w:rPr>
                <w:rFonts w:ascii="Times New Roman" w:eastAsia="Times New Roman" w:hAnsi="Times New Roman" w:cs="Times New Roman"/>
                <w:spacing w:val="-6"/>
                <w:highlight w:val="yellow"/>
                <w:lang w:eastAsia="uk-UA"/>
              </w:rPr>
              <w:t>у</w:t>
            </w:r>
            <w:r w:rsidRPr="005F34A9">
              <w:rPr>
                <w:rFonts w:ascii="Times New Roman" w:eastAsia="Times New Roman" w:hAnsi="Times New Roman" w:cs="Times New Roman"/>
                <w:spacing w:val="-6"/>
                <w:highlight w:val="yellow"/>
                <w:lang w:eastAsia="uk-UA"/>
              </w:rPr>
              <w:t>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w:t>
            </w:r>
            <w:r w:rsidR="00FC09F1" w:rsidRPr="005F34A9">
              <w:rPr>
                <w:rFonts w:ascii="Times New Roman" w:eastAsia="Times New Roman" w:hAnsi="Times New Roman" w:cs="Times New Roman"/>
                <w:spacing w:val="-6"/>
                <w:highlight w:val="yellow"/>
                <w:lang w:eastAsia="uk-UA"/>
              </w:rPr>
              <w:t xml:space="preserve"> (далі - активи)</w:t>
            </w:r>
            <w:r w:rsidRPr="005F34A9">
              <w:rPr>
                <w:rFonts w:ascii="Times New Roman" w:eastAsia="Times New Roman" w:hAnsi="Times New Roman" w:cs="Times New Roman"/>
                <w:spacing w:val="-6"/>
                <w:highlight w:val="yellow"/>
                <w:lang w:eastAsia="uk-UA"/>
              </w:rPr>
              <w:t xml:space="preserve">,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w:t>
            </w:r>
            <w:r w:rsidR="00FC09F1" w:rsidRPr="005F34A9">
              <w:rPr>
                <w:rFonts w:ascii="Times New Roman" w:eastAsia="Times New Roman" w:hAnsi="Times New Roman" w:cs="Times New Roman"/>
                <w:spacing w:val="-6"/>
                <w:highlight w:val="yellow"/>
                <w:lang w:eastAsia="uk-UA"/>
              </w:rPr>
              <w:t>у</w:t>
            </w:r>
            <w:r w:rsidRPr="005F34A9">
              <w:rPr>
                <w:rFonts w:ascii="Times New Roman" w:eastAsia="Times New Roman" w:hAnsi="Times New Roman" w:cs="Times New Roman"/>
                <w:spacing w:val="-6"/>
                <w:highlight w:val="yellow"/>
                <w:lang w:eastAsia="uk-UA"/>
              </w:rPr>
              <w:t>твореною та зареєстрованою відповідно до законодавства Російської Федерації/Республіки Білорусь</w:t>
            </w:r>
            <w:r w:rsidR="00FC09F1" w:rsidRPr="005F34A9">
              <w:rPr>
                <w:rFonts w:ascii="Times New Roman" w:eastAsia="Times New Roman" w:hAnsi="Times New Roman" w:cs="Times New Roman"/>
                <w:spacing w:val="-6"/>
                <w:highlight w:val="yellow"/>
                <w:lang w:eastAsia="uk-UA"/>
              </w:rPr>
              <w:t>, крім випадків коли активи в установленому</w:t>
            </w:r>
            <w:r w:rsidR="00FB7F82" w:rsidRPr="005F34A9">
              <w:rPr>
                <w:rFonts w:ascii="Times New Roman" w:eastAsia="Times New Roman" w:hAnsi="Times New Roman" w:cs="Times New Roman"/>
                <w:spacing w:val="-6"/>
                <w:highlight w:val="yellow"/>
                <w:lang w:eastAsia="uk-UA"/>
              </w:rPr>
              <w:t xml:space="preserve"> </w:t>
            </w:r>
            <w:r w:rsidR="00D5793D" w:rsidRPr="005F34A9">
              <w:rPr>
                <w:rFonts w:ascii="Times New Roman" w:eastAsia="Times New Roman" w:hAnsi="Times New Roman" w:cs="Times New Roman"/>
                <w:spacing w:val="-6"/>
                <w:highlight w:val="yellow"/>
                <w:lang w:eastAsia="uk-UA"/>
              </w:rPr>
              <w:t xml:space="preserve">законодавством </w:t>
            </w:r>
            <w:r w:rsidR="00FC09F1" w:rsidRPr="005F34A9">
              <w:rPr>
                <w:rFonts w:ascii="Times New Roman" w:eastAsia="Times New Roman" w:hAnsi="Times New Roman" w:cs="Times New Roman"/>
                <w:spacing w:val="-6"/>
                <w:highlight w:val="yellow"/>
                <w:lang w:eastAsia="uk-UA"/>
              </w:rPr>
              <w:t xml:space="preserve">порядку передані в управління Національному </w:t>
            </w:r>
            <w:proofErr w:type="spellStart"/>
            <w:r w:rsidR="00FC09F1" w:rsidRPr="005F34A9">
              <w:rPr>
                <w:rFonts w:ascii="Times New Roman" w:eastAsia="Times New Roman" w:hAnsi="Times New Roman" w:cs="Times New Roman"/>
                <w:spacing w:val="-6"/>
                <w:highlight w:val="yellow"/>
                <w:lang w:eastAsia="uk-UA"/>
              </w:rPr>
              <w:t>агенству</w:t>
            </w:r>
            <w:proofErr w:type="spellEnd"/>
            <w:r w:rsidR="00FC09F1" w:rsidRPr="005F34A9">
              <w:rPr>
                <w:rFonts w:ascii="Times New Roman" w:eastAsia="Times New Roman" w:hAnsi="Times New Roman" w:cs="Times New Roman"/>
                <w:spacing w:val="-6"/>
                <w:highlight w:val="yellow"/>
                <w:lang w:eastAsia="uk-UA"/>
              </w:rPr>
              <w:t xml:space="preserve"> з питань виявлення, розшуку та управління активами, одержаними від корупційних та інших злочинів</w:t>
            </w:r>
            <w:r w:rsidRPr="005F34A9">
              <w:rPr>
                <w:rFonts w:ascii="Times New Roman" w:eastAsia="Times New Roman" w:hAnsi="Times New Roman" w:cs="Times New Roman"/>
                <w:spacing w:val="-6"/>
                <w:highlight w:val="yellow"/>
                <w:lang w:eastAsia="uk-UA"/>
              </w:rPr>
              <w:t>;</w:t>
            </w:r>
          </w:p>
          <w:p w14:paraId="19B8AEF3" w14:textId="4B00E2AB" w:rsidR="00F6275A" w:rsidRPr="005F34A9" w:rsidRDefault="00F6275A" w:rsidP="00C706ED">
            <w:pPr>
              <w:widowControl w:val="0"/>
              <w:spacing w:after="0" w:line="240" w:lineRule="auto"/>
              <w:ind w:left="32"/>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підтверджує, що він не пропонує в тендерній пропозиції товари </w:t>
            </w:r>
            <w:r w:rsidR="00D5793D" w:rsidRPr="005F34A9">
              <w:rPr>
                <w:rFonts w:ascii="Times New Roman" w:eastAsia="Times New Roman" w:hAnsi="Times New Roman" w:cs="Times New Roman"/>
                <w:spacing w:val="-6"/>
                <w:highlight w:val="yellow"/>
                <w:lang w:eastAsia="uk-UA"/>
              </w:rPr>
              <w:t>походженням</w:t>
            </w:r>
            <w:r w:rsidRPr="005F34A9">
              <w:rPr>
                <w:rFonts w:ascii="Times New Roman" w:eastAsia="Times New Roman" w:hAnsi="Times New Roman" w:cs="Times New Roman"/>
                <w:spacing w:val="-6"/>
                <w:highlight w:val="yellow"/>
                <w:lang w:eastAsia="uk-UA"/>
              </w:rPr>
              <w:t xml:space="preserve"> </w:t>
            </w:r>
            <w:r w:rsidR="00D5793D" w:rsidRPr="005F34A9">
              <w:rPr>
                <w:rFonts w:ascii="Times New Roman" w:eastAsia="Times New Roman" w:hAnsi="Times New Roman" w:cs="Times New Roman"/>
                <w:spacing w:val="-6"/>
                <w:highlight w:val="yellow"/>
                <w:lang w:eastAsia="uk-UA"/>
              </w:rPr>
              <w:t xml:space="preserve">з </w:t>
            </w:r>
            <w:r w:rsidRPr="005F34A9">
              <w:rPr>
                <w:rFonts w:ascii="Times New Roman" w:eastAsia="Times New Roman" w:hAnsi="Times New Roman" w:cs="Times New Roman"/>
                <w:spacing w:val="-6"/>
                <w:highlight w:val="yellow"/>
                <w:lang w:eastAsia="uk-UA"/>
              </w:rPr>
              <w:t xml:space="preserve">Російської Федерації/Республіки Білорусь </w:t>
            </w:r>
            <w:r w:rsidR="00D5793D" w:rsidRPr="005F34A9">
              <w:rPr>
                <w:rFonts w:ascii="Times New Roman" w:eastAsia="Times New Roman" w:hAnsi="Times New Roman" w:cs="Times New Roman"/>
                <w:spacing w:val="-6"/>
                <w:highlight w:val="yellow"/>
                <w:lang w:eastAsia="uk-UA"/>
              </w:rPr>
              <w:t xml:space="preserve">за винятком </w:t>
            </w:r>
            <w:r w:rsidR="00D5793D" w:rsidRPr="005F34A9">
              <w:rPr>
                <w:rFonts w:ascii="Times New Roman" w:eastAsia="Times New Roman" w:hAnsi="Times New Roman" w:cs="Times New Roman"/>
                <w:spacing w:val="-6"/>
                <w:highlight w:val="yellow"/>
                <w:lang w:eastAsia="uk-UA"/>
              </w:rPr>
              <w:lastRenderedPageBreak/>
              <w:t>товарів, необхідних для ремонту та обслуговування товарів, придбаних до набрання чинності</w:t>
            </w:r>
            <w:r w:rsidR="00D5793D" w:rsidRPr="005F34A9">
              <w:rPr>
                <w:b/>
                <w:bCs/>
                <w:color w:val="333333"/>
                <w:highlight w:val="yellow"/>
                <w:shd w:val="clear" w:color="auto" w:fill="FFFFFF"/>
              </w:rPr>
              <w:t xml:space="preserve"> </w:t>
            </w:r>
            <w:r w:rsidR="00D5793D" w:rsidRPr="005F34A9">
              <w:rPr>
                <w:rFonts w:ascii="Times New Roman" w:eastAsia="Times New Roman" w:hAnsi="Times New Roman" w:cs="Times New Roman"/>
                <w:spacing w:val="-6"/>
                <w:highlight w:val="yellow"/>
                <w:lang w:eastAsia="uk-UA"/>
              </w:rPr>
              <w:t xml:space="preserve">постановою Кабінету Міністрів України від 12 жовтня 2022 р. № 1178 </w:t>
            </w:r>
            <w:r w:rsidR="006273B8" w:rsidRPr="005F34A9">
              <w:rPr>
                <w:rFonts w:ascii="Times New Roman" w:eastAsia="Times New Roman" w:hAnsi="Times New Roman" w:cs="Times New Roman"/>
                <w:spacing w:val="-6"/>
                <w:highlight w:val="yellow"/>
                <w:lang w:eastAsia="uk-UA"/>
              </w:rPr>
              <w:t>«Про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w:t>
            </w:r>
            <w:r w:rsidR="00FC09F1" w:rsidRPr="005F34A9">
              <w:rPr>
                <w:rFonts w:ascii="Times New Roman" w:eastAsia="Times New Roman" w:hAnsi="Times New Roman" w:cs="Times New Roman"/>
                <w:spacing w:val="-6"/>
                <w:highlight w:val="yellow"/>
                <w:lang w:eastAsia="uk-UA"/>
              </w:rPr>
              <w:t>;</w:t>
            </w:r>
          </w:p>
          <w:p w14:paraId="5D1C60B7" w14:textId="77777777" w:rsidR="00F6275A" w:rsidRPr="005F34A9" w:rsidRDefault="00F6275A" w:rsidP="00C706ED">
            <w:pPr>
              <w:widowControl w:val="0"/>
              <w:spacing w:after="0" w:line="240" w:lineRule="auto"/>
              <w:ind w:left="32" w:firstLine="142"/>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підтверджує, що технічні, якісні характеристики предмета закупівлі передбачають необхідність застосування заходів із захисту довкілля;</w:t>
            </w:r>
          </w:p>
          <w:p w14:paraId="24B72E6A" w14:textId="77777777" w:rsidR="00F6275A" w:rsidRPr="005F34A9" w:rsidRDefault="00F6275A" w:rsidP="00C706ED">
            <w:pPr>
              <w:widowControl w:val="0"/>
              <w:spacing w:after="0" w:line="240" w:lineRule="auto"/>
              <w:ind w:left="32" w:firstLine="142"/>
              <w:contextualSpacing/>
              <w:jc w:val="both"/>
              <w:rPr>
                <w:rFonts w:ascii="Times New Roman" w:eastAsia="Calibri"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w:t>
            </w:r>
            <w:r w:rsidRPr="005F34A9">
              <w:rPr>
                <w:rFonts w:ascii="Times New Roman" w:eastAsia="Calibri" w:hAnsi="Times New Roman" w:cs="Times New Roman"/>
                <w:spacing w:val="-6"/>
                <w:highlight w:val="yellow"/>
                <w:lang w:eastAsia="uk-UA"/>
              </w:rPr>
              <w:t>гарантує відповідність своєї тендерної пропозиції технічним вимогам, якісним та кількісним характеристикам предмета закупівлі, викладеним замовником в</w:t>
            </w:r>
            <w:r w:rsidRPr="005F34A9">
              <w:rPr>
                <w:rFonts w:ascii="Times New Roman" w:eastAsia="Calibri" w:hAnsi="Times New Roman" w:cs="Times New Roman"/>
                <w:b/>
                <w:bCs/>
                <w:spacing w:val="-6"/>
                <w:highlight w:val="yellow"/>
                <w:lang w:eastAsia="uk-UA"/>
              </w:rPr>
              <w:t xml:space="preserve"> </w:t>
            </w:r>
            <w:r w:rsidRPr="005F34A9">
              <w:rPr>
                <w:rFonts w:ascii="Times New Roman" w:eastAsia="Calibri" w:hAnsi="Times New Roman" w:cs="Times New Roman"/>
                <w:spacing w:val="-6"/>
                <w:highlight w:val="yellow"/>
                <w:lang w:eastAsia="uk-UA"/>
              </w:rPr>
              <w:t>тендерній документації.</w:t>
            </w:r>
          </w:p>
          <w:p w14:paraId="227C5B7F" w14:textId="6D1758EF" w:rsidR="00F6275A" w:rsidRPr="005F34A9" w:rsidRDefault="00F6275A" w:rsidP="00C706ED">
            <w:pPr>
              <w:widowControl w:val="0"/>
              <w:spacing w:after="0" w:line="240" w:lineRule="auto"/>
              <w:ind w:left="32"/>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Об’єднання учасників поданням своєї тендерної пропозиції підтверджує відсутність підстав, визначених у </w:t>
            </w:r>
            <w:r w:rsidR="00303BB7" w:rsidRPr="005F34A9">
              <w:rPr>
                <w:rFonts w:ascii="Times New Roman" w:eastAsia="Times New Roman" w:hAnsi="Times New Roman" w:cs="Times New Roman"/>
                <w:spacing w:val="-6"/>
                <w:highlight w:val="yellow"/>
                <w:lang w:eastAsia="uk-UA"/>
              </w:rPr>
              <w:t>пункт</w:t>
            </w:r>
            <w:r w:rsidR="006273B8" w:rsidRPr="005F34A9">
              <w:rPr>
                <w:rFonts w:ascii="Times New Roman" w:eastAsia="Times New Roman" w:hAnsi="Times New Roman" w:cs="Times New Roman"/>
                <w:spacing w:val="-6"/>
                <w:highlight w:val="yellow"/>
                <w:lang w:eastAsia="uk-UA"/>
              </w:rPr>
              <w:t>ах</w:t>
            </w:r>
            <w:r w:rsidR="00303BB7" w:rsidRPr="005F34A9">
              <w:rPr>
                <w:rFonts w:ascii="Times New Roman" w:eastAsia="Times New Roman" w:hAnsi="Times New Roman" w:cs="Times New Roman"/>
                <w:spacing w:val="-6"/>
                <w:highlight w:val="yellow"/>
                <w:lang w:eastAsia="uk-UA"/>
              </w:rPr>
              <w:t xml:space="preserve"> 47</w:t>
            </w:r>
            <w:r w:rsidR="006273B8" w:rsidRPr="005F34A9">
              <w:rPr>
                <w:rFonts w:ascii="Times New Roman" w:eastAsia="Times New Roman" w:hAnsi="Times New Roman" w:cs="Times New Roman"/>
                <w:spacing w:val="-6"/>
                <w:highlight w:val="yellow"/>
                <w:lang w:eastAsia="uk-UA"/>
              </w:rPr>
              <w:t xml:space="preserve"> та 42</w:t>
            </w:r>
            <w:r w:rsidR="00303BB7" w:rsidRPr="005F34A9">
              <w:rPr>
                <w:rFonts w:ascii="Times New Roman" w:eastAsia="Times New Roman" w:hAnsi="Times New Roman" w:cs="Times New Roman"/>
                <w:spacing w:val="-6"/>
                <w:highlight w:val="yellow"/>
                <w:lang w:eastAsia="uk-UA"/>
              </w:rPr>
              <w:t xml:space="preserve"> </w:t>
            </w:r>
            <w:r w:rsidRPr="005F34A9">
              <w:rPr>
                <w:rFonts w:ascii="Times New Roman" w:eastAsia="Times New Roman" w:hAnsi="Times New Roman" w:cs="Times New Roman"/>
                <w:spacing w:val="-6"/>
                <w:highlight w:val="yellow"/>
                <w:lang w:eastAsia="uk-UA"/>
              </w:rPr>
              <w:t xml:space="preserve">Особливостей, щодо учасників такого об’єднання. </w:t>
            </w:r>
          </w:p>
          <w:p w14:paraId="17CED973" w14:textId="7F5076CD" w:rsidR="00C82BB7" w:rsidRPr="002F239C" w:rsidRDefault="00F6275A" w:rsidP="00663180">
            <w:pPr>
              <w:widowControl w:val="0"/>
              <w:spacing w:after="0" w:line="240" w:lineRule="auto"/>
              <w:ind w:left="32"/>
              <w:contextualSpacing/>
              <w:jc w:val="both"/>
              <w:rPr>
                <w:rFonts w:ascii="Times New Roman" w:eastAsia="Times New Roman" w:hAnsi="Times New Roman" w:cs="Times New Roman"/>
                <w:spacing w:val="-4"/>
                <w:lang w:eastAsia="uk-UA"/>
              </w:rPr>
            </w:pPr>
            <w:r w:rsidRPr="005F34A9">
              <w:rPr>
                <w:rFonts w:ascii="Times New Roman" w:eastAsia="Times New Roman" w:hAnsi="Times New Roman" w:cs="Times New Roman"/>
                <w:spacing w:val="-6"/>
                <w:highlight w:val="yellow"/>
                <w:lang w:eastAsia="uk-UA"/>
              </w:rPr>
              <w:t xml:space="preserve">Замовник не вимагає документального підтвердження інформації </w:t>
            </w:r>
            <w:r w:rsidRPr="005F34A9">
              <w:rPr>
                <w:rFonts w:ascii="Times New Roman" w:eastAsia="Times New Roman" w:hAnsi="Times New Roman" w:cs="Times New Roman"/>
                <w:spacing w:val="-4"/>
                <w:highlight w:val="yellow"/>
                <w:lang w:eastAsia="uk-UA"/>
              </w:rPr>
              <w:t>про відсутність підстав для відхилення тендерної пропозиції учасника процедури закупівлі та/або переможця, визначених пунктом 4</w:t>
            </w:r>
            <w:r w:rsidR="00303BB7" w:rsidRPr="005F34A9">
              <w:rPr>
                <w:rFonts w:ascii="Times New Roman" w:eastAsia="Times New Roman" w:hAnsi="Times New Roman" w:cs="Times New Roman"/>
                <w:spacing w:val="-4"/>
                <w:highlight w:val="yellow"/>
                <w:lang w:eastAsia="uk-UA"/>
              </w:rPr>
              <w:t>7</w:t>
            </w:r>
            <w:r w:rsidRPr="005F34A9">
              <w:rPr>
                <w:rFonts w:ascii="Times New Roman" w:eastAsia="Times New Roman" w:hAnsi="Times New Roman" w:cs="Times New Roman"/>
                <w:spacing w:val="-4"/>
                <w:highlight w:val="yellow"/>
                <w:lang w:eastAsia="uk-UA"/>
              </w:rPr>
              <w:t xml:space="preserve"> Особливостей, у разі, коли така інформація є публічною</w:t>
            </w:r>
            <w:r w:rsidRPr="005F34A9">
              <w:rPr>
                <w:rFonts w:ascii="Times New Roman" w:eastAsia="Times New Roman" w:hAnsi="Times New Roman" w:cs="Times New Roman"/>
                <w:spacing w:val="-6"/>
                <w:highlight w:val="yellow"/>
                <w:lang w:eastAsia="uk-UA"/>
              </w:rPr>
              <w:t xml:space="preserve">, що оприлюднена у формі відкритих даних згідно із Законом України «Про доступ до публічної інформації», та/або міститься у відкритих </w:t>
            </w:r>
            <w:r w:rsidRPr="005F34A9">
              <w:rPr>
                <w:rFonts w:ascii="Times New Roman" w:eastAsia="Times New Roman" w:hAnsi="Times New Roman" w:cs="Times New Roman"/>
                <w:spacing w:val="-4"/>
                <w:highlight w:val="yellow"/>
                <w:lang w:eastAsia="uk-UA"/>
              </w:rPr>
              <w:t>публічних електронних</w:t>
            </w:r>
            <w:r w:rsidRPr="005F34A9">
              <w:rPr>
                <w:rFonts w:ascii="Times New Roman" w:eastAsia="Times New Roman" w:hAnsi="Times New Roman" w:cs="Times New Roman"/>
                <w:spacing w:val="-6"/>
                <w:highlight w:val="yellow"/>
                <w:lang w:eastAsia="uk-UA"/>
              </w:rPr>
              <w:t xml:space="preserve"> реєстрах, доступ до яких є вільним, та/або </w:t>
            </w:r>
            <w:r w:rsidRPr="005F34A9">
              <w:rPr>
                <w:rFonts w:ascii="Times New Roman" w:eastAsia="Times New Roman" w:hAnsi="Times New Roman" w:cs="Times New Roman"/>
                <w:spacing w:val="-4"/>
                <w:highlight w:val="yellow"/>
                <w:lang w:eastAsia="uk-UA"/>
              </w:rPr>
              <w:t>може бути отримана електронною системою закупівель шляхом обміну інформацією з іншими державними системами та реєстрами.</w:t>
            </w:r>
            <w:r>
              <w:rPr>
                <w:rFonts w:ascii="Times New Roman" w:eastAsia="Times New Roman" w:hAnsi="Times New Roman" w:cs="Times New Roman"/>
                <w:spacing w:val="-4"/>
                <w:lang w:eastAsia="uk-UA"/>
              </w:rPr>
              <w:t xml:space="preserve"> </w:t>
            </w:r>
          </w:p>
        </w:tc>
      </w:tr>
      <w:tr w:rsidR="00F6275A" w:rsidRPr="00B75BDF" w14:paraId="45ACFDB8"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3960717F"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lastRenderedPageBreak/>
              <w:t>2</w:t>
            </w:r>
          </w:p>
        </w:tc>
        <w:tc>
          <w:tcPr>
            <w:tcW w:w="2901" w:type="dxa"/>
            <w:tcBorders>
              <w:top w:val="single" w:sz="4" w:space="0" w:color="auto"/>
              <w:left w:val="single" w:sz="4" w:space="0" w:color="auto"/>
              <w:bottom w:val="single" w:sz="4" w:space="0" w:color="auto"/>
              <w:right w:val="single" w:sz="4" w:space="0" w:color="auto"/>
            </w:tcBorders>
            <w:hideMark/>
          </w:tcPr>
          <w:p w14:paraId="43EEE0E4"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Забезпечення тендерної пропозиції</w:t>
            </w:r>
          </w:p>
        </w:tc>
        <w:tc>
          <w:tcPr>
            <w:tcW w:w="7042" w:type="dxa"/>
            <w:tcBorders>
              <w:top w:val="single" w:sz="4" w:space="0" w:color="auto"/>
              <w:left w:val="single" w:sz="4" w:space="0" w:color="auto"/>
              <w:bottom w:val="single" w:sz="4" w:space="0" w:color="auto"/>
              <w:right w:val="single" w:sz="4" w:space="0" w:color="auto"/>
            </w:tcBorders>
          </w:tcPr>
          <w:p w14:paraId="3E3656CE" w14:textId="77777777" w:rsidR="00F6275A" w:rsidRPr="005F34A9" w:rsidRDefault="00F6275A" w:rsidP="00C706ED">
            <w:pPr>
              <w:spacing w:after="0" w:line="240" w:lineRule="auto"/>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Інформацію зазначено в пункті 12 зведеної інформації про закупівлю.</w:t>
            </w:r>
          </w:p>
        </w:tc>
      </w:tr>
      <w:tr w:rsidR="00F6275A" w:rsidRPr="00B75BDF" w14:paraId="27D2AD50"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188E505E"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3</w:t>
            </w:r>
          </w:p>
        </w:tc>
        <w:tc>
          <w:tcPr>
            <w:tcW w:w="2901" w:type="dxa"/>
            <w:tcBorders>
              <w:top w:val="single" w:sz="4" w:space="0" w:color="auto"/>
              <w:left w:val="single" w:sz="4" w:space="0" w:color="auto"/>
              <w:bottom w:val="single" w:sz="4" w:space="0" w:color="auto"/>
              <w:right w:val="single" w:sz="4" w:space="0" w:color="auto"/>
            </w:tcBorders>
            <w:hideMark/>
          </w:tcPr>
          <w:p w14:paraId="26ADD56E" w14:textId="77777777" w:rsidR="00F6275A" w:rsidRPr="005F34A9" w:rsidRDefault="00F6275A" w:rsidP="00C706ED">
            <w:pPr>
              <w:widowControl w:val="0"/>
              <w:spacing w:after="0" w:line="240" w:lineRule="auto"/>
              <w:ind w:right="113"/>
              <w:contextualSpacing/>
              <w:rPr>
                <w:rFonts w:ascii="Times New Roman" w:eastAsia="Calibri" w:hAnsi="Times New Roman" w:cs="Times New Roman"/>
                <w:color w:val="000000"/>
                <w:spacing w:val="-6"/>
                <w:highlight w:val="yellow"/>
                <w:lang w:eastAsia="uk-UA"/>
              </w:rPr>
            </w:pPr>
            <w:r w:rsidRPr="005F34A9">
              <w:rPr>
                <w:rFonts w:ascii="Times New Roman" w:eastAsia="Calibri" w:hAnsi="Times New Roman" w:cs="Times New Roman"/>
                <w:color w:val="000000"/>
                <w:spacing w:val="-6"/>
                <w:highlight w:val="yellow"/>
                <w:lang w:eastAsia="uk-UA"/>
              </w:rPr>
              <w:t>Умови повернення чи неповернення забезпечення тендерної пропозиції</w:t>
            </w:r>
          </w:p>
        </w:tc>
        <w:tc>
          <w:tcPr>
            <w:tcW w:w="7042" w:type="dxa"/>
            <w:tcBorders>
              <w:top w:val="single" w:sz="4" w:space="0" w:color="auto"/>
              <w:left w:val="single" w:sz="4" w:space="0" w:color="auto"/>
              <w:bottom w:val="single" w:sz="4" w:space="0" w:color="auto"/>
              <w:right w:val="single" w:sz="4" w:space="0" w:color="auto"/>
            </w:tcBorders>
          </w:tcPr>
          <w:p w14:paraId="75E1A809"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Інформацію зазначено в пункті 12 зведеної інформації про закупівлю.</w:t>
            </w:r>
          </w:p>
          <w:p w14:paraId="6CF8619F"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Забезпечення тендерної пропозиції повертається учаснику в разі:</w:t>
            </w:r>
          </w:p>
          <w:p w14:paraId="0FC5F073"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1) закінчення строку дії тендерної пропозиції та забезпечення тендерної пропозиції, зазначеного в тендерній документації;</w:t>
            </w:r>
          </w:p>
          <w:p w14:paraId="37A61D9B"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2) укладення договору про закупівлю з учасником, який став переможцем процедури закупівлі;</w:t>
            </w:r>
          </w:p>
          <w:p w14:paraId="7ACA9521"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3) відкликання тендерної пропозиції до закінчення строку її подання;</w:t>
            </w:r>
          </w:p>
          <w:p w14:paraId="48C7FA50"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4) закінчення процедури закупівлі в разі </w:t>
            </w:r>
            <w:proofErr w:type="spellStart"/>
            <w:r w:rsidRPr="005F34A9">
              <w:rPr>
                <w:rFonts w:ascii="Times New Roman" w:eastAsia="Times New Roman" w:hAnsi="Times New Roman" w:cs="Times New Roman"/>
                <w:color w:val="000000"/>
                <w:spacing w:val="-6"/>
                <w:highlight w:val="yellow"/>
                <w:lang w:eastAsia="uk-UA"/>
              </w:rPr>
              <w:t>неукладення</w:t>
            </w:r>
            <w:proofErr w:type="spellEnd"/>
            <w:r w:rsidRPr="005F34A9">
              <w:rPr>
                <w:rFonts w:ascii="Times New Roman" w:eastAsia="Times New Roman" w:hAnsi="Times New Roman" w:cs="Times New Roman"/>
                <w:color w:val="000000"/>
                <w:spacing w:val="-6"/>
                <w:highlight w:val="yellow"/>
                <w:lang w:eastAsia="uk-UA"/>
              </w:rPr>
              <w:t xml:space="preserve"> договору про закупівлю з жодним з учасників, які подали тендерні пропозиції.</w:t>
            </w:r>
          </w:p>
          <w:p w14:paraId="3ADABB7C" w14:textId="77777777" w:rsidR="00F6275A" w:rsidRPr="005F34A9" w:rsidRDefault="00F6275A" w:rsidP="00C706ED">
            <w:pPr>
              <w:spacing w:after="0" w:line="240" w:lineRule="auto"/>
              <w:rPr>
                <w:rFonts w:ascii="Times New Roman" w:eastAsia="Times New Roman" w:hAnsi="Times New Roman" w:cs="Times New Roman"/>
                <w:color w:val="000000"/>
                <w:spacing w:val="-6"/>
                <w:sz w:val="12"/>
                <w:szCs w:val="16"/>
                <w:highlight w:val="yellow"/>
                <w:lang w:eastAsia="uk-UA"/>
              </w:rPr>
            </w:pPr>
          </w:p>
          <w:p w14:paraId="74575784"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Забезпечення тендерної пропозиції не повертається у разі:</w:t>
            </w:r>
          </w:p>
          <w:p w14:paraId="55C54A21"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1) відкликання тендерної пропозиції учасником після закінчення строку її подання, але до того, як сплив строк, протягом якого тендерні пропозиції вважаються дійсними;</w:t>
            </w:r>
          </w:p>
          <w:p w14:paraId="0CB9B27A"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2) </w:t>
            </w:r>
            <w:proofErr w:type="spellStart"/>
            <w:r w:rsidRPr="005F34A9">
              <w:rPr>
                <w:rFonts w:ascii="Times New Roman" w:eastAsia="Times New Roman" w:hAnsi="Times New Roman" w:cs="Times New Roman"/>
                <w:color w:val="000000"/>
                <w:spacing w:val="-6"/>
                <w:highlight w:val="yellow"/>
                <w:lang w:eastAsia="uk-UA"/>
              </w:rPr>
              <w:t>непідписання</w:t>
            </w:r>
            <w:proofErr w:type="spellEnd"/>
            <w:r w:rsidRPr="005F34A9">
              <w:rPr>
                <w:rFonts w:ascii="Times New Roman" w:eastAsia="Times New Roman" w:hAnsi="Times New Roman" w:cs="Times New Roman"/>
                <w:color w:val="000000"/>
                <w:spacing w:val="-6"/>
                <w:highlight w:val="yellow"/>
                <w:lang w:eastAsia="uk-UA"/>
              </w:rPr>
              <w:t xml:space="preserve"> договору про закупівлю учасником, який став переможцем  процедури закупівлі;</w:t>
            </w:r>
          </w:p>
          <w:p w14:paraId="4B00A7AB" w14:textId="77777777" w:rsidR="00F6275A" w:rsidRPr="005F34A9" w:rsidRDefault="00F6275A" w:rsidP="00C706ED">
            <w:pPr>
              <w:spacing w:after="0" w:line="240" w:lineRule="auto"/>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3) ненадання переможцем процедури закупівлі забезпечення виконання договору про закупівлю після отримання повідомлення про намір укласти договір про закупівлю, якщо надання такого забезпечення передбачено тендерною документацією;</w:t>
            </w:r>
          </w:p>
          <w:p w14:paraId="732D318C" w14:textId="448C5531" w:rsidR="00F6275A" w:rsidRPr="00B75BDF" w:rsidRDefault="00F6275A" w:rsidP="00C706ED">
            <w:pPr>
              <w:spacing w:after="0" w:line="240" w:lineRule="auto"/>
              <w:jc w:val="both"/>
              <w:rPr>
                <w:rFonts w:ascii="Times New Roman" w:eastAsia="Times New Roman" w:hAnsi="Times New Roman" w:cs="Times New Roman"/>
                <w:color w:val="000000"/>
                <w:spacing w:val="-6"/>
                <w:lang w:eastAsia="uk-UA"/>
              </w:rPr>
            </w:pPr>
            <w:r w:rsidRPr="005F34A9">
              <w:rPr>
                <w:rFonts w:ascii="Times New Roman" w:eastAsia="Times New Roman" w:hAnsi="Times New Roman" w:cs="Times New Roman"/>
                <w:spacing w:val="-6"/>
                <w:highlight w:val="yellow"/>
                <w:lang w:eastAsia="uk-UA"/>
              </w:rPr>
              <w:t xml:space="preserve">4) ненадання переможцем процедури закупівлі, у строк, що не перевищує чотири дні з дати оприлюднення в електронній системі закупівель повідомлення про намір укласти договір про закупівлю, документів, що підтверджують відсутність підстав, зазначених у підпунктах 3, 5, 6 і 12 та в абзаці чотирнадцятому пункту </w:t>
            </w:r>
            <w:r w:rsidR="00BD1FFA" w:rsidRPr="005F34A9">
              <w:rPr>
                <w:rFonts w:ascii="Times New Roman" w:eastAsia="Times New Roman" w:hAnsi="Times New Roman" w:cs="Times New Roman"/>
                <w:spacing w:val="-6"/>
                <w:highlight w:val="yellow"/>
                <w:lang w:eastAsia="uk-UA"/>
              </w:rPr>
              <w:t xml:space="preserve">47 </w:t>
            </w:r>
            <w:r w:rsidRPr="005F34A9">
              <w:rPr>
                <w:rFonts w:ascii="Times New Roman" w:eastAsia="Times New Roman" w:hAnsi="Times New Roman" w:cs="Times New Roman"/>
                <w:spacing w:val="-6"/>
                <w:highlight w:val="yellow"/>
                <w:lang w:eastAsia="uk-UA"/>
              </w:rPr>
              <w:t>Особливостей, шляхом оприлюднення їх в електронній системі закупівель.</w:t>
            </w:r>
          </w:p>
        </w:tc>
      </w:tr>
      <w:tr w:rsidR="00F6275A" w:rsidRPr="00B75BDF" w14:paraId="2ABC0A3C"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584FADCD"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4</w:t>
            </w:r>
          </w:p>
        </w:tc>
        <w:tc>
          <w:tcPr>
            <w:tcW w:w="2901" w:type="dxa"/>
            <w:tcBorders>
              <w:top w:val="single" w:sz="4" w:space="0" w:color="auto"/>
              <w:left w:val="single" w:sz="4" w:space="0" w:color="auto"/>
              <w:bottom w:val="single" w:sz="4" w:space="0" w:color="auto"/>
              <w:right w:val="single" w:sz="4" w:space="0" w:color="auto"/>
            </w:tcBorders>
            <w:hideMark/>
          </w:tcPr>
          <w:p w14:paraId="03CB8637" w14:textId="77777777" w:rsidR="00F6275A" w:rsidRPr="00B75BDF" w:rsidRDefault="00F6275A" w:rsidP="00C706ED">
            <w:pPr>
              <w:widowControl w:val="0"/>
              <w:spacing w:after="0" w:line="240" w:lineRule="auto"/>
              <w:ind w:right="113"/>
              <w:contextualSpacing/>
              <w:rPr>
                <w:rFonts w:ascii="Times New Roman" w:eastAsia="Calibri" w:hAnsi="Times New Roman" w:cs="Times New Roman"/>
                <w:color w:val="000000"/>
                <w:spacing w:val="-6"/>
                <w:lang w:eastAsia="uk-UA"/>
              </w:rPr>
            </w:pPr>
            <w:r w:rsidRPr="00B75BDF">
              <w:rPr>
                <w:rFonts w:ascii="Times New Roman" w:eastAsia="Calibri" w:hAnsi="Times New Roman" w:cs="Times New Roman"/>
                <w:color w:val="000000"/>
                <w:spacing w:val="-6"/>
                <w:lang w:eastAsia="uk-UA"/>
              </w:rPr>
              <w:t>Строк, протягом якого тендерні пропозиції є дійсними</w:t>
            </w:r>
          </w:p>
        </w:tc>
        <w:tc>
          <w:tcPr>
            <w:tcW w:w="7042" w:type="dxa"/>
            <w:tcBorders>
              <w:top w:val="single" w:sz="4" w:space="0" w:color="auto"/>
              <w:left w:val="single" w:sz="4" w:space="0" w:color="auto"/>
              <w:bottom w:val="single" w:sz="4" w:space="0" w:color="auto"/>
              <w:right w:val="single" w:sz="4" w:space="0" w:color="auto"/>
            </w:tcBorders>
            <w:hideMark/>
          </w:tcPr>
          <w:p w14:paraId="31E89F4F" w14:textId="52F5DD91" w:rsidR="00F6275A" w:rsidRPr="00B75BDF"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lang w:eastAsia="uk-UA"/>
              </w:rPr>
            </w:pPr>
            <w:r w:rsidRPr="005F34A9">
              <w:rPr>
                <w:rFonts w:ascii="Times New Roman" w:eastAsia="Times New Roman" w:hAnsi="Times New Roman" w:cs="Times New Roman"/>
                <w:color w:val="000000"/>
                <w:spacing w:val="-6"/>
                <w:highlight w:val="yellow"/>
                <w:lang w:eastAsia="uk-UA"/>
              </w:rPr>
              <w:t xml:space="preserve">Тендерні пропозиції вважаються дійсними протягом не менше ніж </w:t>
            </w:r>
            <w:r w:rsidRPr="005F34A9">
              <w:rPr>
                <w:rFonts w:ascii="Times New Roman" w:eastAsia="Times New Roman" w:hAnsi="Times New Roman" w:cs="Times New Roman"/>
                <w:b/>
                <w:color w:val="000000"/>
                <w:spacing w:val="-6"/>
                <w:highlight w:val="yellow"/>
                <w:lang w:eastAsia="uk-UA"/>
              </w:rPr>
              <w:t>120</w:t>
            </w:r>
            <w:r w:rsidRPr="005F34A9">
              <w:rPr>
                <w:rFonts w:ascii="Times New Roman" w:eastAsia="Times New Roman" w:hAnsi="Times New Roman" w:cs="Times New Roman"/>
                <w:color w:val="000000"/>
                <w:spacing w:val="-6"/>
                <w:highlight w:val="yellow"/>
                <w:lang w:eastAsia="uk-UA"/>
              </w:rPr>
              <w:t xml:space="preserve"> днів із дати кінцевого строку подання тендерних пропозицій та втрачають чинність з моменту укладання договору про закупівлю або відміни відкритих торгів. До закінчення цього строку замовник має право вимагати від учасників </w:t>
            </w:r>
            <w:r w:rsidR="005B3465" w:rsidRPr="005F34A9">
              <w:rPr>
                <w:rFonts w:ascii="Times New Roman" w:eastAsia="Times New Roman" w:hAnsi="Times New Roman" w:cs="Times New Roman"/>
                <w:color w:val="000000"/>
                <w:spacing w:val="-6"/>
                <w:highlight w:val="yellow"/>
                <w:lang w:eastAsia="uk-UA"/>
              </w:rPr>
              <w:t xml:space="preserve">процедури закупівлі </w:t>
            </w:r>
            <w:r w:rsidRPr="005F34A9">
              <w:rPr>
                <w:rFonts w:ascii="Times New Roman" w:eastAsia="Times New Roman" w:hAnsi="Times New Roman" w:cs="Times New Roman"/>
                <w:color w:val="000000"/>
                <w:spacing w:val="-6"/>
                <w:highlight w:val="yellow"/>
                <w:lang w:eastAsia="uk-UA"/>
              </w:rPr>
              <w:t>продовження строку дії тендерних пропозицій.</w:t>
            </w:r>
          </w:p>
          <w:p w14:paraId="44345D6F"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lastRenderedPageBreak/>
              <w:t>Учасник процедури закупівлі має право:</w:t>
            </w:r>
          </w:p>
          <w:p w14:paraId="27F14CF5"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відхилити таку вимогу, не втрачаючи при цьому наданого ним забезпечення тендерної пропозиції;</w:t>
            </w:r>
          </w:p>
          <w:p w14:paraId="6F22207A"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погодитися з вимогою та продовжити строк дії поданої ним тендерної пропозиції і наданого забезпечення тендерної пропозиції.</w:t>
            </w:r>
          </w:p>
          <w:p w14:paraId="0B44E17C"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p w14:paraId="6C8AFA95" w14:textId="77777777" w:rsidR="00F6275A" w:rsidRPr="00B75BDF"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lang w:eastAsia="uk-UA"/>
              </w:rPr>
            </w:pPr>
            <w:r w:rsidRPr="005F34A9">
              <w:rPr>
                <w:rFonts w:ascii="Times New Roman" w:eastAsia="Times New Roman" w:hAnsi="Times New Roman" w:cs="Times New Roman"/>
                <w:color w:val="000000"/>
                <w:spacing w:val="-6"/>
                <w:highlight w:val="yellow"/>
                <w:lang w:eastAsia="uk-UA"/>
              </w:rPr>
              <w:t>Всі строки, які визначені цією тендерною документацією рахуються відповідно до статті 253 Цивільного Кодексу України</w:t>
            </w:r>
            <w:r w:rsidRPr="00B75BDF">
              <w:rPr>
                <w:rFonts w:ascii="Times New Roman" w:eastAsia="Times New Roman" w:hAnsi="Times New Roman" w:cs="Times New Roman"/>
                <w:color w:val="000000"/>
                <w:spacing w:val="-6"/>
                <w:lang w:eastAsia="uk-UA"/>
              </w:rPr>
              <w:t>.</w:t>
            </w:r>
          </w:p>
        </w:tc>
      </w:tr>
      <w:tr w:rsidR="00F6275A" w:rsidRPr="00B75BDF" w14:paraId="1C1328C5"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0AE16D0D" w14:textId="77777777" w:rsidR="00F6275A" w:rsidRPr="005F34A9" w:rsidRDefault="00F6275A" w:rsidP="00C706ED">
            <w:pPr>
              <w:widowControl w:val="0"/>
              <w:spacing w:after="0" w:line="240" w:lineRule="auto"/>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lastRenderedPageBreak/>
              <w:t>5</w:t>
            </w:r>
          </w:p>
        </w:tc>
        <w:tc>
          <w:tcPr>
            <w:tcW w:w="2901" w:type="dxa"/>
            <w:tcBorders>
              <w:top w:val="single" w:sz="4" w:space="0" w:color="auto"/>
              <w:left w:val="single" w:sz="4" w:space="0" w:color="auto"/>
              <w:bottom w:val="single" w:sz="4" w:space="0" w:color="auto"/>
              <w:right w:val="single" w:sz="4" w:space="0" w:color="auto"/>
            </w:tcBorders>
            <w:hideMark/>
          </w:tcPr>
          <w:p w14:paraId="0521499E" w14:textId="56AD0F91"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rPr>
            </w:pPr>
            <w:r w:rsidRPr="005F34A9">
              <w:rPr>
                <w:rFonts w:ascii="Times New Roman" w:eastAsia="Times New Roman" w:hAnsi="Times New Roman" w:cs="Times New Roman"/>
                <w:color w:val="000000"/>
                <w:spacing w:val="-6"/>
                <w:highlight w:val="yellow"/>
              </w:rPr>
              <w:t xml:space="preserve">Кваліфікаційні критерії відповідно до статті 16 Закону, підстави про відмову учаснику процедури закупівлі в участі у відкритих торгах встановлені пунктом </w:t>
            </w:r>
            <w:r w:rsidR="005B3465" w:rsidRPr="005F34A9">
              <w:rPr>
                <w:rFonts w:ascii="Times New Roman" w:eastAsia="Times New Roman" w:hAnsi="Times New Roman" w:cs="Times New Roman"/>
                <w:color w:val="000000"/>
                <w:spacing w:val="-6"/>
                <w:highlight w:val="yellow"/>
              </w:rPr>
              <w:t xml:space="preserve">47 </w:t>
            </w:r>
            <w:r w:rsidRPr="005F34A9">
              <w:rPr>
                <w:rFonts w:ascii="Times New Roman" w:eastAsia="Times New Roman" w:hAnsi="Times New Roman" w:cs="Times New Roman"/>
                <w:color w:val="000000"/>
                <w:spacing w:val="-6"/>
                <w:highlight w:val="yellow"/>
              </w:rPr>
              <w:t>Особливостей, та інформація про спосіб підтвердження відповідності учасників процедури закупівлі установленим критеріям і вимогам згідно із законодавством.</w:t>
            </w:r>
          </w:p>
        </w:tc>
        <w:tc>
          <w:tcPr>
            <w:tcW w:w="7042" w:type="dxa"/>
            <w:tcBorders>
              <w:top w:val="single" w:sz="4" w:space="0" w:color="auto"/>
              <w:left w:val="single" w:sz="4" w:space="0" w:color="auto"/>
              <w:bottom w:val="single" w:sz="4" w:space="0" w:color="auto"/>
              <w:right w:val="single" w:sz="4" w:space="0" w:color="auto"/>
            </w:tcBorders>
            <w:hideMark/>
          </w:tcPr>
          <w:p w14:paraId="6911E739"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Кваліфікаційні критерії, встановлені у відповідності до статті 16 Закону, та інформація про спосіб підтвердження відповідності учасників встановленим вимогам згідно із законодавством, викладено у </w:t>
            </w:r>
            <w:r w:rsidRPr="005F34A9">
              <w:rPr>
                <w:rFonts w:ascii="Times New Roman" w:eastAsia="Times New Roman" w:hAnsi="Times New Roman" w:cs="Times New Roman"/>
                <w:b/>
                <w:color w:val="000000"/>
                <w:spacing w:val="-6"/>
                <w:highlight w:val="yellow"/>
                <w:lang w:eastAsia="uk-UA"/>
              </w:rPr>
              <w:t>Додатку II</w:t>
            </w:r>
            <w:r w:rsidRPr="005F34A9">
              <w:rPr>
                <w:rFonts w:ascii="Times New Roman" w:eastAsia="Times New Roman" w:hAnsi="Times New Roman" w:cs="Times New Roman"/>
                <w:color w:val="000000"/>
                <w:spacing w:val="-6"/>
                <w:highlight w:val="yellow"/>
                <w:lang w:eastAsia="uk-UA"/>
              </w:rPr>
              <w:t xml:space="preserve"> до тендерної документації.</w:t>
            </w:r>
          </w:p>
          <w:p w14:paraId="6EE051B7"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Якщо для закупівлі робіт або послуг замовник встановлює кваліфікаційний критерій такий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своєї відповідності такому критерію залучити спроможності інших суб’єктів господарювання як субпідрядників/співвиконавців.</w:t>
            </w:r>
          </w:p>
          <w:p w14:paraId="5C2B9C00" w14:textId="5682BC3A" w:rsidR="0074320F" w:rsidRPr="005F34A9" w:rsidRDefault="00F6275A" w:rsidP="0074320F">
            <w:pPr>
              <w:spacing w:after="0" w:line="240" w:lineRule="auto"/>
              <w:ind w:firstLine="174"/>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 </w:t>
            </w:r>
          </w:p>
          <w:p w14:paraId="121B5CB4" w14:textId="483B148D" w:rsidR="00F6275A" w:rsidRPr="005F34A9" w:rsidRDefault="00F6275A" w:rsidP="00C706ED">
            <w:pPr>
              <w:spacing w:after="0" w:line="240" w:lineRule="auto"/>
              <w:ind w:firstLine="174"/>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Учасник процедури закупівлі підтверджує відсутність підстав, зазначених в пункті </w:t>
            </w:r>
            <w:r w:rsidR="005B3465" w:rsidRPr="005F34A9">
              <w:rPr>
                <w:rFonts w:ascii="Times New Roman" w:eastAsia="Times New Roman" w:hAnsi="Times New Roman" w:cs="Times New Roman"/>
                <w:color w:val="000000"/>
                <w:spacing w:val="-6"/>
                <w:highlight w:val="yellow"/>
                <w:lang w:eastAsia="uk-UA"/>
              </w:rPr>
              <w:t xml:space="preserve">47 </w:t>
            </w:r>
            <w:r w:rsidRPr="005F34A9">
              <w:rPr>
                <w:rFonts w:ascii="Times New Roman" w:eastAsia="Times New Roman" w:hAnsi="Times New Roman" w:cs="Times New Roman"/>
                <w:color w:val="000000"/>
                <w:spacing w:val="-6"/>
                <w:highlight w:val="yellow"/>
                <w:lang w:eastAsia="uk-UA"/>
              </w:rPr>
              <w:t xml:space="preserve">Особливостей (крім </w:t>
            </w:r>
            <w:r w:rsidR="005B3465" w:rsidRPr="005F34A9">
              <w:rPr>
                <w:rFonts w:ascii="Times New Roman" w:eastAsia="Times New Roman" w:hAnsi="Times New Roman" w:cs="Times New Roman"/>
                <w:color w:val="000000"/>
                <w:spacing w:val="-6"/>
                <w:highlight w:val="yellow"/>
                <w:lang w:eastAsia="uk-UA"/>
              </w:rPr>
              <w:t xml:space="preserve">підпунктів 1 і 7, </w:t>
            </w:r>
            <w:r w:rsidRPr="005F34A9">
              <w:rPr>
                <w:rFonts w:ascii="Times New Roman" w:eastAsia="Times New Roman" w:hAnsi="Times New Roman" w:cs="Times New Roman"/>
                <w:color w:val="000000"/>
                <w:spacing w:val="-6"/>
                <w:highlight w:val="yellow"/>
                <w:lang w:eastAsia="uk-UA"/>
              </w:rPr>
              <w:t>абзацу чотирнадцятого цього пункту), шляхом самостійного декларування відсутності таких підстав в електронній системі закупівель під час подання тендерної пропозиції.</w:t>
            </w:r>
          </w:p>
          <w:p w14:paraId="3EC01F16" w14:textId="4411E07D" w:rsidR="00F6275A" w:rsidRPr="005F34A9" w:rsidRDefault="00F6275A" w:rsidP="00C706ED">
            <w:pPr>
              <w:spacing w:after="0" w:line="240" w:lineRule="auto"/>
              <w:ind w:firstLine="174"/>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пункті 4</w:t>
            </w:r>
            <w:r w:rsidR="005B3465" w:rsidRPr="005F34A9">
              <w:rPr>
                <w:rFonts w:ascii="Times New Roman" w:eastAsia="Times New Roman" w:hAnsi="Times New Roman" w:cs="Times New Roman"/>
                <w:color w:val="000000"/>
                <w:spacing w:val="-6"/>
                <w:highlight w:val="yellow"/>
                <w:lang w:eastAsia="uk-UA"/>
              </w:rPr>
              <w:t>7</w:t>
            </w:r>
            <w:r w:rsidRPr="005F34A9">
              <w:rPr>
                <w:rFonts w:ascii="Times New Roman" w:eastAsia="Times New Roman" w:hAnsi="Times New Roman" w:cs="Times New Roman"/>
                <w:color w:val="000000"/>
                <w:spacing w:val="-6"/>
                <w:highlight w:val="yellow"/>
                <w:lang w:eastAsia="uk-UA"/>
              </w:rPr>
              <w:t xml:space="preserve"> Особливостей (крім абзацу чотирнадцятого цього пункту), крім самостійного декларування відсутності таких підстав учасником процедури закупівлі відповідно до абзацу шістнадцятого пункту 4</w:t>
            </w:r>
            <w:r w:rsidR="005B3465" w:rsidRPr="005F34A9">
              <w:rPr>
                <w:rFonts w:ascii="Times New Roman" w:eastAsia="Times New Roman" w:hAnsi="Times New Roman" w:cs="Times New Roman"/>
                <w:color w:val="000000"/>
                <w:spacing w:val="-6"/>
                <w:highlight w:val="yellow"/>
                <w:lang w:eastAsia="uk-UA"/>
              </w:rPr>
              <w:t>7</w:t>
            </w:r>
            <w:r w:rsidRPr="005F34A9">
              <w:rPr>
                <w:rFonts w:ascii="Times New Roman" w:eastAsia="Times New Roman" w:hAnsi="Times New Roman" w:cs="Times New Roman"/>
                <w:color w:val="000000"/>
                <w:spacing w:val="-6"/>
                <w:highlight w:val="yellow"/>
                <w:lang w:eastAsia="uk-UA"/>
              </w:rPr>
              <w:t xml:space="preserve"> Особливостей.</w:t>
            </w:r>
          </w:p>
          <w:p w14:paraId="117A4E1B" w14:textId="6C5DEFAB" w:rsidR="00F6275A" w:rsidRPr="00B75BDF" w:rsidRDefault="00F6275A" w:rsidP="00C706ED">
            <w:pPr>
              <w:spacing w:after="0" w:line="240" w:lineRule="auto"/>
              <w:ind w:firstLine="174"/>
              <w:jc w:val="both"/>
              <w:rPr>
                <w:rFonts w:ascii="Times New Roman" w:eastAsia="Times New Roman" w:hAnsi="Times New Roman" w:cs="Times New Roman"/>
                <w:color w:val="000000"/>
                <w:spacing w:val="-6"/>
                <w:lang w:eastAsia="uk-UA"/>
              </w:rPr>
            </w:pPr>
            <w:r w:rsidRPr="005F34A9">
              <w:rPr>
                <w:rFonts w:ascii="Times New Roman" w:eastAsia="Times New Roman" w:hAnsi="Times New Roman" w:cs="Times New Roman"/>
                <w:color w:val="000000"/>
                <w:spacing w:val="-6"/>
                <w:highlight w:val="yellow"/>
                <w:lang w:eastAsia="uk-UA"/>
              </w:rPr>
              <w:t xml:space="preserve">Інформацію про спосіб підтвердження відповідності переможця торгів встановлено у </w:t>
            </w:r>
            <w:r w:rsidRPr="005F34A9">
              <w:rPr>
                <w:rFonts w:ascii="Times New Roman" w:eastAsia="Times New Roman" w:hAnsi="Times New Roman" w:cs="Times New Roman"/>
                <w:b/>
                <w:color w:val="000000"/>
                <w:spacing w:val="-6"/>
                <w:highlight w:val="yellow"/>
                <w:lang w:eastAsia="uk-UA"/>
              </w:rPr>
              <w:t>Додатку ІІІ</w:t>
            </w:r>
            <w:r w:rsidRPr="005F34A9">
              <w:rPr>
                <w:rFonts w:ascii="Times New Roman" w:eastAsia="Times New Roman" w:hAnsi="Times New Roman" w:cs="Times New Roman"/>
                <w:color w:val="000000"/>
                <w:spacing w:val="-6"/>
                <w:highlight w:val="yellow"/>
                <w:lang w:eastAsia="uk-UA"/>
              </w:rPr>
              <w:t xml:space="preserve"> до тендерної документації.</w:t>
            </w:r>
            <w:r w:rsidR="00697F16" w:rsidRPr="005F34A9">
              <w:rPr>
                <w:rFonts w:ascii="Times New Roman" w:eastAsia="Times New Roman" w:hAnsi="Times New Roman" w:cs="Times New Roman"/>
                <w:color w:val="000000"/>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на відсутність підстав, визначених пунктом 4</w:t>
            </w:r>
            <w:r w:rsidR="006D2687" w:rsidRPr="005F34A9">
              <w:rPr>
                <w:rFonts w:ascii="Times New Roman" w:eastAsia="Times New Roman" w:hAnsi="Times New Roman" w:cs="Times New Roman"/>
                <w:color w:val="000000"/>
                <w:spacing w:val="-6"/>
                <w:highlight w:val="yellow"/>
                <w:lang w:eastAsia="uk-UA"/>
              </w:rPr>
              <w:t>7</w:t>
            </w:r>
            <w:r w:rsidRPr="005F34A9">
              <w:rPr>
                <w:rFonts w:ascii="Times New Roman" w:eastAsia="Times New Roman" w:hAnsi="Times New Roman" w:cs="Times New Roman"/>
                <w:color w:val="000000"/>
                <w:spacing w:val="-6"/>
                <w:highlight w:val="yellow"/>
                <w:lang w:eastAsia="uk-UA"/>
              </w:rPr>
              <w:t xml:space="preserve"> Особливостей.</w:t>
            </w:r>
          </w:p>
        </w:tc>
      </w:tr>
      <w:tr w:rsidR="00F6275A" w:rsidRPr="00B75BDF" w14:paraId="26FB9489"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260FC192"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6</w:t>
            </w:r>
          </w:p>
        </w:tc>
        <w:tc>
          <w:tcPr>
            <w:tcW w:w="2901" w:type="dxa"/>
            <w:tcBorders>
              <w:top w:val="single" w:sz="4" w:space="0" w:color="auto"/>
              <w:left w:val="single" w:sz="4" w:space="0" w:color="auto"/>
              <w:bottom w:val="single" w:sz="4" w:space="0" w:color="auto"/>
              <w:right w:val="single" w:sz="4" w:space="0" w:color="auto"/>
            </w:tcBorders>
            <w:hideMark/>
          </w:tcPr>
          <w:p w14:paraId="4581B3C3"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Інформація про необхідні технічні, якісні та кількісні характеристики предмета закупівлі, у тому числі відповідна технічна специфікація (у разі потреби - плани, креслення, малюнки чи опис предмета закупівлі)</w:t>
            </w:r>
          </w:p>
        </w:tc>
        <w:tc>
          <w:tcPr>
            <w:tcW w:w="7042" w:type="dxa"/>
            <w:tcBorders>
              <w:top w:val="single" w:sz="4" w:space="0" w:color="auto"/>
              <w:left w:val="single" w:sz="4" w:space="0" w:color="auto"/>
              <w:bottom w:val="single" w:sz="4" w:space="0" w:color="auto"/>
              <w:right w:val="single" w:sz="4" w:space="0" w:color="auto"/>
            </w:tcBorders>
            <w:hideMark/>
          </w:tcPr>
          <w:p w14:paraId="1BDA22BF"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Учасники процедури закупівлі повинні надати у складі тендерних пропозицій інформацію та документи, які підтверджують відповідність тендерної пропозиції учасника технічним, якісним, кількісним та іншим характеристикам та вимогам до предмета закупівлі, установленим замовником (згідно </w:t>
            </w:r>
            <w:r w:rsidRPr="005F34A9">
              <w:rPr>
                <w:rFonts w:ascii="Times New Roman" w:eastAsia="Times New Roman" w:hAnsi="Times New Roman" w:cs="Times New Roman"/>
                <w:b/>
                <w:color w:val="000000"/>
                <w:spacing w:val="-6"/>
                <w:highlight w:val="yellow"/>
                <w:lang w:eastAsia="uk-UA"/>
              </w:rPr>
              <w:t>Додатку І</w:t>
            </w:r>
            <w:r w:rsidRPr="005F34A9">
              <w:rPr>
                <w:rFonts w:ascii="Times New Roman" w:eastAsia="Times New Roman" w:hAnsi="Times New Roman" w:cs="Times New Roman"/>
                <w:color w:val="000000"/>
                <w:spacing w:val="-6"/>
                <w:highlight w:val="yellow"/>
                <w:lang w:eastAsia="uk-UA"/>
              </w:rPr>
              <w:t xml:space="preserve"> до тендерної документації).</w:t>
            </w:r>
          </w:p>
          <w:p w14:paraId="1A73CA3D"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Технічні, якісні характеристики предмета закупівлі та технічні специфікації до предмета закупівлі визначені замовником з урахуванням вимог, визначених частиною четвертою статті 5 Закону.</w:t>
            </w:r>
          </w:p>
          <w:p w14:paraId="67223942"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i/>
                <w:color w:val="000000"/>
                <w:spacing w:val="-6"/>
                <w:highlight w:val="yellow"/>
                <w:lang w:eastAsia="uk-UA"/>
              </w:rPr>
            </w:pPr>
            <w:r w:rsidRPr="005F34A9">
              <w:rPr>
                <w:rFonts w:ascii="Times New Roman" w:eastAsia="Times New Roman" w:hAnsi="Times New Roman" w:cs="Times New Roman"/>
                <w:i/>
                <w:color w:val="000000"/>
                <w:spacing w:val="-6"/>
                <w:highlight w:val="yellow"/>
                <w:lang w:eastAsia="uk-UA"/>
              </w:rPr>
              <w:t>У цій документації всі посилання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вживаються у значенні «…. «або еквівалент»».</w:t>
            </w:r>
          </w:p>
        </w:tc>
      </w:tr>
      <w:tr w:rsidR="00F6275A" w:rsidRPr="00B75BDF" w14:paraId="2029B661"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tcPr>
          <w:p w14:paraId="1C7E1367"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lastRenderedPageBreak/>
              <w:t>7</w:t>
            </w:r>
          </w:p>
        </w:tc>
        <w:tc>
          <w:tcPr>
            <w:tcW w:w="2901" w:type="dxa"/>
            <w:tcBorders>
              <w:top w:val="single" w:sz="4" w:space="0" w:color="auto"/>
              <w:left w:val="single" w:sz="4" w:space="0" w:color="auto"/>
              <w:bottom w:val="single" w:sz="4" w:space="0" w:color="auto"/>
              <w:right w:val="single" w:sz="4" w:space="0" w:color="auto"/>
            </w:tcBorders>
          </w:tcPr>
          <w:p w14:paraId="2BBB22C5" w14:textId="77777777" w:rsidR="00F6275A" w:rsidRPr="005F34A9" w:rsidRDefault="00F6275A" w:rsidP="00C706ED">
            <w:pPr>
              <w:widowControl w:val="0"/>
              <w:spacing w:after="0" w:line="240" w:lineRule="auto"/>
              <w:ind w:right="-59"/>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Інформація про маркування, протоколи випробувань або сертифікати, що підтверджують відповідність предмета закупівлі встановленим замовником вимогам (у разі потреби)</w:t>
            </w:r>
          </w:p>
        </w:tc>
        <w:tc>
          <w:tcPr>
            <w:tcW w:w="7042" w:type="dxa"/>
            <w:tcBorders>
              <w:top w:val="single" w:sz="4" w:space="0" w:color="auto"/>
              <w:left w:val="single" w:sz="4" w:space="0" w:color="auto"/>
              <w:bottom w:val="single" w:sz="4" w:space="0" w:color="auto"/>
              <w:right w:val="single" w:sz="4" w:space="0" w:color="auto"/>
            </w:tcBorders>
          </w:tcPr>
          <w:p w14:paraId="4531BCED"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Згідно </w:t>
            </w:r>
            <w:r w:rsidRPr="005F34A9">
              <w:rPr>
                <w:rFonts w:ascii="Times New Roman" w:eastAsia="Times New Roman" w:hAnsi="Times New Roman" w:cs="Times New Roman"/>
                <w:b/>
                <w:color w:val="000000"/>
                <w:spacing w:val="-6"/>
                <w:highlight w:val="yellow"/>
                <w:lang w:eastAsia="uk-UA"/>
              </w:rPr>
              <w:t>Додатку І та Додатку ІІ</w:t>
            </w:r>
            <w:r w:rsidRPr="005F34A9">
              <w:rPr>
                <w:rFonts w:ascii="Times New Roman" w:eastAsia="Times New Roman" w:hAnsi="Times New Roman" w:cs="Times New Roman"/>
                <w:color w:val="000000"/>
                <w:spacing w:val="-6"/>
                <w:highlight w:val="yellow"/>
                <w:lang w:eastAsia="uk-UA"/>
              </w:rPr>
              <w:t xml:space="preserve"> до тендерної документації (у разі потреби).</w:t>
            </w:r>
          </w:p>
        </w:tc>
      </w:tr>
      <w:tr w:rsidR="00F6275A" w:rsidRPr="00B75BDF" w14:paraId="280622C3"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7B465863"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8</w:t>
            </w:r>
          </w:p>
        </w:tc>
        <w:tc>
          <w:tcPr>
            <w:tcW w:w="2901" w:type="dxa"/>
            <w:tcBorders>
              <w:top w:val="single" w:sz="4" w:space="0" w:color="auto"/>
              <w:left w:val="single" w:sz="4" w:space="0" w:color="auto"/>
              <w:bottom w:val="single" w:sz="4" w:space="0" w:color="auto"/>
              <w:right w:val="single" w:sz="4" w:space="0" w:color="auto"/>
            </w:tcBorders>
            <w:hideMark/>
          </w:tcPr>
          <w:p w14:paraId="54B9D429"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Інформація про субпідрядника/ співвиконавця (у випадку закупівлі робіт чи послуг)</w:t>
            </w:r>
          </w:p>
        </w:tc>
        <w:tc>
          <w:tcPr>
            <w:tcW w:w="7042" w:type="dxa"/>
            <w:tcBorders>
              <w:top w:val="single" w:sz="4" w:space="0" w:color="auto"/>
              <w:left w:val="single" w:sz="4" w:space="0" w:color="auto"/>
              <w:bottom w:val="single" w:sz="4" w:space="0" w:color="auto"/>
              <w:right w:val="single" w:sz="4" w:space="0" w:color="auto"/>
            </w:tcBorders>
            <w:hideMark/>
          </w:tcPr>
          <w:p w14:paraId="780D0F05"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Умови надання інформації викладено у </w:t>
            </w:r>
            <w:r w:rsidRPr="005F34A9">
              <w:rPr>
                <w:rFonts w:ascii="Times New Roman" w:eastAsia="Times New Roman" w:hAnsi="Times New Roman" w:cs="Times New Roman"/>
                <w:b/>
                <w:color w:val="000000"/>
                <w:spacing w:val="-6"/>
                <w:highlight w:val="yellow"/>
                <w:lang w:eastAsia="uk-UA"/>
              </w:rPr>
              <w:t>Додатку II</w:t>
            </w:r>
            <w:r w:rsidRPr="005F34A9">
              <w:rPr>
                <w:rFonts w:ascii="Times New Roman" w:eastAsia="Times New Roman" w:hAnsi="Times New Roman" w:cs="Times New Roman"/>
                <w:color w:val="000000"/>
                <w:spacing w:val="-6"/>
                <w:highlight w:val="yellow"/>
                <w:lang w:eastAsia="uk-UA"/>
              </w:rPr>
              <w:t xml:space="preserve"> до тендерної документації.</w:t>
            </w:r>
          </w:p>
        </w:tc>
      </w:tr>
      <w:tr w:rsidR="00F6275A" w:rsidRPr="00B75BDF" w14:paraId="1989D4AD"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0E7054B5"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9</w:t>
            </w:r>
          </w:p>
        </w:tc>
        <w:tc>
          <w:tcPr>
            <w:tcW w:w="2901" w:type="dxa"/>
            <w:tcBorders>
              <w:top w:val="single" w:sz="4" w:space="0" w:color="auto"/>
              <w:left w:val="single" w:sz="4" w:space="0" w:color="auto"/>
              <w:bottom w:val="single" w:sz="4" w:space="0" w:color="auto"/>
              <w:right w:val="single" w:sz="4" w:space="0" w:color="auto"/>
            </w:tcBorders>
            <w:hideMark/>
          </w:tcPr>
          <w:p w14:paraId="066E4A45"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Унесення змін або відкликання тендерної пропозиції учасником</w:t>
            </w:r>
          </w:p>
        </w:tc>
        <w:tc>
          <w:tcPr>
            <w:tcW w:w="7042" w:type="dxa"/>
            <w:tcBorders>
              <w:top w:val="single" w:sz="4" w:space="0" w:color="auto"/>
              <w:left w:val="single" w:sz="4" w:space="0" w:color="auto"/>
              <w:bottom w:val="single" w:sz="4" w:space="0" w:color="auto"/>
              <w:right w:val="single" w:sz="4" w:space="0" w:color="auto"/>
            </w:tcBorders>
            <w:hideMark/>
          </w:tcPr>
          <w:p w14:paraId="5023FA7A"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(у разі якщо таке забезпечення вимагається замовником). </w:t>
            </w:r>
          </w:p>
          <w:p w14:paraId="0F4D0A1E"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F6275A" w:rsidRPr="00B75BDF" w14:paraId="3190D3D0" w14:textId="77777777" w:rsidTr="00C706ED">
        <w:trPr>
          <w:trHeight w:val="227"/>
          <w:jc w:val="center"/>
        </w:trPr>
        <w:tc>
          <w:tcPr>
            <w:tcW w:w="10485" w:type="dxa"/>
            <w:gridSpan w:val="3"/>
            <w:tcBorders>
              <w:top w:val="single" w:sz="4" w:space="0" w:color="auto"/>
              <w:left w:val="single" w:sz="4" w:space="0" w:color="auto"/>
              <w:bottom w:val="single" w:sz="4" w:space="0" w:color="auto"/>
              <w:right w:val="single" w:sz="4" w:space="0" w:color="auto"/>
            </w:tcBorders>
            <w:hideMark/>
          </w:tcPr>
          <w:p w14:paraId="57B0B807" w14:textId="77777777" w:rsidR="00F6275A" w:rsidRPr="005F34A9" w:rsidRDefault="00F6275A" w:rsidP="00C706ED">
            <w:pPr>
              <w:widowControl w:val="0"/>
              <w:spacing w:after="0" w:line="240" w:lineRule="auto"/>
              <w:ind w:left="34" w:right="113" w:hanging="23"/>
              <w:contextualSpacing/>
              <w:jc w:val="center"/>
              <w:rPr>
                <w:rFonts w:ascii="Times New Roman" w:eastAsia="Times New Roman" w:hAnsi="Times New Roman" w:cs="Times New Roman"/>
                <w:b/>
                <w:color w:val="000000"/>
                <w:spacing w:val="-6"/>
                <w:highlight w:val="yellow"/>
              </w:rPr>
            </w:pPr>
            <w:r w:rsidRPr="005F34A9">
              <w:rPr>
                <w:rFonts w:ascii="Times New Roman" w:eastAsia="Times New Roman" w:hAnsi="Times New Roman" w:cs="Times New Roman"/>
                <w:b/>
                <w:color w:val="000000"/>
                <w:spacing w:val="-6"/>
                <w:highlight w:val="yellow"/>
                <w:bdr w:val="none" w:sz="0" w:space="0" w:color="auto" w:frame="1"/>
                <w:lang w:eastAsia="uk-UA"/>
              </w:rPr>
              <w:t xml:space="preserve">Розділ ІV. </w:t>
            </w:r>
            <w:r w:rsidRPr="005F34A9">
              <w:rPr>
                <w:rFonts w:ascii="Times New Roman" w:eastAsia="Times New Roman" w:hAnsi="Times New Roman" w:cs="Times New Roman"/>
                <w:b/>
                <w:color w:val="000000"/>
                <w:spacing w:val="-6"/>
                <w:highlight w:val="yellow"/>
              </w:rPr>
              <w:t>Подання та розкриття тендерної пропозиції</w:t>
            </w:r>
          </w:p>
        </w:tc>
      </w:tr>
      <w:tr w:rsidR="00F6275A" w:rsidRPr="00B75BDF" w14:paraId="54133974"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1C1AA24A"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1</w:t>
            </w:r>
          </w:p>
        </w:tc>
        <w:tc>
          <w:tcPr>
            <w:tcW w:w="2901" w:type="dxa"/>
            <w:tcBorders>
              <w:top w:val="single" w:sz="4" w:space="0" w:color="auto"/>
              <w:left w:val="single" w:sz="4" w:space="0" w:color="auto"/>
              <w:bottom w:val="single" w:sz="4" w:space="0" w:color="auto"/>
              <w:right w:val="single" w:sz="4" w:space="0" w:color="auto"/>
            </w:tcBorders>
            <w:hideMark/>
          </w:tcPr>
          <w:p w14:paraId="44D0AE8D" w14:textId="77777777" w:rsidR="00F6275A" w:rsidRPr="005F34A9" w:rsidRDefault="00F6275A" w:rsidP="00C706ED">
            <w:pPr>
              <w:widowControl w:val="0"/>
              <w:spacing w:after="0" w:line="240" w:lineRule="auto"/>
              <w:ind w:right="113"/>
              <w:contextualSpacing/>
              <w:rPr>
                <w:rFonts w:ascii="Times New Roman" w:eastAsia="Calibri" w:hAnsi="Times New Roman" w:cs="Times New Roman"/>
                <w:color w:val="000000"/>
                <w:spacing w:val="-6"/>
                <w:highlight w:val="yellow"/>
                <w:lang w:eastAsia="uk-UA"/>
              </w:rPr>
            </w:pPr>
            <w:r w:rsidRPr="005F34A9">
              <w:rPr>
                <w:rFonts w:ascii="Times New Roman" w:eastAsia="Calibri" w:hAnsi="Times New Roman" w:cs="Times New Roman"/>
                <w:color w:val="000000"/>
                <w:spacing w:val="-6"/>
                <w:highlight w:val="yellow"/>
              </w:rPr>
              <w:t>Кінцевий строк подання тендерної пропозиції</w:t>
            </w:r>
          </w:p>
        </w:tc>
        <w:tc>
          <w:tcPr>
            <w:tcW w:w="7042" w:type="dxa"/>
            <w:tcBorders>
              <w:top w:val="single" w:sz="4" w:space="0" w:color="auto"/>
              <w:left w:val="single" w:sz="4" w:space="0" w:color="auto"/>
              <w:bottom w:val="single" w:sz="4" w:space="0" w:color="auto"/>
              <w:right w:val="single" w:sz="4" w:space="0" w:color="auto"/>
            </w:tcBorders>
            <w:hideMark/>
          </w:tcPr>
          <w:p w14:paraId="14C51D82"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Кінцевий строк подання тендерних пропозицій зазначено в пункті 10 зведеної інформації про закупівлю.</w:t>
            </w:r>
          </w:p>
          <w:p w14:paraId="6909C63C"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Отримана тендерна пропозиція вноситься автоматично до реєстру отриманих тендерних пропозицій, у якому відображається інформація про надані тендерні пропозиції.</w:t>
            </w:r>
          </w:p>
          <w:p w14:paraId="3706ECF9"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Електронна система закупівель автоматично формує та надсилає повідомлення учаснику про отримання його пропозиції із зазначенням дати та часу.</w:t>
            </w:r>
          </w:p>
          <w:p w14:paraId="1FBDEBFE"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Тендерні пропозиції після закінчення кінцевого строку їх подання не приймаються електронною системою закупівель.</w:t>
            </w:r>
          </w:p>
        </w:tc>
      </w:tr>
      <w:tr w:rsidR="00F6275A" w:rsidRPr="00B75BDF" w14:paraId="074DE1C2"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008FEA3E"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2</w:t>
            </w:r>
          </w:p>
        </w:tc>
        <w:tc>
          <w:tcPr>
            <w:tcW w:w="2901" w:type="dxa"/>
            <w:tcBorders>
              <w:top w:val="single" w:sz="4" w:space="0" w:color="auto"/>
              <w:left w:val="single" w:sz="4" w:space="0" w:color="auto"/>
              <w:bottom w:val="single" w:sz="4" w:space="0" w:color="auto"/>
              <w:right w:val="single" w:sz="4" w:space="0" w:color="auto"/>
            </w:tcBorders>
            <w:hideMark/>
          </w:tcPr>
          <w:p w14:paraId="2C19EA7F"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rPr>
            </w:pPr>
            <w:r w:rsidRPr="005F34A9">
              <w:rPr>
                <w:rFonts w:ascii="Times New Roman" w:eastAsia="Times New Roman" w:hAnsi="Times New Roman" w:cs="Times New Roman"/>
                <w:color w:val="000000"/>
                <w:spacing w:val="-6"/>
                <w:highlight w:val="yellow"/>
              </w:rPr>
              <w:t>Дата та час розкриття тендерної пропозиції</w:t>
            </w:r>
          </w:p>
        </w:tc>
        <w:tc>
          <w:tcPr>
            <w:tcW w:w="7042" w:type="dxa"/>
            <w:tcBorders>
              <w:top w:val="single" w:sz="4" w:space="0" w:color="auto"/>
              <w:left w:val="single" w:sz="4" w:space="0" w:color="auto"/>
              <w:bottom w:val="single" w:sz="4" w:space="0" w:color="auto"/>
              <w:right w:val="single" w:sz="4" w:space="0" w:color="auto"/>
            </w:tcBorders>
            <w:hideMark/>
          </w:tcPr>
          <w:p w14:paraId="7945D6C9" w14:textId="585136AA" w:rsidR="006E4C60" w:rsidRPr="005F34A9" w:rsidRDefault="00F6275A" w:rsidP="00EE74CA">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Дата і час розкриття тендерних пропозицій</w:t>
            </w:r>
            <w:r w:rsidR="00EE74CA" w:rsidRPr="005F34A9">
              <w:rPr>
                <w:rFonts w:ascii="Times New Roman" w:eastAsia="Times New Roman" w:hAnsi="Times New Roman" w:cs="Times New Roman"/>
                <w:color w:val="000000"/>
                <w:spacing w:val="-6"/>
                <w:highlight w:val="yellow"/>
                <w:lang w:eastAsia="uk-UA"/>
              </w:rPr>
              <w:t>, дата і час проведення електронного аукціону</w:t>
            </w:r>
            <w:r w:rsidRPr="005F34A9">
              <w:rPr>
                <w:rFonts w:ascii="Times New Roman" w:eastAsia="Times New Roman" w:hAnsi="Times New Roman" w:cs="Times New Roman"/>
                <w:color w:val="000000"/>
                <w:spacing w:val="-6"/>
                <w:highlight w:val="yellow"/>
                <w:lang w:eastAsia="uk-UA"/>
              </w:rPr>
              <w:t xml:space="preserve">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w:t>
            </w:r>
          </w:p>
        </w:tc>
      </w:tr>
      <w:tr w:rsidR="00F6275A" w:rsidRPr="00B75BDF" w14:paraId="2FF82281"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tcPr>
          <w:p w14:paraId="51DA8D97"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3</w:t>
            </w:r>
          </w:p>
        </w:tc>
        <w:tc>
          <w:tcPr>
            <w:tcW w:w="2901" w:type="dxa"/>
            <w:tcBorders>
              <w:top w:val="single" w:sz="4" w:space="0" w:color="auto"/>
              <w:left w:val="single" w:sz="4" w:space="0" w:color="auto"/>
              <w:bottom w:val="single" w:sz="4" w:space="0" w:color="auto"/>
              <w:right w:val="single" w:sz="4" w:space="0" w:color="auto"/>
            </w:tcBorders>
          </w:tcPr>
          <w:p w14:paraId="4876C9F3" w14:textId="77777777" w:rsidR="00F6275A" w:rsidRPr="00B75BDF" w:rsidRDefault="00F6275A" w:rsidP="00C706ED">
            <w:pPr>
              <w:widowControl w:val="0"/>
              <w:spacing w:after="0" w:line="240" w:lineRule="auto"/>
              <w:ind w:right="113"/>
              <w:contextualSpacing/>
              <w:rPr>
                <w:rFonts w:ascii="Times New Roman" w:eastAsia="Times New Roman" w:hAnsi="Times New Roman" w:cs="Times New Roman"/>
                <w:spacing w:val="-6"/>
              </w:rPr>
            </w:pPr>
            <w:r w:rsidRPr="00B75BDF">
              <w:rPr>
                <w:rFonts w:ascii="Times New Roman" w:eastAsia="Times New Roman" w:hAnsi="Times New Roman" w:cs="Times New Roman"/>
                <w:spacing w:val="-6"/>
              </w:rPr>
              <w:t>Розкриття тендерної пропозиції</w:t>
            </w:r>
          </w:p>
        </w:tc>
        <w:tc>
          <w:tcPr>
            <w:tcW w:w="7042" w:type="dxa"/>
            <w:tcBorders>
              <w:top w:val="single" w:sz="4" w:space="0" w:color="auto"/>
              <w:left w:val="single" w:sz="4" w:space="0" w:color="auto"/>
              <w:bottom w:val="single" w:sz="4" w:space="0" w:color="auto"/>
              <w:right w:val="single" w:sz="4" w:space="0" w:color="auto"/>
            </w:tcBorders>
          </w:tcPr>
          <w:p w14:paraId="58ED1A5A" w14:textId="6AC05400" w:rsidR="009F360C" w:rsidRDefault="00F6275A" w:rsidP="00C706ED">
            <w:pPr>
              <w:widowControl w:val="0"/>
              <w:spacing w:after="0" w:line="240" w:lineRule="auto"/>
              <w:ind w:firstLine="176"/>
              <w:contextualSpacing/>
              <w:jc w:val="both"/>
              <w:rPr>
                <w:rFonts w:ascii="Times New Roman" w:eastAsia="Times New Roman" w:hAnsi="Times New Roman" w:cs="Times New Roman"/>
                <w:spacing w:val="-6"/>
                <w:lang w:eastAsia="uk-UA"/>
              </w:rPr>
            </w:pPr>
            <w:r w:rsidRPr="005F34A9">
              <w:rPr>
                <w:rFonts w:ascii="Times New Roman" w:eastAsia="Times New Roman" w:hAnsi="Times New Roman" w:cs="Times New Roman"/>
                <w:spacing w:val="-6"/>
                <w:highlight w:val="yellow"/>
                <w:lang w:eastAsia="uk-UA"/>
              </w:rPr>
              <w:t>У відповідності до пункту 3</w:t>
            </w:r>
            <w:r w:rsidR="009F360C" w:rsidRPr="005F34A9">
              <w:rPr>
                <w:rFonts w:ascii="Times New Roman" w:eastAsia="Times New Roman" w:hAnsi="Times New Roman" w:cs="Times New Roman"/>
                <w:spacing w:val="-6"/>
                <w:highlight w:val="yellow"/>
                <w:lang w:eastAsia="uk-UA"/>
              </w:rPr>
              <w:t>9</w:t>
            </w:r>
            <w:r w:rsidRPr="005F34A9">
              <w:rPr>
                <w:rFonts w:ascii="Times New Roman" w:eastAsia="Times New Roman" w:hAnsi="Times New Roman" w:cs="Times New Roman"/>
                <w:spacing w:val="-6"/>
                <w:highlight w:val="yellow"/>
                <w:lang w:eastAsia="uk-UA"/>
              </w:rPr>
              <w:t xml:space="preserve"> Особливостей </w:t>
            </w:r>
            <w:r w:rsidR="009F360C" w:rsidRPr="005F34A9">
              <w:rPr>
                <w:rFonts w:ascii="Times New Roman" w:eastAsia="Times New Roman" w:hAnsi="Times New Roman" w:cs="Times New Roman"/>
                <w:spacing w:val="-6"/>
                <w:highlight w:val="yellow"/>
                <w:lang w:eastAsia="uk-UA"/>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14:paraId="0ACF5234" w14:textId="54CAAC45" w:rsidR="009F56C5" w:rsidRPr="005F34A9" w:rsidRDefault="009F56C5" w:rsidP="009F56C5">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Розкриття тендерних пропозицій з інформацією та документами, що підтверджують відповідність учасника кваліфікаційним критеріям та вимогам до предмета закупівлі, а також з інформацією та документами, що містять технічний опис предмета закупівлі, здійснюється автоматично електронною системою закупівель одразу після завершення електронного аукціону.</w:t>
            </w:r>
          </w:p>
          <w:p w14:paraId="6872E469" w14:textId="09DA33DA" w:rsidR="009F56C5" w:rsidRPr="005F34A9" w:rsidRDefault="009F56C5" w:rsidP="009F56C5">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Під час розкриття тендерних пропозицій автоматично розкривається вся інформація, зазначена в тендерних пропозиціях учасників, крім інформації, що обґрунтовано визначена учасником конфіденційною, та формується список учасників у порядку від найнижчої до найвищої запропонованої ними ціни/приведеної ціни. </w:t>
            </w:r>
          </w:p>
          <w:p w14:paraId="49AD5F59" w14:textId="76C31E25" w:rsidR="006E4C60" w:rsidRPr="005F34A9" w:rsidRDefault="006E4C60"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w:t>
            </w:r>
            <w:hyperlink r:id="rId12" w:anchor="n584" w:history="1">
              <w:r w:rsidRPr="005F34A9">
                <w:rPr>
                  <w:rFonts w:ascii="Times New Roman" w:eastAsia="Times New Roman" w:hAnsi="Times New Roman" w:cs="Times New Roman"/>
                  <w:color w:val="000000"/>
                  <w:spacing w:val="-6"/>
                  <w:highlight w:val="yellow"/>
                  <w:lang w:eastAsia="uk-UA"/>
                </w:rPr>
                <w:t>пунктом 40</w:t>
              </w:r>
            </w:hyperlink>
            <w:r w:rsidRPr="005F34A9">
              <w:rPr>
                <w:rFonts w:ascii="Times New Roman" w:eastAsia="Times New Roman" w:hAnsi="Times New Roman" w:cs="Times New Roman"/>
                <w:color w:val="000000"/>
                <w:spacing w:val="-6"/>
                <w:highlight w:val="yellow"/>
                <w:lang w:eastAsia="uk-UA"/>
              </w:rPr>
              <w:t>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w:t>
            </w:r>
            <w:r w:rsidR="00697F16" w:rsidRPr="005F34A9">
              <w:rPr>
                <w:rFonts w:ascii="Times New Roman" w:eastAsia="Times New Roman" w:hAnsi="Times New Roman" w:cs="Times New Roman"/>
                <w:color w:val="000000"/>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t>та оприлюднюється відповідно</w:t>
            </w:r>
            <w:r w:rsidR="00697F16" w:rsidRPr="005F34A9">
              <w:rPr>
                <w:rFonts w:ascii="Times New Roman" w:eastAsia="Times New Roman" w:hAnsi="Times New Roman" w:cs="Times New Roman"/>
                <w:color w:val="000000"/>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t>до</w:t>
            </w:r>
            <w:r w:rsidR="00697F16" w:rsidRPr="005F34A9">
              <w:rPr>
                <w:rFonts w:ascii="Times New Roman" w:eastAsia="Times New Roman" w:hAnsi="Times New Roman" w:cs="Times New Roman"/>
                <w:color w:val="000000"/>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t>частин</w:t>
            </w:r>
            <w:r w:rsidR="00697F16" w:rsidRPr="005F34A9">
              <w:rPr>
                <w:rFonts w:ascii="Times New Roman" w:eastAsia="Times New Roman" w:hAnsi="Times New Roman" w:cs="Times New Roman"/>
                <w:color w:val="000000"/>
                <w:spacing w:val="-6"/>
                <w:highlight w:val="yellow"/>
                <w:lang w:eastAsia="uk-UA"/>
              </w:rPr>
              <w:t xml:space="preserve"> </w:t>
            </w:r>
            <w:hyperlink r:id="rId13" w:anchor="n1499" w:tgtFrame="_blank" w:history="1">
              <w:r w:rsidRPr="005F34A9">
                <w:rPr>
                  <w:rFonts w:ascii="Times New Roman" w:eastAsia="Times New Roman" w:hAnsi="Times New Roman" w:cs="Times New Roman"/>
                  <w:color w:val="000000"/>
                  <w:spacing w:val="-6"/>
                  <w:highlight w:val="yellow"/>
                  <w:lang w:eastAsia="uk-UA"/>
                </w:rPr>
                <w:t>третьої</w:t>
              </w:r>
            </w:hyperlink>
            <w:r w:rsidR="00697F16" w:rsidRPr="005F34A9">
              <w:rPr>
                <w:rFonts w:ascii="Times New Roman" w:eastAsia="Times New Roman" w:hAnsi="Times New Roman" w:cs="Times New Roman"/>
                <w:color w:val="000000"/>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t>та</w:t>
            </w:r>
            <w:r w:rsidR="00697F16" w:rsidRPr="005F34A9">
              <w:rPr>
                <w:rFonts w:ascii="Times New Roman" w:eastAsia="Times New Roman" w:hAnsi="Times New Roman" w:cs="Times New Roman"/>
                <w:color w:val="000000"/>
                <w:spacing w:val="-6"/>
                <w:highlight w:val="yellow"/>
                <w:lang w:eastAsia="uk-UA"/>
              </w:rPr>
              <w:t xml:space="preserve"> </w:t>
            </w:r>
            <w:hyperlink r:id="rId14" w:anchor="n1500" w:tgtFrame="_blank" w:history="1">
              <w:r w:rsidRPr="005F34A9">
                <w:rPr>
                  <w:rFonts w:ascii="Times New Roman" w:eastAsia="Times New Roman" w:hAnsi="Times New Roman" w:cs="Times New Roman"/>
                  <w:color w:val="000000"/>
                  <w:spacing w:val="-6"/>
                  <w:highlight w:val="yellow"/>
                  <w:lang w:eastAsia="uk-UA"/>
                </w:rPr>
                <w:t>четвертої</w:t>
              </w:r>
            </w:hyperlink>
            <w:r w:rsidR="00697F16" w:rsidRPr="005F34A9">
              <w:rPr>
                <w:rFonts w:ascii="Times New Roman" w:eastAsia="Times New Roman" w:hAnsi="Times New Roman" w:cs="Times New Roman"/>
                <w:color w:val="000000"/>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lastRenderedPageBreak/>
              <w:t>статті</w:t>
            </w:r>
            <w:r w:rsidR="00697F16" w:rsidRPr="005F34A9">
              <w:rPr>
                <w:rFonts w:ascii="Times New Roman" w:eastAsia="Times New Roman" w:hAnsi="Times New Roman" w:cs="Times New Roman"/>
                <w:color w:val="000000"/>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t>28 Закону.</w:t>
            </w:r>
          </w:p>
          <w:p w14:paraId="5930E728"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w:t>
            </w:r>
          </w:p>
          <w:p w14:paraId="4420DA4C" w14:textId="431CC95B"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w:t>
            </w:r>
            <w:r w:rsidR="00323539" w:rsidRPr="005F34A9">
              <w:rPr>
                <w:rFonts w:ascii="Times New Roman" w:eastAsia="Times New Roman" w:hAnsi="Times New Roman" w:cs="Times New Roman"/>
                <w:spacing w:val="-6"/>
                <w:highlight w:val="yellow"/>
                <w:lang w:eastAsia="uk-UA"/>
              </w:rPr>
              <w:t>7</w:t>
            </w:r>
            <w:r w:rsidRPr="005F34A9">
              <w:rPr>
                <w:rFonts w:ascii="Times New Roman" w:eastAsia="Times New Roman" w:hAnsi="Times New Roman" w:cs="Times New Roman"/>
                <w:spacing w:val="-6"/>
                <w:highlight w:val="yellow"/>
                <w:lang w:eastAsia="uk-UA"/>
              </w:rPr>
              <w:t xml:space="preserve"> Особливостей. </w:t>
            </w:r>
          </w:p>
          <w:p w14:paraId="3B637D9C" w14:textId="1A9CC90F"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У разі визначення учасником конфіденційною інформацію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w:t>
            </w:r>
            <w:r w:rsidR="00323539" w:rsidRPr="005F34A9">
              <w:rPr>
                <w:rFonts w:ascii="Times New Roman" w:eastAsia="Times New Roman" w:hAnsi="Times New Roman" w:cs="Times New Roman"/>
                <w:spacing w:val="-6"/>
                <w:highlight w:val="yellow"/>
                <w:lang w:eastAsia="uk-UA"/>
              </w:rPr>
              <w:t>7</w:t>
            </w:r>
            <w:r w:rsidRPr="005F34A9">
              <w:rPr>
                <w:rFonts w:ascii="Times New Roman" w:eastAsia="Times New Roman" w:hAnsi="Times New Roman" w:cs="Times New Roman"/>
                <w:spacing w:val="-6"/>
                <w:highlight w:val="yellow"/>
                <w:lang w:eastAsia="uk-UA"/>
              </w:rPr>
              <w:t xml:space="preserve"> Особливостей тендерна пропозиція такого учасника відхиляється у відповідності до абзацу </w:t>
            </w:r>
            <w:r w:rsidR="00323539" w:rsidRPr="005F34A9">
              <w:rPr>
                <w:rFonts w:ascii="Times New Roman" w:eastAsia="Times New Roman" w:hAnsi="Times New Roman" w:cs="Times New Roman"/>
                <w:spacing w:val="-6"/>
                <w:highlight w:val="yellow"/>
                <w:lang w:eastAsia="uk-UA"/>
              </w:rPr>
              <w:t xml:space="preserve">сьомого </w:t>
            </w:r>
            <w:r w:rsidRPr="005F34A9">
              <w:rPr>
                <w:rFonts w:ascii="Times New Roman" w:eastAsia="Times New Roman" w:hAnsi="Times New Roman" w:cs="Times New Roman"/>
                <w:spacing w:val="-6"/>
                <w:highlight w:val="yellow"/>
                <w:lang w:eastAsia="uk-UA"/>
              </w:rPr>
              <w:t>підпункту 1 пункту 4</w:t>
            </w:r>
            <w:r w:rsidR="00323539" w:rsidRPr="005F34A9">
              <w:rPr>
                <w:rFonts w:ascii="Times New Roman" w:eastAsia="Times New Roman" w:hAnsi="Times New Roman" w:cs="Times New Roman"/>
                <w:spacing w:val="-6"/>
                <w:highlight w:val="yellow"/>
                <w:lang w:eastAsia="uk-UA"/>
              </w:rPr>
              <w:t>4</w:t>
            </w:r>
            <w:r w:rsidRPr="005F34A9">
              <w:rPr>
                <w:rFonts w:ascii="Times New Roman" w:eastAsia="Times New Roman" w:hAnsi="Times New Roman" w:cs="Times New Roman"/>
                <w:spacing w:val="-6"/>
                <w:highlight w:val="yellow"/>
                <w:lang w:eastAsia="uk-UA"/>
              </w:rPr>
              <w:t xml:space="preserve"> </w:t>
            </w:r>
            <w:r w:rsidRPr="005F34A9">
              <w:rPr>
                <w:rFonts w:ascii="Times New Roman" w:eastAsia="Times New Roman" w:hAnsi="Times New Roman" w:cs="Times New Roman"/>
                <w:color w:val="000000"/>
                <w:spacing w:val="-6"/>
                <w:highlight w:val="yellow"/>
                <w:lang w:eastAsia="uk-UA"/>
              </w:rPr>
              <w:t>Особливостей</w:t>
            </w:r>
            <w:r w:rsidRPr="005F34A9">
              <w:rPr>
                <w:rFonts w:ascii="Times New Roman" w:eastAsia="Times New Roman" w:hAnsi="Times New Roman" w:cs="Times New Roman"/>
                <w:spacing w:val="-6"/>
                <w:highlight w:val="yellow"/>
                <w:lang w:eastAsia="uk-UA"/>
              </w:rPr>
              <w:t xml:space="preserve"> (визначив конфіденційною інформацію, що не може бути визначена як конфіденційна відповідно до вимог  пункту </w:t>
            </w:r>
            <w:r w:rsidR="00323539" w:rsidRPr="005F34A9">
              <w:rPr>
                <w:rFonts w:ascii="Times New Roman" w:eastAsia="Times New Roman" w:hAnsi="Times New Roman" w:cs="Times New Roman"/>
                <w:spacing w:val="-6"/>
                <w:highlight w:val="yellow"/>
                <w:lang w:eastAsia="uk-UA"/>
              </w:rPr>
              <w:t>40</w:t>
            </w:r>
            <w:r w:rsidRPr="005F34A9">
              <w:rPr>
                <w:rFonts w:ascii="Times New Roman" w:eastAsia="Times New Roman" w:hAnsi="Times New Roman" w:cs="Times New Roman"/>
                <w:spacing w:val="-6"/>
                <w:highlight w:val="yellow"/>
                <w:lang w:eastAsia="uk-UA"/>
              </w:rPr>
              <w:t xml:space="preserve"> Особливостей).</w:t>
            </w:r>
          </w:p>
          <w:p w14:paraId="21161743" w14:textId="77777777" w:rsidR="00F6275A" w:rsidRDefault="00F6275A" w:rsidP="00C706ED">
            <w:pPr>
              <w:widowControl w:val="0"/>
              <w:spacing w:after="0" w:line="240" w:lineRule="auto"/>
              <w:ind w:firstLine="176"/>
              <w:contextualSpacing/>
              <w:jc w:val="both"/>
              <w:rPr>
                <w:rFonts w:ascii="Times New Roman" w:eastAsia="Times New Roman" w:hAnsi="Times New Roman" w:cs="Times New Roman"/>
                <w:spacing w:val="-6"/>
                <w:lang w:eastAsia="uk-UA"/>
              </w:rPr>
            </w:pPr>
            <w:r w:rsidRPr="005F34A9">
              <w:rPr>
                <w:rFonts w:ascii="Times New Roman" w:eastAsia="Times New Roman" w:hAnsi="Times New Roman" w:cs="Times New Roman"/>
                <w:spacing w:val="-6"/>
                <w:highlight w:val="yellow"/>
                <w:lang w:eastAsia="uk-UA"/>
              </w:rPr>
              <w:t xml:space="preserve">Замовник, орган оскарження та </w:t>
            </w:r>
            <w:proofErr w:type="spellStart"/>
            <w:r w:rsidRPr="005F34A9">
              <w:rPr>
                <w:rFonts w:ascii="Times New Roman" w:eastAsia="Times New Roman" w:hAnsi="Times New Roman" w:cs="Times New Roman"/>
                <w:spacing w:val="-6"/>
                <w:highlight w:val="yellow"/>
                <w:lang w:eastAsia="uk-UA"/>
              </w:rPr>
              <w:t>Держаудитслужба</w:t>
            </w:r>
            <w:proofErr w:type="spellEnd"/>
            <w:r w:rsidRPr="005F34A9">
              <w:rPr>
                <w:rFonts w:ascii="Times New Roman" w:eastAsia="Times New Roman" w:hAnsi="Times New Roman" w:cs="Times New Roman"/>
                <w:spacing w:val="-6"/>
                <w:highlight w:val="yellow"/>
                <w:lang w:eastAsia="uk-UA"/>
              </w:rPr>
              <w:t xml:space="preserve"> мають доступ в електронній системі закупівель до інформації, яка визначена учасником процедури закупівлі конфіденційною.</w:t>
            </w:r>
          </w:p>
          <w:p w14:paraId="72D6A801" w14:textId="77777777" w:rsidR="00420F2E" w:rsidRPr="00B75BDF" w:rsidRDefault="00420F2E" w:rsidP="00C706ED">
            <w:pPr>
              <w:widowControl w:val="0"/>
              <w:spacing w:after="0" w:line="240" w:lineRule="auto"/>
              <w:ind w:firstLine="176"/>
              <w:contextualSpacing/>
              <w:jc w:val="both"/>
              <w:rPr>
                <w:rFonts w:ascii="Times New Roman" w:eastAsia="Times New Roman" w:hAnsi="Times New Roman" w:cs="Times New Roman"/>
                <w:color w:val="000000"/>
                <w:spacing w:val="-6"/>
                <w:lang w:eastAsia="uk-UA"/>
              </w:rPr>
            </w:pPr>
          </w:p>
        </w:tc>
      </w:tr>
      <w:tr w:rsidR="00F6275A" w:rsidRPr="00B75BDF" w14:paraId="72FE5110" w14:textId="77777777" w:rsidTr="00C706ED">
        <w:trPr>
          <w:trHeight w:val="227"/>
          <w:jc w:val="center"/>
        </w:trPr>
        <w:tc>
          <w:tcPr>
            <w:tcW w:w="10485" w:type="dxa"/>
            <w:gridSpan w:val="3"/>
            <w:tcBorders>
              <w:top w:val="single" w:sz="4" w:space="0" w:color="auto"/>
              <w:left w:val="single" w:sz="4" w:space="0" w:color="auto"/>
              <w:bottom w:val="single" w:sz="4" w:space="0" w:color="auto"/>
              <w:right w:val="single" w:sz="4" w:space="0" w:color="auto"/>
            </w:tcBorders>
            <w:hideMark/>
          </w:tcPr>
          <w:p w14:paraId="5D507751" w14:textId="77777777" w:rsidR="00F6275A" w:rsidRPr="00B75BDF" w:rsidRDefault="00F6275A" w:rsidP="00C706ED">
            <w:pPr>
              <w:widowControl w:val="0"/>
              <w:spacing w:after="0" w:line="240" w:lineRule="auto"/>
              <w:ind w:right="113"/>
              <w:contextualSpacing/>
              <w:jc w:val="center"/>
              <w:rPr>
                <w:rFonts w:ascii="Times New Roman" w:eastAsia="Times New Roman" w:hAnsi="Times New Roman" w:cs="Times New Roman"/>
                <w:b/>
                <w:color w:val="000000"/>
                <w:spacing w:val="-6"/>
              </w:rPr>
            </w:pPr>
            <w:r w:rsidRPr="00B75BDF">
              <w:rPr>
                <w:rFonts w:ascii="Times New Roman" w:eastAsia="Times New Roman" w:hAnsi="Times New Roman" w:cs="Times New Roman"/>
                <w:b/>
                <w:color w:val="000000"/>
                <w:spacing w:val="-6"/>
                <w:bdr w:val="none" w:sz="0" w:space="0" w:color="auto" w:frame="1"/>
                <w:lang w:eastAsia="uk-UA"/>
              </w:rPr>
              <w:lastRenderedPageBreak/>
              <w:t xml:space="preserve">Розділ V. </w:t>
            </w:r>
            <w:r w:rsidRPr="00B75BDF">
              <w:rPr>
                <w:rFonts w:ascii="Times New Roman" w:eastAsia="Times New Roman" w:hAnsi="Times New Roman" w:cs="Times New Roman"/>
                <w:b/>
                <w:color w:val="000000"/>
                <w:spacing w:val="-6"/>
              </w:rPr>
              <w:t>Оцінка тендерної пропозиції</w:t>
            </w:r>
          </w:p>
        </w:tc>
      </w:tr>
      <w:tr w:rsidR="00F6275A" w:rsidRPr="00B75BDF" w14:paraId="405C2BC6"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2178CF92"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1</w:t>
            </w:r>
          </w:p>
        </w:tc>
        <w:tc>
          <w:tcPr>
            <w:tcW w:w="2901" w:type="dxa"/>
            <w:tcBorders>
              <w:top w:val="single" w:sz="4" w:space="0" w:color="auto"/>
              <w:left w:val="single" w:sz="4" w:space="0" w:color="auto"/>
              <w:bottom w:val="single" w:sz="4" w:space="0" w:color="auto"/>
              <w:right w:val="single" w:sz="4" w:space="0" w:color="auto"/>
            </w:tcBorders>
            <w:hideMark/>
          </w:tcPr>
          <w:p w14:paraId="32BFD826" w14:textId="77777777" w:rsidR="00F6275A" w:rsidRPr="005F34A9" w:rsidRDefault="00F6275A" w:rsidP="00C706E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Перелік критеріїв та методика оцінки тендерної пропозиції із зазначенням питомої ваги критерію</w:t>
            </w:r>
          </w:p>
        </w:tc>
        <w:tc>
          <w:tcPr>
            <w:tcW w:w="7042" w:type="dxa"/>
            <w:tcBorders>
              <w:top w:val="single" w:sz="4" w:space="0" w:color="auto"/>
              <w:left w:val="single" w:sz="4" w:space="0" w:color="auto"/>
              <w:bottom w:val="single" w:sz="4" w:space="0" w:color="auto"/>
              <w:right w:val="single" w:sz="4" w:space="0" w:color="auto"/>
            </w:tcBorders>
            <w:hideMark/>
          </w:tcPr>
          <w:p w14:paraId="6FFBE024" w14:textId="5505E508" w:rsidR="00F94ADD" w:rsidRPr="005F34A9" w:rsidRDefault="00F94ADD"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 відповідності до пункту 41 Особливостей розгляд та оцінка тендерних пропозицій здійснюються відповідно до статті 29 Закону (положення частин другої, дванадцятої, </w:t>
            </w:r>
            <w:hyperlink r:id="rId15" w:anchor="n1553" w:history="1">
              <w:r w:rsidRPr="005F34A9">
                <w:rPr>
                  <w:rFonts w:ascii="Times New Roman" w:eastAsia="Times New Roman" w:hAnsi="Times New Roman" w:cs="Times New Roman"/>
                  <w:color w:val="000000"/>
                  <w:spacing w:val="-6"/>
                  <w:highlight w:val="yellow"/>
                  <w:lang w:eastAsia="uk-UA"/>
                </w:rPr>
                <w:t>шістнадцятої</w:t>
              </w:r>
            </w:hyperlink>
            <w:r w:rsidRPr="005F34A9">
              <w:rPr>
                <w:rFonts w:ascii="Times New Roman" w:eastAsia="Times New Roman" w:hAnsi="Times New Roman" w:cs="Times New Roman"/>
                <w:color w:val="000000"/>
                <w:spacing w:val="-6"/>
                <w:highlight w:val="yellow"/>
                <w:lang w:eastAsia="uk-UA"/>
              </w:rPr>
              <w:t>, абзаців другого і третього частини п’ятнадцятої статті 29 Закону не застосовуються) з урахуванням положень пункту 43 Особливостей</w:t>
            </w:r>
            <w:r w:rsidR="00873110" w:rsidRPr="005F34A9">
              <w:rPr>
                <w:rFonts w:ascii="Times New Roman" w:eastAsia="Times New Roman" w:hAnsi="Times New Roman" w:cs="Times New Roman"/>
                <w:color w:val="000000"/>
                <w:spacing w:val="-6"/>
                <w:highlight w:val="yellow"/>
                <w:lang w:eastAsia="uk-UA"/>
              </w:rPr>
              <w:t>.</w:t>
            </w:r>
          </w:p>
          <w:p w14:paraId="129A804B" w14:textId="4356D8CA" w:rsidR="00873110" w:rsidRPr="005F34A9" w:rsidRDefault="00873110" w:rsidP="00873110">
            <w:pPr>
              <w:widowControl w:val="0"/>
              <w:spacing w:after="0" w:line="240" w:lineRule="auto"/>
              <w:ind w:right="113" w:firstLine="176"/>
              <w:contextualSpacing/>
              <w:jc w:val="both"/>
              <w:rPr>
                <w:rFonts w:ascii="Times New Roman" w:eastAsia="Times New Roman" w:hAnsi="Times New Roman" w:cs="Times New Roman"/>
                <w:color w:val="000000"/>
                <w:spacing w:val="-4"/>
                <w:highlight w:val="yellow"/>
                <w:lang w:eastAsia="uk-UA"/>
              </w:rPr>
            </w:pPr>
            <w:r w:rsidRPr="005F34A9">
              <w:rPr>
                <w:rFonts w:ascii="Times New Roman" w:eastAsia="Times New Roman" w:hAnsi="Times New Roman" w:cs="Times New Roman"/>
                <w:color w:val="000000"/>
                <w:spacing w:val="-4"/>
                <w:highlight w:val="yellow"/>
                <w:lang w:eastAsia="uk-UA"/>
              </w:rPr>
              <w:t>Оцінка тендерних пропозицій проводиться автоматично електронною системою закупівель на основі критеріїв і методики оцінки, зазначених</w:t>
            </w:r>
            <w:r w:rsidR="00C06975" w:rsidRPr="005F34A9">
              <w:rPr>
                <w:rFonts w:ascii="Times New Roman" w:eastAsia="Times New Roman" w:hAnsi="Times New Roman" w:cs="Times New Roman"/>
                <w:color w:val="000000"/>
                <w:spacing w:val="-4"/>
                <w:highlight w:val="yellow"/>
                <w:lang w:eastAsia="uk-UA"/>
              </w:rPr>
              <w:t xml:space="preserve"> замовником</w:t>
            </w:r>
            <w:r w:rsidRPr="005F34A9">
              <w:rPr>
                <w:rFonts w:ascii="Times New Roman" w:eastAsia="Times New Roman" w:hAnsi="Times New Roman" w:cs="Times New Roman"/>
                <w:color w:val="000000"/>
                <w:spacing w:val="-4"/>
                <w:highlight w:val="yellow"/>
                <w:lang w:eastAsia="uk-UA"/>
              </w:rPr>
              <w:t xml:space="preserve"> у цій тендерній документації</w:t>
            </w:r>
            <w:r w:rsidR="00C06975" w:rsidRPr="005F34A9">
              <w:rPr>
                <w:rFonts w:ascii="Times New Roman" w:eastAsia="Times New Roman" w:hAnsi="Times New Roman" w:cs="Times New Roman"/>
                <w:color w:val="000000"/>
                <w:spacing w:val="-4"/>
                <w:highlight w:val="yellow"/>
                <w:lang w:eastAsia="uk-UA"/>
              </w:rPr>
              <w:t>,</w:t>
            </w:r>
            <w:r w:rsidRPr="005F34A9">
              <w:rPr>
                <w:rFonts w:ascii="Times New Roman" w:eastAsia="Times New Roman" w:hAnsi="Times New Roman" w:cs="Times New Roman"/>
                <w:color w:val="000000"/>
                <w:spacing w:val="-4"/>
                <w:highlight w:val="yellow"/>
                <w:lang w:eastAsia="uk-UA"/>
              </w:rPr>
              <w:t xml:space="preserve"> шляхом застосування електронного аукціону.</w:t>
            </w:r>
          </w:p>
          <w:p w14:paraId="4B90480E" w14:textId="77777777" w:rsidR="003345ED" w:rsidRPr="005F34A9" w:rsidRDefault="003345ED" w:rsidP="003345ED">
            <w:pPr>
              <w:widowControl w:val="0"/>
              <w:spacing w:line="240" w:lineRule="auto"/>
              <w:ind w:firstLine="176"/>
              <w:contextualSpacing/>
              <w:jc w:val="both"/>
              <w:rPr>
                <w:rFonts w:ascii="Times New Roman" w:eastAsia="Times New Roman" w:hAnsi="Times New Roman" w:cs="Times New Roman"/>
                <w:color w:val="000000"/>
                <w:spacing w:val="-4"/>
                <w:highlight w:val="yellow"/>
                <w:lang w:eastAsia="uk-UA"/>
              </w:rPr>
            </w:pPr>
            <w:r w:rsidRPr="005F34A9">
              <w:rPr>
                <w:rFonts w:ascii="Times New Roman" w:eastAsia="Times New Roman" w:hAnsi="Times New Roman" w:cs="Times New Roman"/>
                <w:color w:val="000000"/>
                <w:spacing w:val="-4"/>
                <w:highlight w:val="yellow"/>
                <w:lang w:eastAsia="uk-UA"/>
              </w:rPr>
              <w:t>Дата і час проведення електронного аукціону визначаються електронною системою закупівель автоматично.</w:t>
            </w:r>
          </w:p>
          <w:p w14:paraId="55407B3E"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spacing w:val="-6"/>
                <w:highlight w:val="yellow"/>
                <w:lang w:eastAsia="uk-UA"/>
              </w:rPr>
              <w:t>Єдиним критерієм оцінки згідно даної процедури відкритих торгів є ціна (питома вага критерію – 100%)</w:t>
            </w:r>
            <w:r w:rsidRPr="005F34A9">
              <w:rPr>
                <w:rFonts w:ascii="Times New Roman" w:eastAsia="Times New Roman" w:hAnsi="Times New Roman" w:cs="Times New Roman"/>
                <w:color w:val="000000"/>
                <w:spacing w:val="-6"/>
                <w:highlight w:val="yellow"/>
                <w:lang w:eastAsia="uk-UA"/>
              </w:rPr>
              <w:t>.</w:t>
            </w:r>
          </w:p>
          <w:p w14:paraId="25C4CE32"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Найбільш економічно вигідною тендерною пропозицією електронна система закупівель визначає тендерну пропозицію, ціна/приведена ціна, якої є найнижчою.</w:t>
            </w:r>
          </w:p>
          <w:p w14:paraId="0A271162"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b/>
                <w:bCs/>
                <w:color w:val="000000"/>
                <w:spacing w:val="-6"/>
                <w:highlight w:val="yellow"/>
                <w:lang w:eastAsia="uk-UA"/>
              </w:rPr>
            </w:pPr>
            <w:r w:rsidRPr="005F34A9">
              <w:rPr>
                <w:rFonts w:ascii="Times New Roman" w:eastAsia="Times New Roman" w:hAnsi="Times New Roman" w:cs="Times New Roman"/>
                <w:b/>
                <w:bCs/>
                <w:color w:val="000000"/>
                <w:spacing w:val="-6"/>
                <w:highlight w:val="yellow"/>
                <w:lang w:eastAsia="uk-UA"/>
              </w:rPr>
              <w:t>Замовник не приймає до розгляду тендерну пропозицію, ціна якої є вищою, ніж очікувана вартість предмета закупівлі, визначена замовником в оголошенні про проведення відкритих торгів.</w:t>
            </w:r>
          </w:p>
          <w:p w14:paraId="17D29F71"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 метою забезпечення рівних умов щодо оцінки для всіх учасників, учасник, незалежно від його форми оподаткування, вносить в електронну систему закупівель, інформацію про ціну його пропозиції без врахування ПДВ. При укладанні договору про закупівлю ПДВ буде нараховуватися відповідно до діючого законодавства України.</w:t>
            </w:r>
          </w:p>
          <w:p w14:paraId="0EF6AFF7" w14:textId="77777777" w:rsidR="009B6858" w:rsidRPr="005F34A9" w:rsidRDefault="009B6858" w:rsidP="009B6858">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Найбільш економічно вигідною визнається тендерна пропозиція найнижча за вартісним показником.</w:t>
            </w:r>
          </w:p>
          <w:p w14:paraId="28C94C4E" w14:textId="77777777" w:rsidR="009B6858" w:rsidRPr="005F34A9" w:rsidRDefault="009B6858" w:rsidP="009B6858">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Після оцінки тендерних пропозицій замовник розглядає на відповідність вимогам тендерної документації тендерну пропозицію, яка визначена найбільш економічно вигідною.</w:t>
            </w:r>
          </w:p>
          <w:p w14:paraId="2FD53C2A" w14:textId="55575E0C" w:rsidR="00F6275A" w:rsidRPr="005F34A9" w:rsidRDefault="00F6275A" w:rsidP="00C706ED">
            <w:pPr>
              <w:widowControl w:val="0"/>
              <w:spacing w:after="0" w:line="240" w:lineRule="auto"/>
              <w:ind w:firstLine="273"/>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Строк розгляду </w:t>
            </w:r>
            <w:r w:rsidR="0043532C" w:rsidRPr="005F34A9">
              <w:rPr>
                <w:rFonts w:ascii="Times New Roman" w:eastAsia="Times New Roman" w:hAnsi="Times New Roman" w:cs="Times New Roman"/>
                <w:color w:val="000000"/>
                <w:spacing w:val="-6"/>
                <w:highlight w:val="yellow"/>
                <w:lang w:eastAsia="uk-UA"/>
              </w:rPr>
              <w:t>тендерної пропозиції,</w:t>
            </w:r>
            <w:r w:rsidR="00787C9D" w:rsidRPr="005F34A9">
              <w:rPr>
                <w:rFonts w:ascii="Times New Roman" w:eastAsia="Times New Roman" w:hAnsi="Times New Roman" w:cs="Times New Roman"/>
                <w:color w:val="000000"/>
                <w:spacing w:val="-6"/>
                <w:highlight w:val="yellow"/>
                <w:lang w:eastAsia="uk-UA"/>
              </w:rPr>
              <w:t xml:space="preserve"> що за результатами оцінки визначена </w:t>
            </w:r>
            <w:r w:rsidRPr="005F34A9">
              <w:rPr>
                <w:rFonts w:ascii="Times New Roman" w:eastAsia="Times New Roman" w:hAnsi="Times New Roman" w:cs="Times New Roman"/>
                <w:color w:val="000000"/>
                <w:spacing w:val="-6"/>
                <w:highlight w:val="yellow"/>
                <w:lang w:eastAsia="uk-UA"/>
              </w:rPr>
              <w:t>найбільш економічно вигідно</w:t>
            </w:r>
            <w:r w:rsidR="00787C9D" w:rsidRPr="005F34A9">
              <w:rPr>
                <w:rFonts w:ascii="Times New Roman" w:eastAsia="Times New Roman" w:hAnsi="Times New Roman" w:cs="Times New Roman"/>
                <w:color w:val="000000"/>
                <w:spacing w:val="-6"/>
                <w:highlight w:val="yellow"/>
                <w:lang w:eastAsia="uk-UA"/>
              </w:rPr>
              <w:t xml:space="preserve">ю, </w:t>
            </w:r>
            <w:r w:rsidRPr="005F34A9">
              <w:rPr>
                <w:rFonts w:ascii="Times New Roman" w:eastAsia="Times New Roman" w:hAnsi="Times New Roman" w:cs="Times New Roman"/>
                <w:color w:val="000000"/>
                <w:spacing w:val="-6"/>
                <w:highlight w:val="yellow"/>
                <w:lang w:eastAsia="uk-UA"/>
              </w:rPr>
              <w:t>не повинен перевищувати п’яти робочих днів з дня визначення найбільш економічно вигідно</w:t>
            </w:r>
            <w:r w:rsidR="00787C9D" w:rsidRPr="005F34A9">
              <w:rPr>
                <w:rFonts w:ascii="Times New Roman" w:eastAsia="Times New Roman" w:hAnsi="Times New Roman" w:cs="Times New Roman"/>
                <w:color w:val="000000"/>
                <w:spacing w:val="-6"/>
                <w:highlight w:val="yellow"/>
                <w:lang w:eastAsia="uk-UA"/>
              </w:rPr>
              <w:t>ї пропозиції</w:t>
            </w:r>
            <w:r w:rsidRPr="005F34A9">
              <w:rPr>
                <w:rFonts w:ascii="Times New Roman" w:eastAsia="Times New Roman" w:hAnsi="Times New Roman" w:cs="Times New Roman"/>
                <w:color w:val="000000"/>
                <w:spacing w:val="-6"/>
                <w:highlight w:val="yellow"/>
                <w:lang w:eastAsia="uk-UA"/>
              </w:rPr>
              <w:t xml:space="preserve">. Такий строк може бути аргументовано продовжено замовником до 20 робочих днів. У разі продовження строку замовник оприлюднює </w:t>
            </w:r>
            <w:r w:rsidRPr="005F34A9">
              <w:rPr>
                <w:rFonts w:ascii="Times New Roman" w:eastAsia="Times New Roman" w:hAnsi="Times New Roman" w:cs="Times New Roman"/>
                <w:color w:val="000000"/>
                <w:spacing w:val="-6"/>
                <w:highlight w:val="yellow"/>
                <w:lang w:eastAsia="uk-UA"/>
              </w:rPr>
              <w:lastRenderedPageBreak/>
              <w:t>повідомлення в електронній системі закупівель протягом одного дня з дня прийняття відповідного рішення.</w:t>
            </w:r>
          </w:p>
          <w:p w14:paraId="10BE8055" w14:textId="43C51606" w:rsidR="0043532C" w:rsidRPr="005F34A9" w:rsidRDefault="0043532C" w:rsidP="00C706ED">
            <w:pPr>
              <w:widowControl w:val="0"/>
              <w:spacing w:after="0" w:line="240" w:lineRule="auto"/>
              <w:ind w:firstLine="273"/>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Особливостями.</w:t>
            </w:r>
          </w:p>
          <w:p w14:paraId="19BDBF48" w14:textId="4006B254" w:rsidR="003345ED" w:rsidRPr="005F34A9" w:rsidRDefault="003345ED" w:rsidP="000354B8">
            <w:pPr>
              <w:widowControl w:val="0"/>
              <w:spacing w:after="0" w:line="240" w:lineRule="auto"/>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 відповідності до пункту 36 Особливостей якщо була подана одна тендерна </w:t>
            </w:r>
            <w:proofErr w:type="spellStart"/>
            <w:r w:rsidRPr="005F34A9">
              <w:rPr>
                <w:rFonts w:ascii="Times New Roman" w:eastAsia="Times New Roman" w:hAnsi="Times New Roman" w:cs="Times New Roman"/>
                <w:color w:val="000000"/>
                <w:spacing w:val="-6"/>
                <w:highlight w:val="yellow"/>
                <w:lang w:eastAsia="uk-UA"/>
              </w:rPr>
              <w:t>пропозиція</w:t>
            </w:r>
            <w:r w:rsidR="00EF531E" w:rsidRPr="005F34A9">
              <w:rPr>
                <w:rFonts w:ascii="Times New Roman" w:eastAsia="Times New Roman" w:hAnsi="Times New Roman" w:cs="Times New Roman"/>
                <w:color w:val="000000"/>
                <w:spacing w:val="-6"/>
                <w:highlight w:val="yellow"/>
                <w:lang w:eastAsia="uk-UA"/>
              </w:rPr>
              <w:t>з</w:t>
            </w:r>
            <w:r w:rsidRPr="005F34A9">
              <w:rPr>
                <w:rFonts w:ascii="Times New Roman" w:eastAsia="Times New Roman" w:hAnsi="Times New Roman" w:cs="Times New Roman"/>
                <w:color w:val="000000"/>
                <w:spacing w:val="-6"/>
                <w:highlight w:val="yellow"/>
                <w:lang w:eastAsia="uk-UA"/>
              </w:rPr>
              <w:t>амовник</w:t>
            </w:r>
            <w:proofErr w:type="spellEnd"/>
            <w:r w:rsidRPr="005F34A9">
              <w:rPr>
                <w:rFonts w:ascii="Times New Roman" w:eastAsia="Times New Roman" w:hAnsi="Times New Roman" w:cs="Times New Roman"/>
                <w:color w:val="000000"/>
                <w:spacing w:val="-6"/>
                <w:highlight w:val="yellow"/>
                <w:lang w:eastAsia="uk-UA"/>
              </w:rPr>
              <w:t xml:space="preserve">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14:paraId="068071AD"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Замовник та учасники процедури закупівлі не можуть ініціювати будь-які переговори з питань внесення змін до змісту або ціни поданої тендерної пропозиції.</w:t>
            </w:r>
          </w:p>
          <w:p w14:paraId="08959B58"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 результатами розгляду та оцінки тендерної пропозиції замовник визначає переможця процедури закупівлі та приймає рішення про намір укласти договір про закупівлю відповідно до Закону з урахуванням  Особливостей.</w:t>
            </w:r>
          </w:p>
          <w:p w14:paraId="3CC3B016" w14:textId="261933A9" w:rsidR="00EE74CA" w:rsidRPr="005F34A9" w:rsidRDefault="00EE74C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Рішення про намір укласти договір про закупівлю приймається замовником відповідно до </w:t>
            </w:r>
            <w:hyperlink r:id="rId16" w:anchor="n1611" w:tgtFrame="_blank" w:history="1">
              <w:r w:rsidRPr="005F34A9">
                <w:rPr>
                  <w:rFonts w:ascii="Times New Roman" w:eastAsia="Times New Roman" w:hAnsi="Times New Roman" w:cs="Times New Roman"/>
                  <w:color w:val="000000"/>
                  <w:spacing w:val="-6"/>
                  <w:highlight w:val="yellow"/>
                  <w:lang w:eastAsia="uk-UA"/>
                </w:rPr>
                <w:t>статті 33</w:t>
              </w:r>
            </w:hyperlink>
            <w:r w:rsidRPr="005F34A9">
              <w:rPr>
                <w:rFonts w:ascii="Times New Roman" w:eastAsia="Times New Roman" w:hAnsi="Times New Roman" w:cs="Times New Roman"/>
                <w:color w:val="000000"/>
                <w:spacing w:val="-6"/>
                <w:highlight w:val="yellow"/>
                <w:lang w:eastAsia="uk-UA"/>
              </w:rPr>
              <w:t> Закону та пункту 49 Особливостей.</w:t>
            </w:r>
          </w:p>
          <w:p w14:paraId="6E7539DC" w14:textId="1F34AC4A"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Замовник має право звернутися за підтвердженням інформації, наданої учасником</w:t>
            </w:r>
            <w:r w:rsidR="00544ACB" w:rsidRPr="005F34A9">
              <w:rPr>
                <w:rFonts w:ascii="Times New Roman" w:eastAsia="Times New Roman" w:hAnsi="Times New Roman" w:cs="Times New Roman"/>
                <w:color w:val="000000"/>
                <w:spacing w:val="-6"/>
                <w:highlight w:val="yellow"/>
                <w:lang w:eastAsia="uk-UA"/>
              </w:rPr>
              <w:t>/переможцем</w:t>
            </w:r>
            <w:r w:rsidRPr="005F34A9">
              <w:rPr>
                <w:rFonts w:ascii="Times New Roman" w:eastAsia="Times New Roman" w:hAnsi="Times New Roman" w:cs="Times New Roman"/>
                <w:color w:val="000000"/>
                <w:spacing w:val="-6"/>
                <w:highlight w:val="yellow"/>
                <w:lang w:eastAsia="uk-UA"/>
              </w:rPr>
              <w:t xml:space="preserve"> процедури закупівлі, до органів державної влади, підприємств, установ, організацій відповідно до їх компетенції.</w:t>
            </w:r>
          </w:p>
          <w:p w14:paraId="0B7A92BE" w14:textId="77777777" w:rsidR="00F6275A" w:rsidRPr="005F34A9" w:rsidRDefault="00F6275A" w:rsidP="00697F16">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w:t>
            </w:r>
            <w:r w:rsidR="007B15A2" w:rsidRPr="005F34A9">
              <w:rPr>
                <w:rFonts w:ascii="Times New Roman" w:eastAsia="Times New Roman" w:hAnsi="Times New Roman" w:cs="Times New Roman"/>
                <w:color w:val="000000"/>
                <w:spacing w:val="-6"/>
                <w:highlight w:val="yellow"/>
                <w:lang w:eastAsia="uk-UA"/>
              </w:rPr>
              <w:t>7</w:t>
            </w:r>
            <w:r w:rsidRPr="005F34A9">
              <w:rPr>
                <w:rFonts w:ascii="Times New Roman" w:eastAsia="Times New Roman" w:hAnsi="Times New Roman" w:cs="Times New Roman"/>
                <w:color w:val="000000"/>
                <w:spacing w:val="-6"/>
                <w:highlight w:val="yellow"/>
                <w:lang w:eastAsia="uk-UA"/>
              </w:rPr>
              <w:t xml:space="preserve">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14:paraId="186045A3" w14:textId="79FA5574" w:rsidR="00611165" w:rsidRPr="005F34A9" w:rsidRDefault="00611165" w:rsidP="00697F16">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 разі коли  учасник процедури закупівлі стає переможцем декількох або всіх лотів, замовник може укласти один договір про закупівлю з переможцем, об’єднавши лоти.</w:t>
            </w:r>
          </w:p>
        </w:tc>
      </w:tr>
      <w:tr w:rsidR="00F6275A" w:rsidRPr="00B75BDF" w14:paraId="2FF2F81B"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tcPr>
          <w:p w14:paraId="2B080F31"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lastRenderedPageBreak/>
              <w:t>2</w:t>
            </w:r>
          </w:p>
        </w:tc>
        <w:tc>
          <w:tcPr>
            <w:tcW w:w="2901" w:type="dxa"/>
            <w:tcBorders>
              <w:top w:val="single" w:sz="4" w:space="0" w:color="auto"/>
              <w:left w:val="single" w:sz="4" w:space="0" w:color="auto"/>
              <w:bottom w:val="single" w:sz="4" w:space="0" w:color="auto"/>
              <w:right w:val="single" w:sz="4" w:space="0" w:color="auto"/>
            </w:tcBorders>
          </w:tcPr>
          <w:p w14:paraId="6F3B907B" w14:textId="77777777" w:rsidR="00F6275A" w:rsidRPr="00B75BDF" w:rsidRDefault="00F6275A" w:rsidP="00C706ED">
            <w:pPr>
              <w:widowControl w:val="0"/>
              <w:spacing w:after="0" w:line="240" w:lineRule="auto"/>
              <w:ind w:right="113"/>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Обґрунтування аномально низької тендерної пропозиції</w:t>
            </w:r>
          </w:p>
        </w:tc>
        <w:tc>
          <w:tcPr>
            <w:tcW w:w="7042" w:type="dxa"/>
            <w:tcBorders>
              <w:top w:val="single" w:sz="4" w:space="0" w:color="auto"/>
              <w:left w:val="single" w:sz="4" w:space="0" w:color="auto"/>
              <w:bottom w:val="single" w:sz="4" w:space="0" w:color="auto"/>
              <w:right w:val="single" w:sz="4" w:space="0" w:color="auto"/>
            </w:tcBorders>
          </w:tcPr>
          <w:p w14:paraId="16C4D994" w14:textId="738A35D2" w:rsidR="002470B7" w:rsidRPr="005F34A9" w:rsidRDefault="002470B7" w:rsidP="00C706ED">
            <w:pPr>
              <w:widowControl w:val="0"/>
              <w:shd w:val="clear" w:color="auto" w:fill="FFFFFF"/>
              <w:spacing w:after="0" w:line="240" w:lineRule="auto"/>
              <w:ind w:firstLine="133"/>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Учасник процедури закупівлі, який надав найбільш економічно вигідну тендерну пропозицію, що є </w:t>
            </w:r>
            <w:bookmarkStart w:id="0" w:name="w1_1"/>
            <w:r w:rsidRPr="005F34A9">
              <w:rPr>
                <w:rFonts w:ascii="Times New Roman" w:eastAsia="Times New Roman" w:hAnsi="Times New Roman" w:cs="Times New Roman"/>
                <w:color w:val="000000"/>
                <w:spacing w:val="-6"/>
                <w:highlight w:val="yellow"/>
                <w:lang w:eastAsia="uk-UA"/>
              </w:rPr>
              <w:fldChar w:fldCharType="begin"/>
            </w:r>
            <w:r w:rsidRPr="005F34A9">
              <w:rPr>
                <w:rFonts w:ascii="Times New Roman" w:eastAsia="Times New Roman" w:hAnsi="Times New Roman" w:cs="Times New Roman"/>
                <w:color w:val="000000"/>
                <w:spacing w:val="-6"/>
                <w:highlight w:val="yellow"/>
                <w:lang w:eastAsia="uk-UA"/>
              </w:rPr>
              <w:instrText xml:space="preserve"> HYPERLINK "https://zakon.rada.gov.ua/laws/show/1178-2022-%D0%BF?find=1&amp;text=%D0%B0%D0%BD%D0%BE%D0%BC%D0%B0%D0%BB%D1%8C" \l "w1_2" </w:instrText>
            </w:r>
            <w:r w:rsidRPr="005F34A9">
              <w:rPr>
                <w:rFonts w:ascii="Times New Roman" w:eastAsia="Times New Roman" w:hAnsi="Times New Roman" w:cs="Times New Roman"/>
                <w:color w:val="000000"/>
                <w:spacing w:val="-6"/>
                <w:highlight w:val="yellow"/>
                <w:lang w:eastAsia="uk-UA"/>
              </w:rPr>
            </w:r>
            <w:r w:rsidRPr="005F34A9">
              <w:rPr>
                <w:rFonts w:ascii="Times New Roman" w:eastAsia="Times New Roman" w:hAnsi="Times New Roman" w:cs="Times New Roman"/>
                <w:color w:val="000000"/>
                <w:spacing w:val="-6"/>
                <w:highlight w:val="yellow"/>
                <w:lang w:eastAsia="uk-UA"/>
              </w:rPr>
              <w:fldChar w:fldCharType="separate"/>
            </w:r>
            <w:r w:rsidRPr="005F34A9">
              <w:rPr>
                <w:color w:val="000000"/>
                <w:highlight w:val="yellow"/>
              </w:rPr>
              <w:t>аномаль</w:t>
            </w:r>
            <w:r w:rsidRPr="005F34A9">
              <w:rPr>
                <w:rFonts w:ascii="Times New Roman" w:eastAsia="Times New Roman" w:hAnsi="Times New Roman" w:cs="Times New Roman"/>
                <w:color w:val="000000"/>
                <w:spacing w:val="-6"/>
                <w:highlight w:val="yellow"/>
                <w:lang w:eastAsia="uk-UA"/>
              </w:rPr>
              <w:fldChar w:fldCharType="end"/>
            </w:r>
            <w:bookmarkEnd w:id="0"/>
            <w:r w:rsidRPr="005F34A9">
              <w:rPr>
                <w:rFonts w:ascii="Times New Roman" w:eastAsia="Times New Roman" w:hAnsi="Times New Roman" w:cs="Times New Roman"/>
                <w:color w:val="000000"/>
                <w:spacing w:val="-6"/>
                <w:highlight w:val="yellow"/>
                <w:lang w:eastAsia="uk-UA"/>
              </w:rPr>
              <w:t>но низькою (під терміном “</w:t>
            </w:r>
            <w:bookmarkStart w:id="1" w:name="w1_2"/>
            <w:r w:rsidRPr="005F34A9">
              <w:rPr>
                <w:rFonts w:ascii="Times New Roman" w:eastAsia="Times New Roman" w:hAnsi="Times New Roman" w:cs="Times New Roman"/>
                <w:color w:val="000000"/>
                <w:spacing w:val="-6"/>
                <w:highlight w:val="yellow"/>
                <w:lang w:eastAsia="uk-UA"/>
              </w:rPr>
              <w:fldChar w:fldCharType="begin"/>
            </w:r>
            <w:r w:rsidRPr="005F34A9">
              <w:rPr>
                <w:rFonts w:ascii="Times New Roman" w:eastAsia="Times New Roman" w:hAnsi="Times New Roman" w:cs="Times New Roman"/>
                <w:color w:val="000000"/>
                <w:spacing w:val="-6"/>
                <w:highlight w:val="yellow"/>
                <w:lang w:eastAsia="uk-UA"/>
              </w:rPr>
              <w:instrText xml:space="preserve"> HYPERLINK "https://zakon.rada.gov.ua/laws/show/1178-2022-%D0%BF?find=1&amp;text=%D0%B0%D0%BD%D0%BE%D0%BC%D0%B0%D0%BB%D1%8C" \l "w1_3" </w:instrText>
            </w:r>
            <w:r w:rsidRPr="005F34A9">
              <w:rPr>
                <w:rFonts w:ascii="Times New Roman" w:eastAsia="Times New Roman" w:hAnsi="Times New Roman" w:cs="Times New Roman"/>
                <w:color w:val="000000"/>
                <w:spacing w:val="-6"/>
                <w:highlight w:val="yellow"/>
                <w:lang w:eastAsia="uk-UA"/>
              </w:rPr>
            </w:r>
            <w:r w:rsidRPr="005F34A9">
              <w:rPr>
                <w:rFonts w:ascii="Times New Roman" w:eastAsia="Times New Roman" w:hAnsi="Times New Roman" w:cs="Times New Roman"/>
                <w:color w:val="000000"/>
                <w:spacing w:val="-6"/>
                <w:highlight w:val="yellow"/>
                <w:lang w:eastAsia="uk-UA"/>
              </w:rPr>
              <w:fldChar w:fldCharType="separate"/>
            </w:r>
            <w:r w:rsidRPr="005F34A9">
              <w:rPr>
                <w:rFonts w:ascii="Times New Roman" w:eastAsia="Times New Roman" w:hAnsi="Times New Roman" w:cs="Times New Roman"/>
                <w:color w:val="000000"/>
                <w:spacing w:val="-6"/>
                <w:highlight w:val="yellow"/>
                <w:lang w:eastAsia="uk-UA"/>
              </w:rPr>
              <w:t>аномаль</w:t>
            </w:r>
            <w:r w:rsidRPr="005F34A9">
              <w:rPr>
                <w:rFonts w:ascii="Times New Roman" w:eastAsia="Times New Roman" w:hAnsi="Times New Roman" w:cs="Times New Roman"/>
                <w:color w:val="000000"/>
                <w:spacing w:val="-6"/>
                <w:highlight w:val="yellow"/>
                <w:lang w:eastAsia="uk-UA"/>
              </w:rPr>
              <w:fldChar w:fldCharType="end"/>
            </w:r>
            <w:bookmarkEnd w:id="1"/>
            <w:r w:rsidRPr="005F34A9">
              <w:rPr>
                <w:rFonts w:ascii="Times New Roman" w:eastAsia="Times New Roman" w:hAnsi="Times New Roman" w:cs="Times New Roman"/>
                <w:color w:val="000000"/>
                <w:spacing w:val="-6"/>
                <w:highlight w:val="yellow"/>
                <w:lang w:eastAsia="uk-UA"/>
              </w:rPr>
              <w:t>но низька ціна тендерної пропозиції”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w:t>
            </w:r>
            <w:bookmarkStart w:id="2" w:name="w1_3"/>
            <w:r w:rsidRPr="005F34A9">
              <w:rPr>
                <w:rFonts w:ascii="Times New Roman" w:eastAsia="Times New Roman" w:hAnsi="Times New Roman" w:cs="Times New Roman"/>
                <w:color w:val="000000"/>
                <w:spacing w:val="-6"/>
                <w:highlight w:val="yellow"/>
                <w:lang w:eastAsia="uk-UA"/>
              </w:rPr>
              <w:fldChar w:fldCharType="begin"/>
            </w:r>
            <w:r w:rsidRPr="005F34A9">
              <w:rPr>
                <w:rFonts w:ascii="Times New Roman" w:eastAsia="Times New Roman" w:hAnsi="Times New Roman" w:cs="Times New Roman"/>
                <w:color w:val="000000"/>
                <w:spacing w:val="-6"/>
                <w:highlight w:val="yellow"/>
                <w:lang w:eastAsia="uk-UA"/>
              </w:rPr>
              <w:instrText xml:space="preserve"> HYPERLINK "https://zakon.rada.gov.ua/laws/show/1178-2022-%D0%BF?find=1&amp;text=%D0%B0%D0%BD%D0%BE%D0%BC%D0%B0%D0%BB%D1%8C" \l "w1_4" </w:instrText>
            </w:r>
            <w:r w:rsidRPr="005F34A9">
              <w:rPr>
                <w:rFonts w:ascii="Times New Roman" w:eastAsia="Times New Roman" w:hAnsi="Times New Roman" w:cs="Times New Roman"/>
                <w:color w:val="000000"/>
                <w:spacing w:val="-6"/>
                <w:highlight w:val="yellow"/>
                <w:lang w:eastAsia="uk-UA"/>
              </w:rPr>
            </w:r>
            <w:r w:rsidRPr="005F34A9">
              <w:rPr>
                <w:rFonts w:ascii="Times New Roman" w:eastAsia="Times New Roman" w:hAnsi="Times New Roman" w:cs="Times New Roman"/>
                <w:color w:val="000000"/>
                <w:spacing w:val="-6"/>
                <w:highlight w:val="yellow"/>
                <w:lang w:eastAsia="uk-UA"/>
              </w:rPr>
              <w:fldChar w:fldCharType="separate"/>
            </w:r>
            <w:r w:rsidRPr="005F34A9">
              <w:rPr>
                <w:rFonts w:ascii="Times New Roman" w:eastAsia="Times New Roman" w:hAnsi="Times New Roman" w:cs="Times New Roman"/>
                <w:color w:val="000000"/>
                <w:spacing w:val="-6"/>
                <w:highlight w:val="yellow"/>
                <w:lang w:eastAsia="uk-UA"/>
              </w:rPr>
              <w:t>аномаль</w:t>
            </w:r>
            <w:r w:rsidRPr="005F34A9">
              <w:rPr>
                <w:rFonts w:ascii="Times New Roman" w:eastAsia="Times New Roman" w:hAnsi="Times New Roman" w:cs="Times New Roman"/>
                <w:color w:val="000000"/>
                <w:spacing w:val="-6"/>
                <w:highlight w:val="yellow"/>
                <w:lang w:eastAsia="uk-UA"/>
              </w:rPr>
              <w:fldChar w:fldCharType="end"/>
            </w:r>
            <w:bookmarkEnd w:id="2"/>
            <w:r w:rsidRPr="005F34A9">
              <w:rPr>
                <w:rFonts w:ascii="Times New Roman" w:eastAsia="Times New Roman" w:hAnsi="Times New Roman" w:cs="Times New Roman"/>
                <w:color w:val="000000"/>
                <w:spacing w:val="-6"/>
                <w:highlight w:val="yellow"/>
                <w:lang w:eastAsia="uk-UA"/>
              </w:rPr>
              <w:t>но низька ціна визначається електронною системою закупівель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14:paraId="6090D973" w14:textId="66AD7C27" w:rsidR="00815862" w:rsidRPr="005F34A9" w:rsidRDefault="002470B7" w:rsidP="00611165">
            <w:pPr>
              <w:widowControl w:val="0"/>
              <w:shd w:val="clear" w:color="auto" w:fill="FFFFFF"/>
              <w:spacing w:after="0" w:line="240" w:lineRule="auto"/>
              <w:ind w:firstLine="133"/>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Замовник може відхилити тендерну пропозицію із зазначенням аргументації в електронній системі закупівель у разі, коли учасник процедури закупівлі надав неналежне обґрунтування щодо ціни або вартості відповідних товарів, робіт чи послуг тендерної пропозиції, що є </w:t>
            </w:r>
            <w:bookmarkStart w:id="3" w:name="w1_5"/>
            <w:r w:rsidRPr="005F34A9">
              <w:rPr>
                <w:rFonts w:ascii="Times New Roman" w:eastAsia="Times New Roman" w:hAnsi="Times New Roman" w:cs="Times New Roman"/>
                <w:color w:val="000000"/>
                <w:spacing w:val="-6"/>
                <w:highlight w:val="yellow"/>
                <w:lang w:eastAsia="uk-UA"/>
              </w:rPr>
              <w:fldChar w:fldCharType="begin"/>
            </w:r>
            <w:r w:rsidRPr="005F34A9">
              <w:rPr>
                <w:rFonts w:ascii="Times New Roman" w:eastAsia="Times New Roman" w:hAnsi="Times New Roman" w:cs="Times New Roman"/>
                <w:color w:val="000000"/>
                <w:spacing w:val="-6"/>
                <w:highlight w:val="yellow"/>
                <w:lang w:eastAsia="uk-UA"/>
              </w:rPr>
              <w:instrText xml:space="preserve"> HYPERLINK "https://zakon.rada.gov.ua/laws/show/1178-2022-%D0%BF?find=1&amp;text=%D0%B0%D0%BD%D0%BE%D0%BC%D0%B0%D0%BB%D1%8C" \l "w1_6" </w:instrText>
            </w:r>
            <w:r w:rsidRPr="005F34A9">
              <w:rPr>
                <w:rFonts w:ascii="Times New Roman" w:eastAsia="Times New Roman" w:hAnsi="Times New Roman" w:cs="Times New Roman"/>
                <w:color w:val="000000"/>
                <w:spacing w:val="-6"/>
                <w:highlight w:val="yellow"/>
                <w:lang w:eastAsia="uk-UA"/>
              </w:rPr>
            </w:r>
            <w:r w:rsidRPr="005F34A9">
              <w:rPr>
                <w:rFonts w:ascii="Times New Roman" w:eastAsia="Times New Roman" w:hAnsi="Times New Roman" w:cs="Times New Roman"/>
                <w:color w:val="000000"/>
                <w:spacing w:val="-6"/>
                <w:highlight w:val="yellow"/>
                <w:lang w:eastAsia="uk-UA"/>
              </w:rPr>
              <w:fldChar w:fldCharType="separate"/>
            </w:r>
            <w:r w:rsidRPr="005F34A9">
              <w:rPr>
                <w:rFonts w:ascii="Times New Roman" w:eastAsia="Times New Roman" w:hAnsi="Times New Roman" w:cs="Times New Roman"/>
                <w:color w:val="000000"/>
                <w:spacing w:val="-6"/>
                <w:highlight w:val="yellow"/>
                <w:lang w:eastAsia="uk-UA"/>
              </w:rPr>
              <w:t>аномаль</w:t>
            </w:r>
            <w:r w:rsidRPr="005F34A9">
              <w:rPr>
                <w:rFonts w:ascii="Times New Roman" w:eastAsia="Times New Roman" w:hAnsi="Times New Roman" w:cs="Times New Roman"/>
                <w:color w:val="000000"/>
                <w:spacing w:val="-6"/>
                <w:highlight w:val="yellow"/>
                <w:lang w:eastAsia="uk-UA"/>
              </w:rPr>
              <w:fldChar w:fldCharType="end"/>
            </w:r>
            <w:bookmarkEnd w:id="3"/>
            <w:r w:rsidRPr="005F34A9">
              <w:rPr>
                <w:rFonts w:ascii="Times New Roman" w:eastAsia="Times New Roman" w:hAnsi="Times New Roman" w:cs="Times New Roman"/>
                <w:color w:val="000000"/>
                <w:spacing w:val="-6"/>
                <w:highlight w:val="yellow"/>
                <w:lang w:eastAsia="uk-UA"/>
              </w:rPr>
              <w:t xml:space="preserve">но </w:t>
            </w:r>
            <w:proofErr w:type="spellStart"/>
            <w:r w:rsidRPr="005F34A9">
              <w:rPr>
                <w:rFonts w:ascii="Times New Roman" w:eastAsia="Times New Roman" w:hAnsi="Times New Roman" w:cs="Times New Roman"/>
                <w:color w:val="000000"/>
                <w:spacing w:val="-6"/>
                <w:highlight w:val="yellow"/>
                <w:lang w:eastAsia="uk-UA"/>
              </w:rPr>
              <w:t>низькою</w:t>
            </w:r>
            <w:r w:rsidR="00F6275A" w:rsidRPr="005F34A9">
              <w:rPr>
                <w:rFonts w:ascii="Times New Roman" w:eastAsia="Times New Roman" w:hAnsi="Times New Roman" w:cs="Times New Roman"/>
                <w:color w:val="000000"/>
                <w:spacing w:val="-6"/>
                <w:highlight w:val="yellow"/>
                <w:lang w:eastAsia="uk-UA"/>
              </w:rPr>
              <w:t>та</w:t>
            </w:r>
            <w:proofErr w:type="spellEnd"/>
            <w:r w:rsidR="00F6275A" w:rsidRPr="005F34A9">
              <w:rPr>
                <w:rFonts w:ascii="Times New Roman" w:eastAsia="Times New Roman" w:hAnsi="Times New Roman" w:cs="Times New Roman"/>
                <w:color w:val="000000"/>
                <w:spacing w:val="-6"/>
                <w:highlight w:val="yellow"/>
                <w:lang w:eastAsia="uk-UA"/>
              </w:rPr>
              <w:t xml:space="preserve"> </w:t>
            </w:r>
            <w:r w:rsidR="00F6275A" w:rsidRPr="005F34A9">
              <w:rPr>
                <w:rFonts w:ascii="Times New Roman" w:eastAsia="Times New Roman" w:hAnsi="Times New Roman" w:cs="Times New Roman"/>
                <w:color w:val="000000"/>
                <w:spacing w:val="-6"/>
                <w:highlight w:val="yellow"/>
                <w:lang w:eastAsia="uk-UA"/>
              </w:rPr>
              <w:lastRenderedPageBreak/>
              <w:t xml:space="preserve">відхиляє </w:t>
            </w:r>
            <w:r w:rsidRPr="005F34A9">
              <w:rPr>
                <w:rFonts w:ascii="Times New Roman" w:eastAsia="Times New Roman" w:hAnsi="Times New Roman" w:cs="Times New Roman"/>
                <w:color w:val="000000"/>
                <w:spacing w:val="-6"/>
                <w:highlight w:val="yellow"/>
                <w:lang w:eastAsia="uk-UA"/>
              </w:rPr>
              <w:t>тендерну пропозицію із зазначенням аргументації в електронній системі закупівель у разі, коли учасник процедури закупівлі  не надав обґрунтування </w:t>
            </w:r>
            <w:bookmarkStart w:id="4" w:name="w1_4"/>
            <w:r w:rsidRPr="005F34A9">
              <w:rPr>
                <w:rFonts w:ascii="Times New Roman" w:eastAsia="Times New Roman" w:hAnsi="Times New Roman" w:cs="Times New Roman"/>
                <w:color w:val="000000"/>
                <w:spacing w:val="-6"/>
                <w:highlight w:val="yellow"/>
                <w:lang w:eastAsia="uk-UA"/>
              </w:rPr>
              <w:fldChar w:fldCharType="begin"/>
            </w:r>
            <w:r w:rsidRPr="005F34A9">
              <w:rPr>
                <w:rFonts w:ascii="Times New Roman" w:eastAsia="Times New Roman" w:hAnsi="Times New Roman" w:cs="Times New Roman"/>
                <w:color w:val="000000"/>
                <w:spacing w:val="-6"/>
                <w:highlight w:val="yellow"/>
                <w:lang w:eastAsia="uk-UA"/>
              </w:rPr>
              <w:instrText xml:space="preserve"> HYPERLINK "https://zakon.rada.gov.ua/laws/show/1178-2022-%D0%BF?find=1&amp;text=%D0%B0%D0%BD%D0%BE%D0%BC%D0%B0%D0%BB%D1%8C" \l "w1_5" </w:instrText>
            </w:r>
            <w:r w:rsidRPr="005F34A9">
              <w:rPr>
                <w:rFonts w:ascii="Times New Roman" w:eastAsia="Times New Roman" w:hAnsi="Times New Roman" w:cs="Times New Roman"/>
                <w:color w:val="000000"/>
                <w:spacing w:val="-6"/>
                <w:highlight w:val="yellow"/>
                <w:lang w:eastAsia="uk-UA"/>
              </w:rPr>
            </w:r>
            <w:r w:rsidRPr="005F34A9">
              <w:rPr>
                <w:rFonts w:ascii="Times New Roman" w:eastAsia="Times New Roman" w:hAnsi="Times New Roman" w:cs="Times New Roman"/>
                <w:color w:val="000000"/>
                <w:spacing w:val="-6"/>
                <w:highlight w:val="yellow"/>
                <w:lang w:eastAsia="uk-UA"/>
              </w:rPr>
              <w:fldChar w:fldCharType="separate"/>
            </w:r>
            <w:r w:rsidRPr="005F34A9">
              <w:rPr>
                <w:rFonts w:ascii="Times New Roman" w:eastAsia="Times New Roman" w:hAnsi="Times New Roman" w:cs="Times New Roman"/>
                <w:color w:val="000000"/>
                <w:spacing w:val="-6"/>
                <w:highlight w:val="yellow"/>
                <w:lang w:eastAsia="uk-UA"/>
              </w:rPr>
              <w:t>аномаль</w:t>
            </w:r>
            <w:r w:rsidRPr="005F34A9">
              <w:rPr>
                <w:rFonts w:ascii="Times New Roman" w:eastAsia="Times New Roman" w:hAnsi="Times New Roman" w:cs="Times New Roman"/>
                <w:color w:val="000000"/>
                <w:spacing w:val="-6"/>
                <w:highlight w:val="yellow"/>
                <w:lang w:eastAsia="uk-UA"/>
              </w:rPr>
              <w:fldChar w:fldCharType="end"/>
            </w:r>
            <w:bookmarkEnd w:id="4"/>
            <w:r w:rsidRPr="005F34A9">
              <w:rPr>
                <w:rFonts w:ascii="Times New Roman" w:eastAsia="Times New Roman" w:hAnsi="Times New Roman" w:cs="Times New Roman"/>
                <w:color w:val="000000"/>
                <w:spacing w:val="-6"/>
                <w:highlight w:val="yellow"/>
                <w:lang w:eastAsia="uk-UA"/>
              </w:rPr>
              <w:t>но низької ціни тендерної пропозиції протягом строку, визначеного </w:t>
            </w:r>
            <w:hyperlink r:id="rId17" w:anchor="n1543" w:tgtFrame="_blank" w:history="1">
              <w:r w:rsidRPr="005F34A9">
                <w:rPr>
                  <w:rFonts w:ascii="Times New Roman" w:eastAsia="Times New Roman" w:hAnsi="Times New Roman" w:cs="Times New Roman"/>
                  <w:color w:val="000000"/>
                  <w:spacing w:val="-6"/>
                  <w:highlight w:val="yellow"/>
                  <w:lang w:eastAsia="uk-UA"/>
                </w:rPr>
                <w:t>абзацом першим</w:t>
              </w:r>
            </w:hyperlink>
            <w:r w:rsidRPr="005F34A9">
              <w:rPr>
                <w:rFonts w:ascii="Times New Roman" w:eastAsia="Times New Roman" w:hAnsi="Times New Roman" w:cs="Times New Roman"/>
                <w:color w:val="000000"/>
                <w:spacing w:val="-6"/>
                <w:highlight w:val="yellow"/>
                <w:lang w:eastAsia="uk-UA"/>
              </w:rPr>
              <w:t> частини чотирнадцятої статті 29 Закону/</w:t>
            </w:r>
            <w:hyperlink r:id="rId18" w:anchor="n581" w:history="1">
              <w:r w:rsidRPr="005F34A9">
                <w:rPr>
                  <w:rFonts w:ascii="Times New Roman" w:eastAsia="Times New Roman" w:hAnsi="Times New Roman" w:cs="Times New Roman"/>
                  <w:color w:val="000000"/>
                  <w:spacing w:val="-6"/>
                  <w:highlight w:val="yellow"/>
                  <w:lang w:eastAsia="uk-UA"/>
                </w:rPr>
                <w:t>абзацом дев’ятим</w:t>
              </w:r>
            </w:hyperlink>
            <w:r w:rsidRPr="005F34A9">
              <w:rPr>
                <w:rFonts w:ascii="Times New Roman" w:eastAsia="Times New Roman" w:hAnsi="Times New Roman" w:cs="Times New Roman"/>
                <w:color w:val="000000"/>
                <w:spacing w:val="-6"/>
                <w:highlight w:val="yellow"/>
                <w:lang w:eastAsia="uk-UA"/>
              </w:rPr>
              <w:t xml:space="preserve"> пункту 37 Особливостей. </w:t>
            </w:r>
            <w:bookmarkStart w:id="5" w:name="n815"/>
            <w:bookmarkStart w:id="6" w:name="n816"/>
            <w:bookmarkStart w:id="7" w:name="n817"/>
            <w:bookmarkStart w:id="8" w:name="n818"/>
            <w:bookmarkStart w:id="9" w:name="n819"/>
            <w:bookmarkEnd w:id="5"/>
            <w:bookmarkEnd w:id="6"/>
            <w:bookmarkEnd w:id="7"/>
            <w:bookmarkEnd w:id="8"/>
            <w:bookmarkEnd w:id="9"/>
          </w:p>
        </w:tc>
      </w:tr>
      <w:tr w:rsidR="00F6275A" w:rsidRPr="00B75BDF" w14:paraId="1DE2DA1D"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1724E9CB"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lastRenderedPageBreak/>
              <w:t>3</w:t>
            </w:r>
          </w:p>
        </w:tc>
        <w:tc>
          <w:tcPr>
            <w:tcW w:w="2901" w:type="dxa"/>
            <w:tcBorders>
              <w:top w:val="single" w:sz="4" w:space="0" w:color="auto"/>
              <w:left w:val="single" w:sz="4" w:space="0" w:color="auto"/>
              <w:bottom w:val="single" w:sz="4" w:space="0" w:color="auto"/>
              <w:right w:val="single" w:sz="4" w:space="0" w:color="auto"/>
            </w:tcBorders>
            <w:hideMark/>
          </w:tcPr>
          <w:p w14:paraId="7E29DD3F" w14:textId="77777777" w:rsidR="00F6275A" w:rsidRPr="00B75BDF" w:rsidRDefault="00F6275A" w:rsidP="00C706ED">
            <w:pPr>
              <w:widowControl w:val="0"/>
              <w:spacing w:after="0" w:line="240" w:lineRule="auto"/>
              <w:ind w:right="113"/>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 xml:space="preserve">Інша інформація </w:t>
            </w:r>
          </w:p>
        </w:tc>
        <w:tc>
          <w:tcPr>
            <w:tcW w:w="7042" w:type="dxa"/>
            <w:tcBorders>
              <w:top w:val="single" w:sz="4" w:space="0" w:color="auto"/>
              <w:left w:val="single" w:sz="4" w:space="0" w:color="auto"/>
              <w:bottom w:val="single" w:sz="4" w:space="0" w:color="auto"/>
              <w:right w:val="single" w:sz="4" w:space="0" w:color="auto"/>
            </w:tcBorders>
            <w:hideMark/>
          </w:tcPr>
          <w:p w14:paraId="2719A530"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Вимоги до документів, що надаються переможцем торгів, порядку і строків їх надання, зазначено в </w:t>
            </w:r>
            <w:r w:rsidRPr="005F34A9">
              <w:rPr>
                <w:rFonts w:ascii="Times New Roman" w:eastAsia="Times New Roman" w:hAnsi="Times New Roman" w:cs="Times New Roman"/>
                <w:b/>
                <w:color w:val="000000"/>
                <w:spacing w:val="-6"/>
                <w:highlight w:val="yellow"/>
                <w:lang w:eastAsia="uk-UA"/>
              </w:rPr>
              <w:t>Додатку ІІІ</w:t>
            </w:r>
            <w:r w:rsidRPr="005F34A9">
              <w:rPr>
                <w:rFonts w:ascii="Times New Roman" w:eastAsia="Times New Roman" w:hAnsi="Times New Roman" w:cs="Times New Roman"/>
                <w:color w:val="000000"/>
                <w:spacing w:val="-6"/>
                <w:highlight w:val="yellow"/>
                <w:lang w:eastAsia="uk-UA"/>
              </w:rPr>
              <w:t xml:space="preserve"> до тендерної документації. </w:t>
            </w:r>
          </w:p>
        </w:tc>
      </w:tr>
      <w:tr w:rsidR="00F6275A" w:rsidRPr="00B75BDF" w14:paraId="626352C6"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22D63C71" w14:textId="77777777" w:rsidR="00F6275A" w:rsidRPr="00B75BDF" w:rsidRDefault="00F6275A" w:rsidP="00C706E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4</w:t>
            </w:r>
          </w:p>
        </w:tc>
        <w:tc>
          <w:tcPr>
            <w:tcW w:w="2901" w:type="dxa"/>
            <w:tcBorders>
              <w:top w:val="single" w:sz="4" w:space="0" w:color="auto"/>
              <w:left w:val="single" w:sz="4" w:space="0" w:color="auto"/>
              <w:bottom w:val="single" w:sz="4" w:space="0" w:color="auto"/>
              <w:right w:val="single" w:sz="4" w:space="0" w:color="auto"/>
            </w:tcBorders>
            <w:hideMark/>
          </w:tcPr>
          <w:p w14:paraId="0FD96D7B" w14:textId="77777777" w:rsidR="00F6275A" w:rsidRPr="00B75BDF" w:rsidRDefault="00F6275A" w:rsidP="00C706ED">
            <w:pPr>
              <w:widowControl w:val="0"/>
              <w:spacing w:after="0" w:line="240" w:lineRule="auto"/>
              <w:ind w:right="113"/>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Відхилення тендерних пропозицій</w:t>
            </w:r>
          </w:p>
        </w:tc>
        <w:tc>
          <w:tcPr>
            <w:tcW w:w="7042" w:type="dxa"/>
            <w:tcBorders>
              <w:top w:val="single" w:sz="4" w:space="0" w:color="auto"/>
              <w:left w:val="single" w:sz="4" w:space="0" w:color="auto"/>
              <w:bottom w:val="single" w:sz="4" w:space="0" w:color="auto"/>
              <w:right w:val="single" w:sz="4" w:space="0" w:color="auto"/>
            </w:tcBorders>
            <w:hideMark/>
          </w:tcPr>
          <w:p w14:paraId="2349C487"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Замовник відхиляє тендерну пропозицію із зазначенням аргументації в електронній системі закупівель у разі, коли:</w:t>
            </w:r>
          </w:p>
          <w:p w14:paraId="60053566"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1) </w:t>
            </w:r>
            <w:r w:rsidRPr="005F34A9">
              <w:rPr>
                <w:rFonts w:ascii="Times New Roman" w:eastAsia="Times New Roman" w:hAnsi="Times New Roman" w:cs="Times New Roman"/>
                <w:b/>
                <w:spacing w:val="-6"/>
                <w:highlight w:val="yellow"/>
                <w:lang w:eastAsia="uk-UA"/>
              </w:rPr>
              <w:t>учасник процедури закупівлі</w:t>
            </w:r>
            <w:r w:rsidRPr="005F34A9">
              <w:rPr>
                <w:rFonts w:ascii="Times New Roman" w:eastAsia="Times New Roman" w:hAnsi="Times New Roman" w:cs="Times New Roman"/>
                <w:spacing w:val="-6"/>
                <w:highlight w:val="yellow"/>
                <w:lang w:eastAsia="uk-UA"/>
              </w:rPr>
              <w:t>:</w:t>
            </w:r>
          </w:p>
          <w:p w14:paraId="1B3FEBA2" w14:textId="0EF3B586" w:rsidR="00A57725" w:rsidRPr="005F34A9" w:rsidRDefault="00A57725" w:rsidP="00A57725">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підпадає під підстави, встановлені пунктом 47 Особливостей;</w:t>
            </w:r>
          </w:p>
          <w:p w14:paraId="42DE7966" w14:textId="33A4606D" w:rsidR="00F6275A" w:rsidRPr="005F34A9" w:rsidRDefault="00F6275A" w:rsidP="00C706ED">
            <w:pPr>
              <w:widowControl w:val="0"/>
              <w:spacing w:after="0" w:line="240" w:lineRule="auto"/>
              <w:ind w:firstLine="176"/>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w:t>
            </w:r>
            <w:r w:rsidR="00A57725" w:rsidRPr="005F34A9">
              <w:rPr>
                <w:rFonts w:ascii="Times New Roman" w:eastAsia="Times New Roman" w:hAnsi="Times New Roman" w:cs="Times New Roman"/>
                <w:spacing w:val="-6"/>
                <w:highlight w:val="yellow"/>
                <w:lang w:eastAsia="uk-UA"/>
              </w:rPr>
              <w:t xml:space="preserve"> першим</w:t>
            </w:r>
            <w:r w:rsidRPr="005F34A9">
              <w:rPr>
                <w:rFonts w:ascii="Times New Roman" w:eastAsia="Times New Roman" w:hAnsi="Times New Roman" w:cs="Times New Roman"/>
                <w:spacing w:val="-6"/>
                <w:highlight w:val="yellow"/>
                <w:lang w:eastAsia="uk-UA"/>
              </w:rPr>
              <w:t xml:space="preserve"> пункту </w:t>
            </w:r>
            <w:r w:rsidR="00A57725" w:rsidRPr="005F34A9">
              <w:rPr>
                <w:rFonts w:ascii="Times New Roman" w:eastAsia="Times New Roman" w:hAnsi="Times New Roman" w:cs="Times New Roman"/>
                <w:spacing w:val="-6"/>
                <w:highlight w:val="yellow"/>
                <w:lang w:eastAsia="uk-UA"/>
              </w:rPr>
              <w:t>42</w:t>
            </w:r>
            <w:r w:rsidRPr="005F34A9">
              <w:rPr>
                <w:rFonts w:ascii="Times New Roman" w:eastAsia="Times New Roman" w:hAnsi="Times New Roman" w:cs="Times New Roman"/>
                <w:spacing w:val="-6"/>
                <w:highlight w:val="yellow"/>
                <w:lang w:eastAsia="uk-UA"/>
              </w:rPr>
              <w:t xml:space="preserve"> Особливостей;</w:t>
            </w:r>
          </w:p>
          <w:p w14:paraId="6BE414BF"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не надав забезпечення тендерної пропозиції, якщо таке забезпечення вимагалося замовником;</w:t>
            </w:r>
          </w:p>
          <w:p w14:paraId="27FCC34C"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14:paraId="26DD0145" w14:textId="32A9F4E8"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не надав обґрунтування аномально низької ціни тендерної пропозиції протягом строку, визначеного абзацом п</w:t>
            </w:r>
            <w:r w:rsidR="00323A9E" w:rsidRPr="005F34A9">
              <w:rPr>
                <w:rFonts w:ascii="Times New Roman" w:eastAsia="Times New Roman" w:hAnsi="Times New Roman" w:cs="Times New Roman"/>
                <w:spacing w:val="-6"/>
                <w:highlight w:val="yellow"/>
                <w:lang w:eastAsia="uk-UA"/>
              </w:rPr>
              <w:t>ершим частини чотирнадцятої статті 2</w:t>
            </w:r>
            <w:r w:rsidR="007D0AA1" w:rsidRPr="005F34A9">
              <w:rPr>
                <w:rFonts w:ascii="Times New Roman" w:eastAsia="Times New Roman" w:hAnsi="Times New Roman" w:cs="Times New Roman"/>
                <w:spacing w:val="-6"/>
                <w:highlight w:val="yellow"/>
                <w:lang w:eastAsia="uk-UA"/>
              </w:rPr>
              <w:t>9</w:t>
            </w:r>
            <w:r w:rsidR="0056723C" w:rsidRPr="005F34A9">
              <w:rPr>
                <w:rFonts w:ascii="Times New Roman" w:eastAsia="Times New Roman" w:hAnsi="Times New Roman" w:cs="Times New Roman"/>
                <w:spacing w:val="-6"/>
                <w:highlight w:val="yellow"/>
                <w:lang w:eastAsia="uk-UA"/>
              </w:rPr>
              <w:t xml:space="preserve"> </w:t>
            </w:r>
            <w:r w:rsidR="00323A9E" w:rsidRPr="005F34A9">
              <w:rPr>
                <w:rFonts w:ascii="Times New Roman" w:eastAsia="Times New Roman" w:hAnsi="Times New Roman" w:cs="Times New Roman"/>
                <w:spacing w:val="-6"/>
                <w:highlight w:val="yellow"/>
                <w:lang w:eastAsia="uk-UA"/>
              </w:rPr>
              <w:t>Закону</w:t>
            </w:r>
            <w:r w:rsidR="007D0AA1" w:rsidRPr="005F34A9">
              <w:rPr>
                <w:rFonts w:ascii="Times New Roman" w:eastAsia="Times New Roman" w:hAnsi="Times New Roman" w:cs="Times New Roman"/>
                <w:spacing w:val="-6"/>
                <w:highlight w:val="yellow"/>
                <w:lang w:eastAsia="uk-UA"/>
              </w:rPr>
              <w:t>/абзацом дев’ятим пункту 37 Особливостей</w:t>
            </w:r>
            <w:r w:rsidRPr="005F34A9">
              <w:rPr>
                <w:rFonts w:ascii="Times New Roman" w:eastAsia="Times New Roman" w:hAnsi="Times New Roman" w:cs="Times New Roman"/>
                <w:spacing w:val="-6"/>
                <w:highlight w:val="yellow"/>
                <w:lang w:eastAsia="uk-UA"/>
              </w:rPr>
              <w:t>;</w:t>
            </w:r>
          </w:p>
          <w:p w14:paraId="0786728F" w14:textId="1B53E1C4"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визначив конфіденційною інформацію, що не може бути визначена як конфіденційна відповідно до вимог  пункту </w:t>
            </w:r>
            <w:r w:rsidR="00323A9E" w:rsidRPr="005F34A9">
              <w:rPr>
                <w:rFonts w:ascii="Times New Roman" w:eastAsia="Times New Roman" w:hAnsi="Times New Roman" w:cs="Times New Roman"/>
                <w:spacing w:val="-6"/>
                <w:highlight w:val="yellow"/>
                <w:lang w:eastAsia="uk-UA"/>
              </w:rPr>
              <w:t>40</w:t>
            </w:r>
            <w:r w:rsidRPr="005F34A9">
              <w:rPr>
                <w:rFonts w:ascii="Times New Roman" w:eastAsia="Times New Roman" w:hAnsi="Times New Roman" w:cs="Times New Roman"/>
                <w:spacing w:val="-6"/>
                <w:highlight w:val="yellow"/>
                <w:lang w:eastAsia="uk-UA"/>
              </w:rPr>
              <w:t xml:space="preserve"> Особливостей;</w:t>
            </w:r>
          </w:p>
          <w:p w14:paraId="4BE59E28" w14:textId="4A17D624"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є громадянином Російської Федерації/Республіки Білорусь (крім того, що проживає на території України на законних підставах); юридичною особою, </w:t>
            </w:r>
            <w:r w:rsidR="009C758B" w:rsidRPr="005F34A9">
              <w:rPr>
                <w:rFonts w:ascii="Times New Roman" w:eastAsia="Times New Roman" w:hAnsi="Times New Roman" w:cs="Times New Roman"/>
                <w:spacing w:val="-6"/>
                <w:highlight w:val="yellow"/>
                <w:lang w:eastAsia="uk-UA"/>
              </w:rPr>
              <w:t>у</w:t>
            </w:r>
            <w:r w:rsidRPr="005F34A9">
              <w:rPr>
                <w:rFonts w:ascii="Times New Roman" w:eastAsia="Times New Roman" w:hAnsi="Times New Roman" w:cs="Times New Roman"/>
                <w:spacing w:val="-6"/>
                <w:highlight w:val="yellow"/>
                <w:lang w:eastAsia="uk-UA"/>
              </w:rPr>
              <w:t xml:space="preserve">твореною та зареєстрованою відповідно до законодавства Російської Федерації/Республіки Білорусь; юридичною особою, </w:t>
            </w:r>
            <w:r w:rsidR="009C758B" w:rsidRPr="005F34A9">
              <w:rPr>
                <w:rFonts w:ascii="Times New Roman" w:eastAsia="Times New Roman" w:hAnsi="Times New Roman" w:cs="Times New Roman"/>
                <w:spacing w:val="-6"/>
                <w:highlight w:val="yellow"/>
                <w:lang w:eastAsia="uk-UA"/>
              </w:rPr>
              <w:t>у</w:t>
            </w:r>
            <w:r w:rsidRPr="005F34A9">
              <w:rPr>
                <w:rFonts w:ascii="Times New Roman" w:eastAsia="Times New Roman" w:hAnsi="Times New Roman" w:cs="Times New Roman"/>
                <w:spacing w:val="-6"/>
                <w:highlight w:val="yellow"/>
                <w:lang w:eastAsia="uk-UA"/>
              </w:rPr>
              <w:t>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w:t>
            </w:r>
            <w:r w:rsidR="009C758B" w:rsidRPr="005F34A9">
              <w:rPr>
                <w:rFonts w:ascii="Times New Roman" w:eastAsia="Times New Roman" w:hAnsi="Times New Roman" w:cs="Times New Roman"/>
                <w:spacing w:val="-6"/>
                <w:highlight w:val="yellow"/>
                <w:lang w:eastAsia="uk-UA"/>
              </w:rPr>
              <w:t xml:space="preserve"> (далі – активи)</w:t>
            </w:r>
            <w:r w:rsidRPr="005F34A9">
              <w:rPr>
                <w:rFonts w:ascii="Times New Roman" w:eastAsia="Times New Roman" w:hAnsi="Times New Roman" w:cs="Times New Roman"/>
                <w:spacing w:val="-6"/>
                <w:highlight w:val="yellow"/>
                <w:lang w:eastAsia="uk-UA"/>
              </w:rPr>
              <w:t xml:space="preserve">,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w:t>
            </w:r>
            <w:r w:rsidR="009C758B" w:rsidRPr="005F34A9">
              <w:rPr>
                <w:rFonts w:ascii="Times New Roman" w:eastAsia="Times New Roman" w:hAnsi="Times New Roman" w:cs="Times New Roman"/>
                <w:spacing w:val="-6"/>
                <w:highlight w:val="yellow"/>
                <w:lang w:eastAsia="uk-UA"/>
              </w:rPr>
              <w:t>у</w:t>
            </w:r>
            <w:r w:rsidRPr="005F34A9">
              <w:rPr>
                <w:rFonts w:ascii="Times New Roman" w:eastAsia="Times New Roman" w:hAnsi="Times New Roman" w:cs="Times New Roman"/>
                <w:spacing w:val="-6"/>
                <w:highlight w:val="yellow"/>
                <w:lang w:eastAsia="uk-UA"/>
              </w:rPr>
              <w:t xml:space="preserve">твореною та зареєстрованою відповідно до законодавства Російської Федерації/Республіки Білорусь; </w:t>
            </w:r>
            <w:r w:rsidR="009C758B" w:rsidRPr="005F34A9">
              <w:rPr>
                <w:rFonts w:ascii="Times New Roman" w:eastAsia="Times New Roman" w:hAnsi="Times New Roman" w:cs="Times New Roman"/>
                <w:spacing w:val="-6"/>
                <w:highlight w:val="yellow"/>
                <w:lang w:eastAsia="uk-UA"/>
              </w:rPr>
              <w:t xml:space="preserve">крім випадків коли активи в установленому законодавством порядку передані в управління Національному </w:t>
            </w:r>
            <w:proofErr w:type="spellStart"/>
            <w:r w:rsidR="009C758B" w:rsidRPr="005F34A9">
              <w:rPr>
                <w:rFonts w:ascii="Times New Roman" w:eastAsia="Times New Roman" w:hAnsi="Times New Roman" w:cs="Times New Roman"/>
                <w:spacing w:val="-6"/>
                <w:highlight w:val="yellow"/>
                <w:lang w:eastAsia="uk-UA"/>
              </w:rPr>
              <w:t>агенству</w:t>
            </w:r>
            <w:proofErr w:type="spellEnd"/>
            <w:r w:rsidR="009C758B" w:rsidRPr="005F34A9">
              <w:rPr>
                <w:rFonts w:ascii="Times New Roman" w:eastAsia="Times New Roman" w:hAnsi="Times New Roman" w:cs="Times New Roman"/>
                <w:spacing w:val="-6"/>
                <w:highlight w:val="yellow"/>
                <w:lang w:eastAsia="uk-UA"/>
              </w:rPr>
              <w:t xml:space="preserve"> з питань виявлення, розшуку та управління активами, одержаними від корупційних та інших злочинів; </w:t>
            </w:r>
            <w:r w:rsidRPr="005F34A9">
              <w:rPr>
                <w:rFonts w:ascii="Times New Roman" w:eastAsia="Times New Roman" w:hAnsi="Times New Roman" w:cs="Times New Roman"/>
                <w:spacing w:val="-6"/>
                <w:highlight w:val="yellow"/>
                <w:lang w:eastAsia="uk-UA"/>
              </w:rPr>
              <w:t xml:space="preserve">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w:t>
            </w:r>
            <w:r w:rsidRPr="005F34A9">
              <w:rPr>
                <w:rFonts w:ascii="Times New Roman" w:eastAsia="Times New Roman" w:hAnsi="Times New Roman" w:cs="Times New Roman"/>
                <w:spacing w:val="-4"/>
                <w:highlight w:val="yellow"/>
                <w:lang w:eastAsia="uk-UA"/>
              </w:rPr>
              <w:t>(Офіційний вісник України, 2022 р., № 84, ст. 5176);</w:t>
            </w:r>
          </w:p>
          <w:p w14:paraId="42F145F0"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2) </w:t>
            </w:r>
            <w:r w:rsidRPr="005F34A9">
              <w:rPr>
                <w:rFonts w:ascii="Times New Roman" w:eastAsia="Times New Roman" w:hAnsi="Times New Roman" w:cs="Times New Roman"/>
                <w:b/>
                <w:spacing w:val="-6"/>
                <w:highlight w:val="yellow"/>
                <w:u w:val="single"/>
                <w:lang w:eastAsia="uk-UA"/>
              </w:rPr>
              <w:t>тендерна пропозиція</w:t>
            </w:r>
            <w:r w:rsidRPr="005F34A9">
              <w:rPr>
                <w:rFonts w:ascii="Times New Roman" w:eastAsia="Times New Roman" w:hAnsi="Times New Roman" w:cs="Times New Roman"/>
                <w:spacing w:val="-6"/>
                <w:highlight w:val="yellow"/>
                <w:lang w:eastAsia="uk-UA"/>
              </w:rPr>
              <w:t xml:space="preserve">: </w:t>
            </w:r>
          </w:p>
          <w:p w14:paraId="3D14E71F" w14:textId="1449A59A" w:rsidR="00F6275A" w:rsidRPr="005F34A9" w:rsidRDefault="00F6275A" w:rsidP="00C706ED">
            <w:pPr>
              <w:widowControl w:val="0"/>
              <w:spacing w:after="0" w:line="240" w:lineRule="auto"/>
              <w:ind w:firstLine="176"/>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не відповідає умовам технічної специфікації та іншим вимогам щодо предмета закупівлі тендерної документації, крім невідповідності </w:t>
            </w:r>
            <w:r w:rsidR="00B95CC1" w:rsidRPr="005F34A9">
              <w:rPr>
                <w:rFonts w:ascii="Times New Roman" w:eastAsia="Times New Roman" w:hAnsi="Times New Roman" w:cs="Times New Roman"/>
                <w:spacing w:val="-6"/>
                <w:highlight w:val="yellow"/>
                <w:lang w:eastAsia="uk-UA"/>
              </w:rPr>
              <w:t>в</w:t>
            </w:r>
            <w:r w:rsidRPr="005F34A9">
              <w:rPr>
                <w:rFonts w:ascii="Times New Roman" w:eastAsia="Times New Roman" w:hAnsi="Times New Roman" w:cs="Times New Roman"/>
                <w:spacing w:val="-6"/>
                <w:highlight w:val="yellow"/>
                <w:lang w:eastAsia="uk-UA"/>
              </w:rPr>
              <w:t xml:space="preserve"> інформації та/або документах, що може бути усунена учасником процедури закупівлі відповідно до пункту 4</w:t>
            </w:r>
            <w:r w:rsidR="00B95CC1" w:rsidRPr="005F34A9">
              <w:rPr>
                <w:rFonts w:ascii="Times New Roman" w:eastAsia="Times New Roman" w:hAnsi="Times New Roman" w:cs="Times New Roman"/>
                <w:spacing w:val="-6"/>
                <w:highlight w:val="yellow"/>
                <w:lang w:eastAsia="uk-UA"/>
              </w:rPr>
              <w:t>3</w:t>
            </w:r>
            <w:r w:rsidRPr="005F34A9">
              <w:rPr>
                <w:rFonts w:ascii="Times New Roman" w:eastAsia="Times New Roman" w:hAnsi="Times New Roman" w:cs="Times New Roman"/>
                <w:spacing w:val="-6"/>
                <w:highlight w:val="yellow"/>
                <w:lang w:eastAsia="uk-UA"/>
              </w:rPr>
              <w:t xml:space="preserve"> Особливостей;</w:t>
            </w:r>
          </w:p>
          <w:p w14:paraId="65F36F6B"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lastRenderedPageBreak/>
              <w:t>- є такою, строк дії якої закінчився;</w:t>
            </w:r>
          </w:p>
          <w:p w14:paraId="47064FEF"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58356B86" w14:textId="6862AE61"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не відповідає вимогам, установленим у тендерній документації відповідно до абзацу першого частини третьої статті 22 Закону</w:t>
            </w:r>
            <w:r w:rsidR="00B95CC1" w:rsidRPr="005F34A9">
              <w:rPr>
                <w:rFonts w:ascii="Times New Roman" w:eastAsia="Times New Roman" w:hAnsi="Times New Roman" w:cs="Times New Roman"/>
                <w:spacing w:val="-6"/>
                <w:highlight w:val="yellow"/>
                <w:lang w:eastAsia="uk-UA"/>
              </w:rPr>
              <w:t>;</w:t>
            </w:r>
          </w:p>
          <w:p w14:paraId="146ADC82"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3) </w:t>
            </w:r>
            <w:r w:rsidRPr="005F34A9">
              <w:rPr>
                <w:rFonts w:ascii="Times New Roman" w:eastAsia="Times New Roman" w:hAnsi="Times New Roman" w:cs="Times New Roman"/>
                <w:b/>
                <w:spacing w:val="-6"/>
                <w:highlight w:val="yellow"/>
                <w:u w:val="single"/>
                <w:lang w:eastAsia="uk-UA"/>
              </w:rPr>
              <w:t>переможець процедури закупівлі</w:t>
            </w:r>
            <w:r w:rsidRPr="005F34A9">
              <w:rPr>
                <w:rFonts w:ascii="Times New Roman" w:eastAsia="Times New Roman" w:hAnsi="Times New Roman" w:cs="Times New Roman"/>
                <w:spacing w:val="-6"/>
                <w:highlight w:val="yellow"/>
                <w:lang w:eastAsia="uk-UA"/>
              </w:rPr>
              <w:t>:</w:t>
            </w:r>
          </w:p>
          <w:p w14:paraId="629A1F1F"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відмовився від підписання договору про закупівлю відповідно до вимог тендерної документації або укладення договору про закупівлю;</w:t>
            </w:r>
          </w:p>
          <w:p w14:paraId="4DA8D56F" w14:textId="3AE96938"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не надав у спосіб, зазначений в тендерній документації, документи, що підтверджують відсутність підстав, визначених </w:t>
            </w:r>
            <w:r w:rsidR="00B95CC1" w:rsidRPr="005F34A9">
              <w:rPr>
                <w:rFonts w:ascii="Times New Roman" w:eastAsia="Times New Roman" w:hAnsi="Times New Roman" w:cs="Times New Roman"/>
                <w:spacing w:val="-6"/>
                <w:highlight w:val="yellow"/>
                <w:lang w:eastAsia="uk-UA"/>
              </w:rPr>
              <w:t xml:space="preserve">у підпунктах 3, 5, 6 і 12 та в абзаці чотирнадцятому </w:t>
            </w:r>
            <w:r w:rsidRPr="005F34A9">
              <w:rPr>
                <w:rFonts w:ascii="Times New Roman" w:eastAsia="Times New Roman" w:hAnsi="Times New Roman" w:cs="Times New Roman"/>
                <w:spacing w:val="-6"/>
                <w:highlight w:val="yellow"/>
                <w:lang w:eastAsia="uk-UA"/>
              </w:rPr>
              <w:t>пункт</w:t>
            </w:r>
            <w:r w:rsidR="001950B2" w:rsidRPr="005F34A9">
              <w:rPr>
                <w:rFonts w:ascii="Times New Roman" w:eastAsia="Times New Roman" w:hAnsi="Times New Roman" w:cs="Times New Roman"/>
                <w:spacing w:val="-6"/>
                <w:highlight w:val="yellow"/>
                <w:lang w:eastAsia="uk-UA"/>
              </w:rPr>
              <w:t>у</w:t>
            </w:r>
            <w:r w:rsidRPr="005F34A9">
              <w:rPr>
                <w:rFonts w:ascii="Times New Roman" w:eastAsia="Times New Roman" w:hAnsi="Times New Roman" w:cs="Times New Roman"/>
                <w:spacing w:val="-6"/>
                <w:highlight w:val="yellow"/>
                <w:lang w:eastAsia="uk-UA"/>
              </w:rPr>
              <w:t xml:space="preserve"> 4</w:t>
            </w:r>
            <w:r w:rsidR="00B95CC1" w:rsidRPr="005F34A9">
              <w:rPr>
                <w:rFonts w:ascii="Times New Roman" w:eastAsia="Times New Roman" w:hAnsi="Times New Roman" w:cs="Times New Roman"/>
                <w:spacing w:val="-6"/>
                <w:highlight w:val="yellow"/>
                <w:lang w:eastAsia="uk-UA"/>
              </w:rPr>
              <w:t>7</w:t>
            </w:r>
            <w:r w:rsidRPr="005F34A9">
              <w:rPr>
                <w:rFonts w:ascii="Times New Roman" w:eastAsia="Times New Roman" w:hAnsi="Times New Roman" w:cs="Times New Roman"/>
                <w:spacing w:val="-6"/>
                <w:highlight w:val="yellow"/>
                <w:lang w:eastAsia="uk-UA"/>
              </w:rPr>
              <w:t xml:space="preserve"> Особливостей;</w:t>
            </w:r>
          </w:p>
          <w:p w14:paraId="5CFEDD14"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не надав забезпечення виконання договору про закупівлю, якщо таке забезпечення вимагалося замовником;</w:t>
            </w:r>
          </w:p>
          <w:p w14:paraId="38742A6C" w14:textId="683D292A"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надав недостовірну інформацію, що є суттєвою для визначення результатів процедури закупівлі, яку замовником виявлено згідно з абзацом </w:t>
            </w:r>
            <w:r w:rsidR="00B95CC1" w:rsidRPr="005F34A9">
              <w:rPr>
                <w:rFonts w:ascii="Times New Roman" w:eastAsia="Times New Roman" w:hAnsi="Times New Roman" w:cs="Times New Roman"/>
                <w:spacing w:val="-6"/>
                <w:highlight w:val="yellow"/>
                <w:lang w:eastAsia="uk-UA"/>
              </w:rPr>
              <w:t xml:space="preserve">першим </w:t>
            </w:r>
            <w:r w:rsidRPr="005F34A9">
              <w:rPr>
                <w:rFonts w:ascii="Times New Roman" w:eastAsia="Times New Roman" w:hAnsi="Times New Roman" w:cs="Times New Roman"/>
                <w:spacing w:val="-6"/>
                <w:highlight w:val="yellow"/>
                <w:lang w:eastAsia="uk-UA"/>
              </w:rPr>
              <w:t xml:space="preserve"> пункту </w:t>
            </w:r>
            <w:r w:rsidR="00B95CC1" w:rsidRPr="005F34A9">
              <w:rPr>
                <w:rFonts w:ascii="Times New Roman" w:eastAsia="Times New Roman" w:hAnsi="Times New Roman" w:cs="Times New Roman"/>
                <w:spacing w:val="-6"/>
                <w:highlight w:val="yellow"/>
                <w:lang w:eastAsia="uk-UA"/>
              </w:rPr>
              <w:t>42</w:t>
            </w:r>
            <w:r w:rsidRPr="005F34A9">
              <w:rPr>
                <w:rFonts w:ascii="Times New Roman" w:eastAsia="Times New Roman" w:hAnsi="Times New Roman" w:cs="Times New Roman"/>
                <w:spacing w:val="-6"/>
                <w:highlight w:val="yellow"/>
                <w:lang w:eastAsia="uk-UA"/>
              </w:rPr>
              <w:t xml:space="preserve"> Особливостей.</w:t>
            </w:r>
          </w:p>
          <w:p w14:paraId="5B8C4920" w14:textId="6F2D9394"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b/>
                <w:bCs/>
                <w:spacing w:val="-6"/>
                <w:highlight w:val="yellow"/>
                <w:u w:val="single"/>
                <w:lang w:eastAsia="uk-UA"/>
              </w:rPr>
            </w:pPr>
            <w:r w:rsidRPr="005F34A9">
              <w:rPr>
                <w:rFonts w:ascii="Times New Roman" w:eastAsia="Times New Roman" w:hAnsi="Times New Roman" w:cs="Times New Roman"/>
                <w:b/>
                <w:bCs/>
                <w:spacing w:val="-6"/>
                <w:highlight w:val="yellow"/>
                <w:u w:val="single"/>
                <w:lang w:eastAsia="uk-UA"/>
              </w:rPr>
              <w:t>Замовник може відхилити тендерну пропозицію із зазначенням аргументації в електронній системі закупівель у разі, коли:</w:t>
            </w:r>
          </w:p>
          <w:p w14:paraId="2FDE2CF0" w14:textId="77777777" w:rsidR="00F6275A" w:rsidRPr="00B75BDF" w:rsidRDefault="00F6275A" w:rsidP="00C706ED">
            <w:pPr>
              <w:widowControl w:val="0"/>
              <w:spacing w:after="0" w:line="240" w:lineRule="auto"/>
              <w:ind w:firstLine="176"/>
              <w:contextualSpacing/>
              <w:jc w:val="both"/>
              <w:rPr>
                <w:rFonts w:ascii="Times New Roman" w:eastAsia="Times New Roman" w:hAnsi="Times New Roman" w:cs="Times New Roman"/>
                <w:spacing w:val="-6"/>
                <w:lang w:eastAsia="uk-UA"/>
              </w:rPr>
            </w:pPr>
            <w:r w:rsidRPr="005F34A9">
              <w:rPr>
                <w:rFonts w:ascii="Times New Roman" w:eastAsia="Times New Roman" w:hAnsi="Times New Roman" w:cs="Times New Roman"/>
                <w:spacing w:val="-6"/>
                <w:highlight w:val="yellow"/>
                <w:lang w:eastAsia="uk-UA"/>
              </w:rPr>
              <w:t>1)</w:t>
            </w:r>
            <w:r w:rsidRPr="005F34A9">
              <w:rPr>
                <w:rFonts w:ascii="Times New Roman" w:eastAsia="Times New Roman" w:hAnsi="Times New Roman" w:cs="Times New Roman"/>
                <w:spacing w:val="-6"/>
                <w:highlight w:val="yellow"/>
                <w:lang w:eastAsia="uk-UA"/>
              </w:rPr>
              <w:tab/>
              <w:t>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796EC4A2" w14:textId="61A7374E"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2) учасник процедури закупівлі не виконав свої зобов’язання за раніше укладеним договором про закупівлю 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297A65B3"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закупівель.</w:t>
            </w:r>
          </w:p>
          <w:p w14:paraId="579C5EC4"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зобов’язаний надати йому відповідь з такою інформацією не пізніш як через чотири дні з дати надходження такого звернення через електронну систему закупівель, але до моменту оприлюднення договору про закупівлю в електронній системі закупівель відповідно до статті 10 Закону.</w:t>
            </w:r>
          </w:p>
          <w:p w14:paraId="24EC5DC5" w14:textId="77777777" w:rsidR="00F6275A" w:rsidRPr="005F34A9" w:rsidRDefault="00F6275A" w:rsidP="00C706ED">
            <w:pPr>
              <w:widowControl w:val="0"/>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Наявність у тендерній пропозиції учасника формальних (несуттєвих) помилок не призведе до відхилення його пропозиції.</w:t>
            </w:r>
          </w:p>
          <w:p w14:paraId="1AD61CDE" w14:textId="77777777" w:rsidR="00F6275A" w:rsidRPr="005F34A9" w:rsidRDefault="00F6275A" w:rsidP="00C706ED">
            <w:pPr>
              <w:spacing w:after="0" w:line="240" w:lineRule="auto"/>
              <w:ind w:firstLine="133"/>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rPr>
              <w:t xml:space="preserve">Формальними (несуттєвими) вважаються помилки, що пов'язані з оформленням тендерної пропозиції та не впливають на зміст пропозиції </w:t>
            </w:r>
            <w:r w:rsidRPr="005F34A9">
              <w:rPr>
                <w:rFonts w:ascii="Times New Roman" w:eastAsia="Times New Roman" w:hAnsi="Times New Roman" w:cs="Times New Roman"/>
                <w:spacing w:val="-6"/>
                <w:highlight w:val="yellow"/>
              </w:rPr>
              <w:lastRenderedPageBreak/>
              <w:t>перелік яких затверджений наказом № 710 від 15.04.2020 р. Міністерства розвитку економіки, торгівлі та сільського господарства України</w:t>
            </w:r>
            <w:r w:rsidRPr="005F34A9">
              <w:rPr>
                <w:rFonts w:ascii="Times New Roman" w:eastAsia="Times New Roman" w:hAnsi="Times New Roman" w:cs="Times New Roman"/>
                <w:spacing w:val="-6"/>
                <w:highlight w:val="yellow"/>
                <w:lang w:eastAsia="uk-UA"/>
              </w:rPr>
              <w:t xml:space="preserve">: </w:t>
            </w:r>
          </w:p>
          <w:p w14:paraId="231E435F"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1. Інформація/документ, подана учасником процедури закупівлі у складі тендерної пропозиції, містить помилку (помилки) у частині:</w:t>
            </w:r>
          </w:p>
          <w:p w14:paraId="5B0B5B5E"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 уживання великої літери;</w:t>
            </w:r>
          </w:p>
          <w:p w14:paraId="5DBD0667"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 уживання розділових знаків та відмінювання слів у реченні;</w:t>
            </w:r>
          </w:p>
          <w:p w14:paraId="37AB94C8"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 xml:space="preserve">- використання слова або </w:t>
            </w:r>
            <w:proofErr w:type="spellStart"/>
            <w:r w:rsidRPr="005F34A9">
              <w:rPr>
                <w:rFonts w:ascii="Times New Roman" w:eastAsia="Times New Roman" w:hAnsi="Times New Roman" w:cs="Times New Roman"/>
                <w:spacing w:val="-6"/>
                <w:highlight w:val="yellow"/>
              </w:rPr>
              <w:t>мовного</w:t>
            </w:r>
            <w:proofErr w:type="spellEnd"/>
            <w:r w:rsidRPr="005F34A9">
              <w:rPr>
                <w:rFonts w:ascii="Times New Roman" w:eastAsia="Times New Roman" w:hAnsi="Times New Roman" w:cs="Times New Roman"/>
                <w:spacing w:val="-6"/>
                <w:highlight w:val="yellow"/>
              </w:rPr>
              <w:t xml:space="preserve"> звороту, запозичених з іншої мови;</w:t>
            </w:r>
          </w:p>
          <w:p w14:paraId="4C777DB2"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 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14:paraId="1F1DE29E"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 застосування правил переносу частини слова з рядка в рядок; написання слів разом та/або окремо, та/або через дефіс;</w:t>
            </w:r>
          </w:p>
          <w:p w14:paraId="588B8FC7"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7D17B0F6" w14:textId="77777777" w:rsidR="00F6275A" w:rsidRPr="00B75BDF" w:rsidRDefault="00F6275A" w:rsidP="00C706ED">
            <w:pPr>
              <w:spacing w:after="0" w:line="240" w:lineRule="auto"/>
              <w:jc w:val="both"/>
              <w:rPr>
                <w:rFonts w:ascii="Times New Roman" w:eastAsia="Times New Roman" w:hAnsi="Times New Roman" w:cs="Times New Roman"/>
                <w:spacing w:val="-6"/>
              </w:rPr>
            </w:pPr>
            <w:r w:rsidRPr="005F34A9">
              <w:rPr>
                <w:rFonts w:ascii="Times New Roman" w:eastAsia="Times New Roman" w:hAnsi="Times New Roman" w:cs="Times New Roman"/>
                <w:spacing w:val="-6"/>
                <w:highlight w:val="yellow"/>
              </w:rPr>
              <w:t>2. 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14:paraId="10ECCE3F"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B75BDF">
              <w:rPr>
                <w:rFonts w:ascii="Times New Roman" w:eastAsia="Times New Roman" w:hAnsi="Times New Roman" w:cs="Times New Roman"/>
                <w:spacing w:val="-6"/>
              </w:rPr>
              <w:t xml:space="preserve">3. </w:t>
            </w:r>
            <w:r w:rsidRPr="005F34A9">
              <w:rPr>
                <w:rFonts w:ascii="Times New Roman" w:eastAsia="Times New Roman" w:hAnsi="Times New Roman" w:cs="Times New Roman"/>
                <w:spacing w:val="-6"/>
                <w:highlight w:val="yellow"/>
              </w:rPr>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14:paraId="67B10A8B"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14:paraId="0DEE7787"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106C2148"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14:paraId="1F457337"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4661D754"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328E7CE5"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1F5A2CB1"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6171516C" w14:textId="77777777" w:rsidR="00F6275A" w:rsidRPr="005F34A9" w:rsidRDefault="00F6275A" w:rsidP="00C706ED">
            <w:pPr>
              <w:spacing w:after="0" w:line="240" w:lineRule="auto"/>
              <w:jc w:val="both"/>
              <w:rPr>
                <w:rFonts w:ascii="Times New Roman" w:eastAsia="Times New Roman" w:hAnsi="Times New Roman" w:cs="Times New Roman"/>
                <w:spacing w:val="-6"/>
                <w:highlight w:val="yellow"/>
              </w:rPr>
            </w:pPr>
            <w:r w:rsidRPr="005F34A9">
              <w:rPr>
                <w:rFonts w:ascii="Times New Roman" w:eastAsia="Times New Roman" w:hAnsi="Times New Roman" w:cs="Times New Roman"/>
                <w:spacing w:val="-6"/>
                <w:highlight w:val="yellow"/>
              </w:rPr>
              <w:lastRenderedPageBreak/>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534D953E" w14:textId="77777777" w:rsidR="00F6275A" w:rsidRPr="00B75BDF" w:rsidRDefault="00F6275A" w:rsidP="00C706ED">
            <w:pPr>
              <w:widowControl w:val="0"/>
              <w:spacing w:after="0" w:line="240" w:lineRule="auto"/>
              <w:contextualSpacing/>
              <w:jc w:val="both"/>
              <w:rPr>
                <w:rFonts w:ascii="Times New Roman" w:eastAsia="Times New Roman" w:hAnsi="Times New Roman" w:cs="Times New Roman"/>
                <w:spacing w:val="-6"/>
              </w:rPr>
            </w:pPr>
            <w:r w:rsidRPr="005F34A9">
              <w:rPr>
                <w:rFonts w:ascii="Times New Roman" w:eastAsia="Times New Roman" w:hAnsi="Times New Roman" w:cs="Times New Roman"/>
                <w:spacing w:val="-6"/>
                <w:highlight w:val="yellow"/>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tc>
      </w:tr>
      <w:tr w:rsidR="0088398D" w:rsidRPr="00B75BDF" w14:paraId="7A4989B8"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tcPr>
          <w:p w14:paraId="176B5B4F" w14:textId="77777777" w:rsidR="0088398D" w:rsidRPr="00B75BDF" w:rsidDel="00EA7198" w:rsidRDefault="0088398D" w:rsidP="0088398D">
            <w:pPr>
              <w:widowControl w:val="0"/>
              <w:spacing w:after="0" w:line="240" w:lineRule="auto"/>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lastRenderedPageBreak/>
              <w:t>5</w:t>
            </w:r>
          </w:p>
        </w:tc>
        <w:tc>
          <w:tcPr>
            <w:tcW w:w="2901" w:type="dxa"/>
            <w:tcBorders>
              <w:top w:val="single" w:sz="4" w:space="0" w:color="auto"/>
              <w:left w:val="single" w:sz="4" w:space="0" w:color="auto"/>
              <w:bottom w:val="single" w:sz="4" w:space="0" w:color="auto"/>
              <w:right w:val="single" w:sz="4" w:space="0" w:color="auto"/>
            </w:tcBorders>
          </w:tcPr>
          <w:p w14:paraId="0C9AB653" w14:textId="5A6B4AAC"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b/>
                <w:color w:val="000000"/>
                <w:spacing w:val="-6"/>
                <w:highlight w:val="yellow"/>
                <w:lang w:eastAsia="uk-UA"/>
              </w:rPr>
              <w:t>Опис та приклади формальних (несуттєвих) помилок, допущення яких учасниками не призведе до відхилення їх тендерних пропозицій.</w:t>
            </w:r>
          </w:p>
        </w:tc>
        <w:tc>
          <w:tcPr>
            <w:tcW w:w="7042" w:type="dxa"/>
            <w:tcBorders>
              <w:top w:val="single" w:sz="4" w:space="0" w:color="auto"/>
              <w:left w:val="single" w:sz="4" w:space="0" w:color="auto"/>
              <w:bottom w:val="single" w:sz="4" w:space="0" w:color="auto"/>
              <w:right w:val="single" w:sz="4" w:space="0" w:color="auto"/>
            </w:tcBorders>
          </w:tcPr>
          <w:p w14:paraId="611C8ADD"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Наявність у тендерній пропозиції учасника формальних (несуттєвих) помилок не призведе до відхилення його тендерної  пропозиції.</w:t>
            </w:r>
          </w:p>
          <w:p w14:paraId="1F082D15"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Формальними (несуттєвими) вважаються помилки, що пов'язані з оформленням тендерної пропозиції та не впливають на зміст пропозиції перелік яких затверджений наказом № 710 від 15.04.2020 р. Міністерства розвитку економіки, торгівлі та сільського господарства України. </w:t>
            </w:r>
          </w:p>
          <w:p w14:paraId="17B64E95"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Опис та приклади формальних (несуттєвих) помилок, допущення яких учасниками не призведе до відхилення їхніх тендерних пропозицій: </w:t>
            </w:r>
          </w:p>
          <w:p w14:paraId="47F15656"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1. Інформація/документ, подана учасником процедури закупівлі у складі тендерної пропозиції, містить помилку (помилки) у частині:</w:t>
            </w:r>
          </w:p>
          <w:p w14:paraId="108A0187"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уживання великої літери (наприклад: “Місто Київ” замість “місто Київ”; “</w:t>
            </w:r>
            <w:proofErr w:type="spellStart"/>
            <w:r w:rsidRPr="005F34A9">
              <w:rPr>
                <w:rFonts w:ascii="Times New Roman" w:eastAsia="Times New Roman" w:hAnsi="Times New Roman" w:cs="Times New Roman"/>
                <w:spacing w:val="-6"/>
                <w:highlight w:val="yellow"/>
                <w:lang w:eastAsia="uk-UA"/>
              </w:rPr>
              <w:t>м.київ</w:t>
            </w:r>
            <w:proofErr w:type="spellEnd"/>
            <w:r w:rsidRPr="005F34A9">
              <w:rPr>
                <w:rFonts w:ascii="Times New Roman" w:eastAsia="Times New Roman" w:hAnsi="Times New Roman" w:cs="Times New Roman"/>
                <w:spacing w:val="-6"/>
                <w:highlight w:val="yellow"/>
                <w:lang w:eastAsia="uk-UA"/>
              </w:rPr>
              <w:t>” замість “</w:t>
            </w:r>
            <w:proofErr w:type="spellStart"/>
            <w:r w:rsidRPr="005F34A9">
              <w:rPr>
                <w:rFonts w:ascii="Times New Roman" w:eastAsia="Times New Roman" w:hAnsi="Times New Roman" w:cs="Times New Roman"/>
                <w:spacing w:val="-6"/>
                <w:highlight w:val="yellow"/>
                <w:lang w:eastAsia="uk-UA"/>
              </w:rPr>
              <w:t>м.Київ</w:t>
            </w:r>
            <w:proofErr w:type="spellEnd"/>
            <w:r w:rsidRPr="005F34A9">
              <w:rPr>
                <w:rFonts w:ascii="Times New Roman" w:eastAsia="Times New Roman" w:hAnsi="Times New Roman" w:cs="Times New Roman"/>
                <w:spacing w:val="-6"/>
                <w:highlight w:val="yellow"/>
                <w:lang w:eastAsia="uk-UA"/>
              </w:rPr>
              <w:t>”);</w:t>
            </w:r>
          </w:p>
          <w:p w14:paraId="19695B2E"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уживання розділових знаків та відмінювання слів у реченні;</w:t>
            </w:r>
          </w:p>
          <w:p w14:paraId="79DBC3F5"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 використання слова або </w:t>
            </w:r>
            <w:proofErr w:type="spellStart"/>
            <w:r w:rsidRPr="005F34A9">
              <w:rPr>
                <w:rFonts w:ascii="Times New Roman" w:eastAsia="Times New Roman" w:hAnsi="Times New Roman" w:cs="Times New Roman"/>
                <w:spacing w:val="-6"/>
                <w:highlight w:val="yellow"/>
                <w:lang w:eastAsia="uk-UA"/>
              </w:rPr>
              <w:t>мовного</w:t>
            </w:r>
            <w:proofErr w:type="spellEnd"/>
            <w:r w:rsidRPr="005F34A9">
              <w:rPr>
                <w:rFonts w:ascii="Times New Roman" w:eastAsia="Times New Roman" w:hAnsi="Times New Roman" w:cs="Times New Roman"/>
                <w:spacing w:val="-6"/>
                <w:highlight w:val="yellow"/>
                <w:lang w:eastAsia="uk-UA"/>
              </w:rPr>
              <w:t xml:space="preserve"> звороту, запозичених з іншої мови;</w:t>
            </w:r>
          </w:p>
          <w:p w14:paraId="7EF97C72"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14:paraId="442817BA"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застосування правил переносу частини слова з рядка в рядок (наприклад: “поряд-</w:t>
            </w:r>
            <w:proofErr w:type="spellStart"/>
            <w:r w:rsidRPr="005F34A9">
              <w:rPr>
                <w:rFonts w:ascii="Times New Roman" w:eastAsia="Times New Roman" w:hAnsi="Times New Roman" w:cs="Times New Roman"/>
                <w:spacing w:val="-6"/>
                <w:highlight w:val="yellow"/>
                <w:lang w:eastAsia="uk-UA"/>
              </w:rPr>
              <w:t>ок</w:t>
            </w:r>
            <w:proofErr w:type="spellEnd"/>
            <w:r w:rsidRPr="005F34A9">
              <w:rPr>
                <w:rFonts w:ascii="Times New Roman" w:eastAsia="Times New Roman" w:hAnsi="Times New Roman" w:cs="Times New Roman"/>
                <w:spacing w:val="-6"/>
                <w:highlight w:val="yellow"/>
                <w:lang w:eastAsia="uk-UA"/>
              </w:rPr>
              <w:t>” замість “</w:t>
            </w:r>
            <w:proofErr w:type="spellStart"/>
            <w:r w:rsidRPr="005F34A9">
              <w:rPr>
                <w:rFonts w:ascii="Times New Roman" w:eastAsia="Times New Roman" w:hAnsi="Times New Roman" w:cs="Times New Roman"/>
                <w:spacing w:val="-6"/>
                <w:highlight w:val="yellow"/>
                <w:lang w:eastAsia="uk-UA"/>
              </w:rPr>
              <w:t>поря</w:t>
            </w:r>
            <w:proofErr w:type="spellEnd"/>
            <w:r w:rsidRPr="005F34A9">
              <w:rPr>
                <w:rFonts w:ascii="Times New Roman" w:eastAsia="Times New Roman" w:hAnsi="Times New Roman" w:cs="Times New Roman"/>
                <w:spacing w:val="-6"/>
                <w:highlight w:val="yellow"/>
                <w:lang w:eastAsia="uk-UA"/>
              </w:rPr>
              <w:t>-док”);</w:t>
            </w:r>
          </w:p>
          <w:p w14:paraId="51230D37"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написання слів разом та/або окремо, та/або через дефіс (наприклад: “</w:t>
            </w:r>
            <w:proofErr w:type="spellStart"/>
            <w:r w:rsidRPr="005F34A9">
              <w:rPr>
                <w:rFonts w:ascii="Times New Roman" w:eastAsia="Times New Roman" w:hAnsi="Times New Roman" w:cs="Times New Roman"/>
                <w:spacing w:val="-6"/>
                <w:highlight w:val="yellow"/>
                <w:lang w:eastAsia="uk-UA"/>
              </w:rPr>
              <w:t>ненадається</w:t>
            </w:r>
            <w:proofErr w:type="spellEnd"/>
            <w:r w:rsidRPr="005F34A9">
              <w:rPr>
                <w:rFonts w:ascii="Times New Roman" w:eastAsia="Times New Roman" w:hAnsi="Times New Roman" w:cs="Times New Roman"/>
                <w:spacing w:val="-6"/>
                <w:highlight w:val="yellow"/>
                <w:lang w:eastAsia="uk-UA"/>
              </w:rPr>
              <w:t>” замість “не надається”);</w:t>
            </w:r>
          </w:p>
          <w:p w14:paraId="48BEDE3B"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нумерації сторінок/аркушів (у тому числі, наприклад: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5D6062CF"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2. 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14:paraId="55BB962F"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 (наприклад: “Інформація у довільній формі” замість “Інформація”, “лист-пояснення” замість “лист”, “інформація” замість “довідка”).</w:t>
            </w:r>
          </w:p>
          <w:p w14:paraId="187D7400"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14:paraId="1FD7DF32"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379A47AC"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w:t>
            </w:r>
            <w:r w:rsidRPr="005F34A9">
              <w:rPr>
                <w:rFonts w:ascii="Times New Roman" w:eastAsia="Times New Roman" w:hAnsi="Times New Roman" w:cs="Times New Roman"/>
                <w:spacing w:val="-6"/>
                <w:highlight w:val="yellow"/>
                <w:lang w:eastAsia="uk-UA"/>
              </w:rPr>
              <w:lastRenderedPageBreak/>
              <w:t>накладено її кваліфікований електронний підпис (або удосконалений електронний підпис, який базується на кваліфікованому сертифікаті відкритого ключа, що відповідає вимогам, затвердженим пунктом 2 Постанови Кабінету Міністрів України від 03.03.2020 №193 та з урахуванням Постанови Кабінету Міністрів України №617 від 24.05.2022 р.).</w:t>
            </w:r>
          </w:p>
          <w:p w14:paraId="34BC6867"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3AFE05DE"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3E33F64E"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6A7CF450"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56B58311"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1DF27A46" w14:textId="0C72137F"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spacing w:val="-6"/>
                <w:highlight w:val="yellow"/>
                <w:lang w:eastAsia="uk-UA"/>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 (наприклад: документ у форматі “JPG” замість документа у форматі “.</w:t>
            </w:r>
            <w:proofErr w:type="spellStart"/>
            <w:r w:rsidRPr="005F34A9">
              <w:rPr>
                <w:rFonts w:ascii="Times New Roman" w:eastAsia="Times New Roman" w:hAnsi="Times New Roman" w:cs="Times New Roman"/>
                <w:spacing w:val="-6"/>
                <w:highlight w:val="yellow"/>
                <w:lang w:eastAsia="uk-UA"/>
              </w:rPr>
              <w:t>pdf</w:t>
            </w:r>
            <w:proofErr w:type="spellEnd"/>
            <w:r w:rsidRPr="005F34A9">
              <w:rPr>
                <w:rFonts w:ascii="Times New Roman" w:eastAsia="Times New Roman" w:hAnsi="Times New Roman" w:cs="Times New Roman"/>
                <w:spacing w:val="-6"/>
                <w:highlight w:val="yellow"/>
                <w:lang w:eastAsia="uk-UA"/>
              </w:rPr>
              <w:t>”).</w:t>
            </w:r>
          </w:p>
        </w:tc>
      </w:tr>
      <w:tr w:rsidR="0088398D" w:rsidRPr="00B75BDF" w14:paraId="263C083C"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tcPr>
          <w:p w14:paraId="3AF62284" w14:textId="6814ABDA" w:rsidR="0088398D" w:rsidRPr="00B75BDF" w:rsidRDefault="0088398D" w:rsidP="0088398D">
            <w:pPr>
              <w:widowControl w:val="0"/>
              <w:spacing w:after="0" w:line="240" w:lineRule="auto"/>
              <w:contextualSpacing/>
              <w:rPr>
                <w:rFonts w:ascii="Times New Roman" w:eastAsia="Times New Roman" w:hAnsi="Times New Roman" w:cs="Times New Roman"/>
                <w:color w:val="000000"/>
                <w:spacing w:val="-6"/>
                <w:lang w:eastAsia="uk-UA"/>
              </w:rPr>
            </w:pPr>
            <w:r>
              <w:rPr>
                <w:rFonts w:ascii="Times New Roman" w:eastAsia="Times New Roman" w:hAnsi="Times New Roman" w:cs="Times New Roman"/>
                <w:color w:val="000000"/>
                <w:spacing w:val="-6"/>
                <w:lang w:eastAsia="uk-UA"/>
              </w:rPr>
              <w:lastRenderedPageBreak/>
              <w:t>6</w:t>
            </w:r>
          </w:p>
        </w:tc>
        <w:tc>
          <w:tcPr>
            <w:tcW w:w="2901" w:type="dxa"/>
            <w:tcBorders>
              <w:top w:val="single" w:sz="4" w:space="0" w:color="auto"/>
              <w:left w:val="single" w:sz="4" w:space="0" w:color="auto"/>
              <w:bottom w:val="single" w:sz="4" w:space="0" w:color="auto"/>
              <w:right w:val="single" w:sz="4" w:space="0" w:color="auto"/>
            </w:tcBorders>
          </w:tcPr>
          <w:p w14:paraId="0F96E325" w14:textId="0F62AD55"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Виправлення невідповідностей в інформації та/або документах</w:t>
            </w:r>
          </w:p>
        </w:tc>
        <w:tc>
          <w:tcPr>
            <w:tcW w:w="7042" w:type="dxa"/>
            <w:tcBorders>
              <w:top w:val="single" w:sz="4" w:space="0" w:color="auto"/>
              <w:left w:val="single" w:sz="4" w:space="0" w:color="auto"/>
              <w:bottom w:val="single" w:sz="4" w:space="0" w:color="auto"/>
              <w:right w:val="single" w:sz="4" w:space="0" w:color="auto"/>
            </w:tcBorders>
          </w:tcPr>
          <w:p w14:paraId="57A04036"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14:paraId="39CC4982"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Під невідповідністю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6D2CDDA9"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14:paraId="6D4089A3" w14:textId="77777777"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Учасник процедури закупівлі виправляє невідповідності в інформації та/або документах, що подані ним у складі своєї тендерної пропозиції, </w:t>
            </w:r>
            <w:r w:rsidRPr="005F34A9">
              <w:rPr>
                <w:rFonts w:ascii="Times New Roman" w:eastAsia="Times New Roman" w:hAnsi="Times New Roman" w:cs="Times New Roman"/>
                <w:color w:val="000000"/>
                <w:spacing w:val="-6"/>
                <w:highlight w:val="yellow"/>
                <w:lang w:eastAsia="uk-UA"/>
              </w:rPr>
              <w:lastRenderedPageBreak/>
              <w:t xml:space="preserve">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протягом 24 годин з моменту розміщення замовником в електронній системі закупівель повідомлення з вимогою про усунення таких невідповідностей. </w:t>
            </w:r>
          </w:p>
          <w:p w14:paraId="2A94B6F8" w14:textId="5FED2C1F" w:rsidR="0088398D" w:rsidRPr="005F34A9" w:rsidRDefault="0088398D" w:rsidP="0088398D">
            <w:pPr>
              <w:widowControl w:val="0"/>
              <w:pBdr>
                <w:top w:val="nil"/>
                <w:left w:val="nil"/>
                <w:bottom w:val="nil"/>
                <w:right w:val="nil"/>
                <w:between w:val="nil"/>
              </w:pBdr>
              <w:spacing w:after="0" w:line="240" w:lineRule="auto"/>
              <w:ind w:firstLine="176"/>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Замовник розглядає подані тендерні пропозиції з урахуванням виправлення або </w:t>
            </w:r>
            <w:proofErr w:type="spellStart"/>
            <w:r w:rsidRPr="005F34A9">
              <w:rPr>
                <w:rFonts w:ascii="Times New Roman" w:eastAsia="Times New Roman" w:hAnsi="Times New Roman" w:cs="Times New Roman"/>
                <w:color w:val="000000"/>
                <w:spacing w:val="-6"/>
                <w:highlight w:val="yellow"/>
                <w:lang w:eastAsia="uk-UA"/>
              </w:rPr>
              <w:t>невиправлення</w:t>
            </w:r>
            <w:proofErr w:type="spellEnd"/>
            <w:r w:rsidRPr="005F34A9">
              <w:rPr>
                <w:rFonts w:ascii="Times New Roman" w:eastAsia="Times New Roman" w:hAnsi="Times New Roman" w:cs="Times New Roman"/>
                <w:color w:val="000000"/>
                <w:spacing w:val="-6"/>
                <w:highlight w:val="yellow"/>
                <w:lang w:eastAsia="uk-UA"/>
              </w:rPr>
              <w:t xml:space="preserve"> учасниками виявлених невідповідностей.</w:t>
            </w:r>
          </w:p>
        </w:tc>
      </w:tr>
      <w:tr w:rsidR="0088398D" w:rsidRPr="00B75BDF" w14:paraId="05514129" w14:textId="77777777" w:rsidTr="00C706ED">
        <w:trPr>
          <w:trHeight w:val="227"/>
          <w:jc w:val="center"/>
        </w:trPr>
        <w:tc>
          <w:tcPr>
            <w:tcW w:w="10485" w:type="dxa"/>
            <w:gridSpan w:val="3"/>
            <w:tcBorders>
              <w:top w:val="single" w:sz="4" w:space="0" w:color="auto"/>
              <w:left w:val="single" w:sz="4" w:space="0" w:color="auto"/>
              <w:bottom w:val="single" w:sz="4" w:space="0" w:color="auto"/>
              <w:right w:val="single" w:sz="4" w:space="0" w:color="auto"/>
            </w:tcBorders>
            <w:hideMark/>
          </w:tcPr>
          <w:p w14:paraId="7235642F" w14:textId="77777777" w:rsidR="0088398D" w:rsidRPr="00B75BDF" w:rsidRDefault="0088398D" w:rsidP="0088398D">
            <w:pPr>
              <w:widowControl w:val="0"/>
              <w:spacing w:after="0" w:line="240" w:lineRule="auto"/>
              <w:ind w:left="92" w:hanging="21"/>
              <w:contextualSpacing/>
              <w:jc w:val="center"/>
              <w:rPr>
                <w:rFonts w:ascii="Times New Roman" w:eastAsia="Times New Roman" w:hAnsi="Times New Roman" w:cs="Times New Roman"/>
                <w:b/>
                <w:color w:val="000000"/>
                <w:spacing w:val="-6"/>
              </w:rPr>
            </w:pPr>
            <w:r w:rsidRPr="00B75BDF">
              <w:rPr>
                <w:rFonts w:ascii="Times New Roman" w:eastAsia="Times New Roman" w:hAnsi="Times New Roman" w:cs="Times New Roman"/>
                <w:b/>
                <w:color w:val="000000"/>
                <w:spacing w:val="-6"/>
                <w:bdr w:val="none" w:sz="0" w:space="0" w:color="auto" w:frame="1"/>
                <w:lang w:eastAsia="uk-UA"/>
              </w:rPr>
              <w:lastRenderedPageBreak/>
              <w:t>Розділ VІ. Результати торгів та укладання договору про закупівлю</w:t>
            </w:r>
          </w:p>
        </w:tc>
      </w:tr>
      <w:tr w:rsidR="0088398D" w:rsidRPr="00B75BDF" w14:paraId="299CBEFF"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193D6C88" w14:textId="77777777" w:rsidR="0088398D" w:rsidRPr="00B75BDF" w:rsidRDefault="0088398D" w:rsidP="0088398D">
            <w:pPr>
              <w:widowControl w:val="0"/>
              <w:spacing w:after="0" w:line="240" w:lineRule="auto"/>
              <w:ind w:right="113"/>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1</w:t>
            </w:r>
          </w:p>
        </w:tc>
        <w:tc>
          <w:tcPr>
            <w:tcW w:w="2901" w:type="dxa"/>
            <w:tcBorders>
              <w:top w:val="single" w:sz="4" w:space="0" w:color="auto"/>
              <w:left w:val="single" w:sz="4" w:space="0" w:color="auto"/>
              <w:bottom w:val="single" w:sz="4" w:space="0" w:color="auto"/>
              <w:right w:val="single" w:sz="4" w:space="0" w:color="auto"/>
            </w:tcBorders>
            <w:hideMark/>
          </w:tcPr>
          <w:p w14:paraId="64795E71" w14:textId="77777777"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Відміна відкритих торгів</w:t>
            </w:r>
          </w:p>
        </w:tc>
        <w:tc>
          <w:tcPr>
            <w:tcW w:w="7042" w:type="dxa"/>
            <w:tcBorders>
              <w:top w:val="single" w:sz="4" w:space="0" w:color="auto"/>
              <w:left w:val="single" w:sz="4" w:space="0" w:color="auto"/>
              <w:bottom w:val="single" w:sz="4" w:space="0" w:color="auto"/>
              <w:right w:val="single" w:sz="4" w:space="0" w:color="auto"/>
            </w:tcBorders>
            <w:shd w:val="clear" w:color="auto" w:fill="FFFFFF"/>
            <w:hideMark/>
          </w:tcPr>
          <w:p w14:paraId="1F29085E"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1. Замовник відміняє відкриті торги у разі:</w:t>
            </w:r>
          </w:p>
          <w:p w14:paraId="0432C688"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1) відсутності подальшої потреби в закупівлі товарів, робіт чи послуг;</w:t>
            </w:r>
          </w:p>
          <w:p w14:paraId="2AF714B7"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2) неможливості усунення порушень, що виникли через виявлені порушення вимог законодавства у сфері публічних закупівель, з описом таких порушень;</w:t>
            </w:r>
          </w:p>
          <w:p w14:paraId="63E28AFE"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3) скорочення обсягу видатків на здійснення закупівлі товарів, робіт чи послуг;</w:t>
            </w:r>
          </w:p>
          <w:p w14:paraId="04FB1C4D"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4) коли здійснення закупівлі стало неможливим внаслідок дії обставин непереборної сили.</w:t>
            </w:r>
          </w:p>
          <w:p w14:paraId="30796A46"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У разі відміни відкритих торгів замовник протягом одного робочого дня з дати прийняття відповідного рішення зазначає в електронній системі закупівель підстави прийняття такого рішення.</w:t>
            </w:r>
          </w:p>
          <w:p w14:paraId="3CEED107"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2. Відкриті торги автоматично відміняються електронною системою закупівель у разі:</w:t>
            </w:r>
          </w:p>
          <w:p w14:paraId="30D5CBF7"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14:paraId="14FE9514"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 xml:space="preserve">2) неподання жодної тендерної пропозиції для участі у відкритих торгах у строк, установлений замовником згідно з </w:t>
            </w:r>
            <w:r w:rsidRPr="005F34A9">
              <w:rPr>
                <w:rFonts w:ascii="Times New Roman" w:eastAsia="Times New Roman" w:hAnsi="Times New Roman" w:cs="Times New Roman"/>
                <w:color w:val="000000"/>
                <w:spacing w:val="-6"/>
                <w:highlight w:val="yellow"/>
                <w:lang w:eastAsia="uk-UA"/>
              </w:rPr>
              <w:t>Особливостями.</w:t>
            </w:r>
          </w:p>
          <w:p w14:paraId="05A9EBA6"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14:paraId="62C1E870" w14:textId="77777777" w:rsidR="0088398D" w:rsidRPr="005F34A9" w:rsidRDefault="0088398D" w:rsidP="0088398D">
            <w:pPr>
              <w:widowControl w:val="0"/>
              <w:spacing w:after="0" w:line="240" w:lineRule="auto"/>
              <w:ind w:firstLine="275"/>
              <w:contextualSpacing/>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Відкриті торги можуть бути відмінено частково (за лотом).</w:t>
            </w:r>
          </w:p>
          <w:p w14:paraId="43FF062D" w14:textId="77777777" w:rsidR="0088398D" w:rsidRPr="005F34A9" w:rsidRDefault="0088398D" w:rsidP="0088398D">
            <w:pPr>
              <w:spacing w:after="0" w:line="240" w:lineRule="auto"/>
              <w:ind w:firstLine="272"/>
              <w:jc w:val="both"/>
              <w:rPr>
                <w:rFonts w:ascii="Times New Roman" w:eastAsia="Times New Roman" w:hAnsi="Times New Roman" w:cs="Times New Roman"/>
                <w:spacing w:val="-6"/>
                <w:highlight w:val="yellow"/>
                <w:lang w:eastAsia="uk-UA"/>
              </w:rPr>
            </w:pPr>
            <w:r w:rsidRPr="005F34A9">
              <w:rPr>
                <w:rFonts w:ascii="Times New Roman" w:eastAsia="Times New Roman" w:hAnsi="Times New Roman" w:cs="Times New Roman"/>
                <w:spacing w:val="-6"/>
                <w:highlight w:val="yellow"/>
                <w:lang w:eastAsia="uk-UA"/>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p>
        </w:tc>
      </w:tr>
      <w:tr w:rsidR="0088398D" w:rsidRPr="00B75BDF" w14:paraId="2F9DA44F"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7D57FD85" w14:textId="77777777" w:rsidR="0088398D" w:rsidRPr="00B75BDF" w:rsidRDefault="0088398D" w:rsidP="0088398D">
            <w:pPr>
              <w:widowControl w:val="0"/>
              <w:spacing w:after="0" w:line="240" w:lineRule="auto"/>
              <w:ind w:right="113"/>
              <w:contextualSpacing/>
              <w:rPr>
                <w:rFonts w:ascii="Times New Roman" w:eastAsia="Times New Roman" w:hAnsi="Times New Roman" w:cs="Times New Roman"/>
                <w:color w:val="000000"/>
                <w:spacing w:val="-6"/>
              </w:rPr>
            </w:pPr>
            <w:r w:rsidRPr="00B75BDF">
              <w:rPr>
                <w:rFonts w:ascii="Times New Roman" w:eastAsia="Times New Roman" w:hAnsi="Times New Roman" w:cs="Times New Roman"/>
                <w:color w:val="000000"/>
                <w:spacing w:val="-6"/>
              </w:rPr>
              <w:t>2</w:t>
            </w:r>
          </w:p>
        </w:tc>
        <w:tc>
          <w:tcPr>
            <w:tcW w:w="2901" w:type="dxa"/>
            <w:tcBorders>
              <w:top w:val="single" w:sz="4" w:space="0" w:color="auto"/>
              <w:left w:val="single" w:sz="4" w:space="0" w:color="auto"/>
              <w:bottom w:val="single" w:sz="4" w:space="0" w:color="auto"/>
              <w:right w:val="single" w:sz="4" w:space="0" w:color="auto"/>
            </w:tcBorders>
            <w:hideMark/>
          </w:tcPr>
          <w:p w14:paraId="33A5E30F" w14:textId="77777777"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Строк укладання договору </w:t>
            </w:r>
          </w:p>
        </w:tc>
        <w:tc>
          <w:tcPr>
            <w:tcW w:w="7042" w:type="dxa"/>
            <w:tcBorders>
              <w:top w:val="single" w:sz="4" w:space="0" w:color="auto"/>
              <w:left w:val="single" w:sz="4" w:space="0" w:color="auto"/>
              <w:bottom w:val="single" w:sz="4" w:space="0" w:color="auto"/>
              <w:right w:val="single" w:sz="4" w:space="0" w:color="auto"/>
            </w:tcBorders>
            <w:hideMark/>
          </w:tcPr>
          <w:p w14:paraId="7E048725"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p w14:paraId="0EC18856"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дня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укладання договору може бути продовжений до 60 днів.</w:t>
            </w:r>
          </w:p>
          <w:p w14:paraId="31980251"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tc>
      </w:tr>
      <w:tr w:rsidR="0088398D" w:rsidRPr="00B75BDF" w14:paraId="0C1C6FC8"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4DB53E18" w14:textId="77777777" w:rsidR="0088398D" w:rsidRPr="00B75BDF" w:rsidRDefault="0088398D" w:rsidP="0088398D">
            <w:pPr>
              <w:widowControl w:val="0"/>
              <w:spacing w:after="0" w:line="240" w:lineRule="auto"/>
              <w:ind w:right="113"/>
              <w:contextualSpacing/>
              <w:rPr>
                <w:rFonts w:ascii="Times New Roman" w:eastAsia="Times New Roman" w:hAnsi="Times New Roman" w:cs="Times New Roman"/>
                <w:color w:val="000000"/>
                <w:spacing w:val="-6"/>
              </w:rPr>
            </w:pPr>
            <w:r w:rsidRPr="00B75BDF">
              <w:rPr>
                <w:rFonts w:ascii="Times New Roman" w:eastAsia="Times New Roman" w:hAnsi="Times New Roman" w:cs="Times New Roman"/>
                <w:color w:val="000000"/>
                <w:spacing w:val="-6"/>
              </w:rPr>
              <w:t>3</w:t>
            </w:r>
          </w:p>
        </w:tc>
        <w:tc>
          <w:tcPr>
            <w:tcW w:w="2901" w:type="dxa"/>
            <w:tcBorders>
              <w:top w:val="single" w:sz="4" w:space="0" w:color="auto"/>
              <w:left w:val="single" w:sz="4" w:space="0" w:color="auto"/>
              <w:bottom w:val="single" w:sz="4" w:space="0" w:color="auto"/>
              <w:right w:val="single" w:sz="4" w:space="0" w:color="auto"/>
            </w:tcBorders>
            <w:hideMark/>
          </w:tcPr>
          <w:p w14:paraId="3D1BFEED" w14:textId="77777777"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Проект договору про закупівлю з обов’язковим зазначенням порядку змін його умов</w:t>
            </w:r>
          </w:p>
        </w:tc>
        <w:tc>
          <w:tcPr>
            <w:tcW w:w="7042" w:type="dxa"/>
            <w:tcBorders>
              <w:top w:val="single" w:sz="4" w:space="0" w:color="auto"/>
              <w:left w:val="single" w:sz="4" w:space="0" w:color="auto"/>
              <w:bottom w:val="single" w:sz="4" w:space="0" w:color="auto"/>
              <w:right w:val="single" w:sz="4" w:space="0" w:color="auto"/>
            </w:tcBorders>
            <w:hideMark/>
          </w:tcPr>
          <w:p w14:paraId="760FACA0"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Проект договору про закупівлю з обов’язковим зазначенням порядку змін його умов наведений у </w:t>
            </w:r>
            <w:r w:rsidRPr="005F34A9">
              <w:rPr>
                <w:rFonts w:ascii="Times New Roman" w:eastAsia="Times New Roman" w:hAnsi="Times New Roman" w:cs="Times New Roman"/>
                <w:b/>
                <w:color w:val="000000"/>
                <w:spacing w:val="-6"/>
                <w:highlight w:val="yellow"/>
                <w:lang w:eastAsia="uk-UA"/>
              </w:rPr>
              <w:t>Додатку IV</w:t>
            </w:r>
            <w:r w:rsidRPr="005F34A9">
              <w:rPr>
                <w:rFonts w:ascii="Times New Roman" w:eastAsia="Times New Roman" w:hAnsi="Times New Roman" w:cs="Times New Roman"/>
                <w:color w:val="000000"/>
                <w:spacing w:val="-6"/>
                <w:highlight w:val="yellow"/>
                <w:lang w:eastAsia="uk-UA"/>
              </w:rPr>
              <w:t xml:space="preserve"> до тендерної документації.</w:t>
            </w:r>
          </w:p>
          <w:p w14:paraId="525E70DB"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 разі проведення </w:t>
            </w:r>
            <w:proofErr w:type="spellStart"/>
            <w:r w:rsidRPr="005F34A9">
              <w:rPr>
                <w:rFonts w:ascii="Times New Roman" w:eastAsia="Times New Roman" w:hAnsi="Times New Roman" w:cs="Times New Roman"/>
                <w:color w:val="000000"/>
                <w:spacing w:val="-6"/>
                <w:highlight w:val="yellow"/>
                <w:lang w:eastAsia="uk-UA"/>
              </w:rPr>
              <w:t>багатолотової</w:t>
            </w:r>
            <w:proofErr w:type="spellEnd"/>
            <w:r w:rsidRPr="005F34A9">
              <w:rPr>
                <w:rFonts w:ascii="Times New Roman" w:eastAsia="Times New Roman" w:hAnsi="Times New Roman" w:cs="Times New Roman"/>
                <w:color w:val="000000"/>
                <w:spacing w:val="-6"/>
                <w:highlight w:val="yellow"/>
                <w:lang w:eastAsia="uk-UA"/>
              </w:rPr>
              <w:t xml:space="preserve"> закупівлі, інформацію зазначену у </w:t>
            </w:r>
            <w:r w:rsidRPr="005F34A9">
              <w:rPr>
                <w:rFonts w:ascii="Times New Roman" w:eastAsia="Times New Roman" w:hAnsi="Times New Roman" w:cs="Times New Roman"/>
                <w:b/>
                <w:color w:val="000000"/>
                <w:spacing w:val="-6"/>
                <w:highlight w:val="yellow"/>
                <w:lang w:eastAsia="uk-UA"/>
              </w:rPr>
              <w:t>Додатку IV</w:t>
            </w:r>
            <w:r w:rsidRPr="005F34A9">
              <w:rPr>
                <w:rFonts w:ascii="Times New Roman" w:eastAsia="Times New Roman" w:hAnsi="Times New Roman" w:cs="Times New Roman"/>
                <w:color w:val="000000"/>
                <w:spacing w:val="-6"/>
                <w:highlight w:val="yellow"/>
                <w:lang w:eastAsia="uk-UA"/>
              </w:rPr>
              <w:t xml:space="preserve"> до тендерної документації, необхідно розглядати по кожному лоту окремо.</w:t>
            </w:r>
          </w:p>
        </w:tc>
      </w:tr>
      <w:tr w:rsidR="0088398D" w:rsidRPr="00B75BDF" w14:paraId="621FE1DB"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39F9068D" w14:textId="77777777" w:rsidR="0088398D" w:rsidRPr="00B75BDF" w:rsidRDefault="0088398D" w:rsidP="0088398D">
            <w:pPr>
              <w:widowControl w:val="0"/>
              <w:spacing w:after="0" w:line="240" w:lineRule="auto"/>
              <w:ind w:right="113"/>
              <w:contextualSpacing/>
              <w:rPr>
                <w:rFonts w:ascii="Times New Roman" w:eastAsia="Times New Roman" w:hAnsi="Times New Roman" w:cs="Times New Roman"/>
                <w:color w:val="000000"/>
                <w:spacing w:val="-6"/>
              </w:rPr>
            </w:pPr>
            <w:r w:rsidRPr="00B75BDF">
              <w:rPr>
                <w:rFonts w:ascii="Times New Roman" w:eastAsia="Times New Roman" w:hAnsi="Times New Roman" w:cs="Times New Roman"/>
                <w:color w:val="000000"/>
                <w:spacing w:val="-6"/>
              </w:rPr>
              <w:t>4</w:t>
            </w:r>
          </w:p>
        </w:tc>
        <w:tc>
          <w:tcPr>
            <w:tcW w:w="2901" w:type="dxa"/>
            <w:tcBorders>
              <w:top w:val="single" w:sz="4" w:space="0" w:color="auto"/>
              <w:left w:val="single" w:sz="4" w:space="0" w:color="auto"/>
              <w:bottom w:val="single" w:sz="4" w:space="0" w:color="auto"/>
              <w:right w:val="single" w:sz="4" w:space="0" w:color="auto"/>
            </w:tcBorders>
            <w:hideMark/>
          </w:tcPr>
          <w:p w14:paraId="217D2039" w14:textId="77777777"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Істотні умови, що обов’язково включаються до </w:t>
            </w:r>
            <w:r w:rsidRPr="005F34A9">
              <w:rPr>
                <w:rFonts w:ascii="Times New Roman" w:eastAsia="Times New Roman" w:hAnsi="Times New Roman" w:cs="Times New Roman"/>
                <w:color w:val="000000"/>
                <w:spacing w:val="-6"/>
                <w:highlight w:val="yellow"/>
                <w:lang w:eastAsia="uk-UA"/>
              </w:rPr>
              <w:lastRenderedPageBreak/>
              <w:t>договору про закупівлю</w:t>
            </w:r>
          </w:p>
        </w:tc>
        <w:tc>
          <w:tcPr>
            <w:tcW w:w="7042" w:type="dxa"/>
            <w:tcBorders>
              <w:top w:val="single" w:sz="4" w:space="0" w:color="auto"/>
              <w:left w:val="single" w:sz="4" w:space="0" w:color="auto"/>
              <w:bottom w:val="single" w:sz="4" w:space="0" w:color="auto"/>
              <w:right w:val="single" w:sz="4" w:space="0" w:color="auto"/>
            </w:tcBorders>
            <w:hideMark/>
          </w:tcPr>
          <w:p w14:paraId="5849EBBE"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lastRenderedPageBreak/>
              <w:t xml:space="preserve">Істотні умови, що обов’язково включаються до договору про закупівлю, включені до проекту договору. Істотними умовами договору є предмет, ціна, </w:t>
            </w:r>
            <w:r w:rsidRPr="005F34A9">
              <w:rPr>
                <w:rFonts w:ascii="Times New Roman" w:eastAsia="Times New Roman" w:hAnsi="Times New Roman" w:cs="Times New Roman"/>
                <w:color w:val="000000"/>
                <w:spacing w:val="-6"/>
                <w:highlight w:val="yellow"/>
                <w:lang w:eastAsia="uk-UA"/>
              </w:rPr>
              <w:lastRenderedPageBreak/>
              <w:t>строк дії договору та інші умови, визнані такими за законом чи необхідні для договорів даного виду.</w:t>
            </w:r>
          </w:p>
          <w:p w14:paraId="26E5CB57"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Ціна договору визначається за результатами оцінки тендерної пропозиції учасника, яка проводиться електронною системою закупівель автоматично на основі критеріїв і методики оцінки, визначених замовником у тендерній документації, шляхом визначення тендерної пропозиції найбільш економічно вигідною, та поданого переможцем розрахунку вартості тендерної пропозиції.</w:t>
            </w:r>
          </w:p>
          <w:p w14:paraId="58B690FC"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При укладанні договору про закупівлю загальна вартість договору визначається як сума ціни, що визначена за результатами оцінки тендерної пропозиції учасника (з врахуванням всіх витрат, необхідних для виконання договору) та податку на додану вартість, що буде нараховуватись відповідно до діючого законодавства України.</w:t>
            </w:r>
          </w:p>
          <w:p w14:paraId="6EE4FF37"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Договір про закупівлю що укладається з переможцем процедури закупівлі, викладається українською мовою додатково може бути викладений англійською мовою згідно вимог </w:t>
            </w:r>
            <w:r w:rsidRPr="005F34A9">
              <w:rPr>
                <w:rFonts w:ascii="Times New Roman" w:eastAsia="Times New Roman" w:hAnsi="Times New Roman" w:cs="Times New Roman"/>
                <w:b/>
                <w:color w:val="000000"/>
                <w:spacing w:val="-6"/>
                <w:highlight w:val="yellow"/>
                <w:lang w:eastAsia="uk-UA"/>
              </w:rPr>
              <w:t>Додатку IV</w:t>
            </w:r>
            <w:r w:rsidRPr="005F34A9">
              <w:rPr>
                <w:rFonts w:ascii="Times New Roman" w:eastAsia="Times New Roman" w:hAnsi="Times New Roman" w:cs="Times New Roman"/>
                <w:color w:val="000000"/>
                <w:spacing w:val="-6"/>
                <w:highlight w:val="yellow"/>
                <w:lang w:eastAsia="uk-UA"/>
              </w:rPr>
              <w:t xml:space="preserve"> до тендерної документації.</w:t>
            </w:r>
          </w:p>
        </w:tc>
      </w:tr>
      <w:tr w:rsidR="0088398D" w:rsidRPr="00B75BDF" w14:paraId="73A497B4"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7C287894" w14:textId="77777777" w:rsidR="0088398D" w:rsidRPr="00B75BDF" w:rsidRDefault="0088398D" w:rsidP="0088398D">
            <w:pPr>
              <w:widowControl w:val="0"/>
              <w:spacing w:after="0" w:line="240" w:lineRule="auto"/>
              <w:ind w:right="113"/>
              <w:contextualSpacing/>
              <w:rPr>
                <w:rFonts w:ascii="Times New Roman" w:eastAsia="Times New Roman" w:hAnsi="Times New Roman" w:cs="Times New Roman"/>
                <w:color w:val="000000"/>
                <w:spacing w:val="-6"/>
              </w:rPr>
            </w:pPr>
            <w:r w:rsidRPr="00B75BDF">
              <w:rPr>
                <w:rFonts w:ascii="Times New Roman" w:eastAsia="Times New Roman" w:hAnsi="Times New Roman" w:cs="Times New Roman"/>
                <w:color w:val="000000"/>
                <w:spacing w:val="-6"/>
              </w:rPr>
              <w:lastRenderedPageBreak/>
              <w:t>5</w:t>
            </w:r>
          </w:p>
        </w:tc>
        <w:tc>
          <w:tcPr>
            <w:tcW w:w="2901" w:type="dxa"/>
            <w:tcBorders>
              <w:top w:val="single" w:sz="4" w:space="0" w:color="auto"/>
              <w:left w:val="single" w:sz="4" w:space="0" w:color="auto"/>
              <w:bottom w:val="single" w:sz="4" w:space="0" w:color="auto"/>
              <w:right w:val="single" w:sz="4" w:space="0" w:color="auto"/>
            </w:tcBorders>
            <w:hideMark/>
          </w:tcPr>
          <w:p w14:paraId="37A6C6CB" w14:textId="77777777"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4"/>
                <w:highlight w:val="yellow"/>
                <w:lang w:eastAsia="uk-UA"/>
              </w:rPr>
              <w:t>Дії замовника при відмові переможця процедури закупівлі від підписання договору про закупівлю або укладення договору про закупівлю</w:t>
            </w:r>
          </w:p>
        </w:tc>
        <w:tc>
          <w:tcPr>
            <w:tcW w:w="7042" w:type="dxa"/>
            <w:tcBorders>
              <w:top w:val="single" w:sz="4" w:space="0" w:color="auto"/>
              <w:left w:val="single" w:sz="4" w:space="0" w:color="auto"/>
              <w:bottom w:val="single" w:sz="4" w:space="0" w:color="auto"/>
              <w:right w:val="single" w:sz="4" w:space="0" w:color="auto"/>
            </w:tcBorders>
            <w:hideMark/>
          </w:tcPr>
          <w:p w14:paraId="14252B7F"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Ненадання замовнику підписаного переможцем договору у строк, що не перевищує 15 днів з дати прийняття рішення про намір укласти договір про закупівлю </w:t>
            </w:r>
            <w:r w:rsidRPr="005F34A9">
              <w:rPr>
                <w:rFonts w:ascii="Times New Roman" w:eastAsia="Times New Roman" w:hAnsi="Times New Roman" w:cs="Times New Roman"/>
                <w:b/>
                <w:bCs/>
                <w:color w:val="000000"/>
                <w:spacing w:val="-6"/>
                <w:highlight w:val="yellow"/>
                <w:lang w:eastAsia="uk-UA"/>
              </w:rPr>
              <w:t>вважається відмовою переможця від підписання договору про закупівлю відповідно до вимог тендерної документації.</w:t>
            </w:r>
          </w:p>
          <w:p w14:paraId="71026121"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У разі відмови переможця процедури закупівлі від підписання договору про закупівлю відповідно до вимог тендерної документації або укладення договору про закупівлю замовник відхиляє тендерну пропозицію такого учасника.</w:t>
            </w:r>
          </w:p>
          <w:p w14:paraId="03551F76" w14:textId="589A5A1D"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У разі відхилення тендерної пропозиції з підстави, визначеної підпунктом 3 пункту 44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пунктом 49 Особливостей. </w:t>
            </w:r>
          </w:p>
        </w:tc>
      </w:tr>
      <w:tr w:rsidR="0088398D" w:rsidRPr="00B75BDF" w14:paraId="55A3FCB5"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0C5CCA2F" w14:textId="77777777" w:rsidR="0088398D" w:rsidRPr="00B75BDF" w:rsidRDefault="0088398D" w:rsidP="0088398D">
            <w:pPr>
              <w:widowControl w:val="0"/>
              <w:spacing w:after="0" w:line="240" w:lineRule="auto"/>
              <w:ind w:right="113"/>
              <w:contextualSpacing/>
              <w:rPr>
                <w:rFonts w:ascii="Times New Roman" w:eastAsia="Times New Roman" w:hAnsi="Times New Roman" w:cs="Times New Roman"/>
                <w:color w:val="000000"/>
                <w:spacing w:val="-6"/>
              </w:rPr>
            </w:pPr>
            <w:r w:rsidRPr="00B75BDF">
              <w:rPr>
                <w:rFonts w:ascii="Times New Roman" w:eastAsia="Times New Roman" w:hAnsi="Times New Roman" w:cs="Times New Roman"/>
                <w:color w:val="000000"/>
                <w:spacing w:val="-6"/>
              </w:rPr>
              <w:t>6</w:t>
            </w:r>
          </w:p>
        </w:tc>
        <w:tc>
          <w:tcPr>
            <w:tcW w:w="2901" w:type="dxa"/>
            <w:tcBorders>
              <w:top w:val="single" w:sz="4" w:space="0" w:color="auto"/>
              <w:left w:val="single" w:sz="4" w:space="0" w:color="auto"/>
              <w:bottom w:val="single" w:sz="4" w:space="0" w:color="auto"/>
              <w:right w:val="single" w:sz="4" w:space="0" w:color="auto"/>
            </w:tcBorders>
            <w:hideMark/>
          </w:tcPr>
          <w:p w14:paraId="5EC525F1" w14:textId="77777777"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 xml:space="preserve">Забезпечення виконання договору про закупівлю </w:t>
            </w:r>
          </w:p>
        </w:tc>
        <w:tc>
          <w:tcPr>
            <w:tcW w:w="7042" w:type="dxa"/>
            <w:tcBorders>
              <w:top w:val="single" w:sz="4" w:space="0" w:color="auto"/>
              <w:left w:val="single" w:sz="4" w:space="0" w:color="auto"/>
              <w:bottom w:val="single" w:sz="4" w:space="0" w:color="auto"/>
              <w:right w:val="single" w:sz="4" w:space="0" w:color="auto"/>
            </w:tcBorders>
            <w:hideMark/>
          </w:tcPr>
          <w:p w14:paraId="4C4D8995" w14:textId="77777777" w:rsidR="0088398D" w:rsidRPr="005F34A9" w:rsidRDefault="0088398D" w:rsidP="0088398D">
            <w:pPr>
              <w:widowControl w:val="0"/>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Інформацію зазначено в пункті 13 зведеної інформації про закупівлю.</w:t>
            </w:r>
          </w:p>
        </w:tc>
      </w:tr>
      <w:tr w:rsidR="0088398D" w:rsidRPr="00B75BDF" w14:paraId="5DFB7776"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tcPr>
          <w:p w14:paraId="0F2294F5" w14:textId="77777777" w:rsidR="0088398D" w:rsidRPr="00B75BDF" w:rsidRDefault="0088398D" w:rsidP="0088398D">
            <w:pPr>
              <w:widowControl w:val="0"/>
              <w:spacing w:after="0" w:line="240" w:lineRule="auto"/>
              <w:ind w:right="113"/>
              <w:contextualSpacing/>
              <w:rPr>
                <w:rFonts w:ascii="Times New Roman" w:eastAsia="Times New Roman" w:hAnsi="Times New Roman" w:cs="Times New Roman"/>
                <w:color w:val="000000"/>
                <w:spacing w:val="-6"/>
              </w:rPr>
            </w:pPr>
            <w:r w:rsidRPr="00B75BDF">
              <w:rPr>
                <w:rFonts w:ascii="Times New Roman" w:eastAsia="Times New Roman" w:hAnsi="Times New Roman" w:cs="Times New Roman"/>
                <w:color w:val="000000"/>
                <w:spacing w:val="-6"/>
              </w:rPr>
              <w:t>7</w:t>
            </w:r>
          </w:p>
        </w:tc>
        <w:tc>
          <w:tcPr>
            <w:tcW w:w="2901" w:type="dxa"/>
            <w:tcBorders>
              <w:top w:val="single" w:sz="4" w:space="0" w:color="auto"/>
              <w:left w:val="single" w:sz="4" w:space="0" w:color="auto"/>
              <w:bottom w:val="single" w:sz="4" w:space="0" w:color="auto"/>
              <w:right w:val="single" w:sz="4" w:space="0" w:color="auto"/>
            </w:tcBorders>
          </w:tcPr>
          <w:p w14:paraId="3CB92F61" w14:textId="77777777" w:rsidR="0088398D" w:rsidRPr="005F34A9" w:rsidRDefault="0088398D" w:rsidP="0088398D">
            <w:pPr>
              <w:widowControl w:val="0"/>
              <w:spacing w:after="0" w:line="240" w:lineRule="auto"/>
              <w:ind w:right="113"/>
              <w:contextualSpacing/>
              <w:rPr>
                <w:rFonts w:ascii="Times New Roman" w:eastAsia="Times New Roman" w:hAnsi="Times New Roman" w:cs="Times New Roman"/>
                <w:color w:val="000000"/>
                <w:spacing w:val="-6"/>
                <w:highlight w:val="yellow"/>
                <w:lang w:eastAsia="uk-UA"/>
              </w:rPr>
            </w:pPr>
            <w:r w:rsidRPr="005F34A9">
              <w:rPr>
                <w:rFonts w:ascii="Times New Roman" w:eastAsia="Calibri" w:hAnsi="Times New Roman" w:cs="Times New Roman"/>
                <w:color w:val="000000"/>
                <w:spacing w:val="-6"/>
                <w:highlight w:val="yellow"/>
              </w:rPr>
              <w:t>Умови повернення чи неповернення забезпечення виконання договору про закупівлю</w:t>
            </w:r>
          </w:p>
        </w:tc>
        <w:tc>
          <w:tcPr>
            <w:tcW w:w="7042" w:type="dxa"/>
            <w:tcBorders>
              <w:top w:val="single" w:sz="4" w:space="0" w:color="auto"/>
              <w:left w:val="single" w:sz="4" w:space="0" w:color="auto"/>
              <w:bottom w:val="single" w:sz="4" w:space="0" w:color="auto"/>
              <w:right w:val="single" w:sz="4" w:space="0" w:color="auto"/>
            </w:tcBorders>
          </w:tcPr>
          <w:p w14:paraId="275B74CE" w14:textId="77777777" w:rsidR="0088398D" w:rsidRPr="005F34A9" w:rsidRDefault="0088398D" w:rsidP="0088398D">
            <w:pPr>
              <w:spacing w:after="0" w:line="240" w:lineRule="auto"/>
              <w:ind w:firstLine="176"/>
              <w:contextualSpacing/>
              <w:jc w:val="both"/>
              <w:rPr>
                <w:rFonts w:ascii="Times New Roman" w:eastAsia="Calibri" w:hAnsi="Times New Roman" w:cs="Times New Roman"/>
                <w:color w:val="000000"/>
                <w:spacing w:val="-6"/>
                <w:highlight w:val="yellow"/>
              </w:rPr>
            </w:pPr>
            <w:r w:rsidRPr="005F34A9">
              <w:rPr>
                <w:rFonts w:ascii="Times New Roman" w:eastAsia="Calibri" w:hAnsi="Times New Roman" w:cs="Times New Roman"/>
                <w:color w:val="000000"/>
                <w:spacing w:val="-6"/>
                <w:highlight w:val="yellow"/>
              </w:rPr>
              <w:t>Замовник повертає забезпечення виконання договору про закупівлю:</w:t>
            </w:r>
          </w:p>
          <w:p w14:paraId="7A9CD122" w14:textId="77777777" w:rsidR="0088398D" w:rsidRPr="005F34A9" w:rsidRDefault="0088398D" w:rsidP="0088398D">
            <w:pPr>
              <w:spacing w:after="0" w:line="240" w:lineRule="auto"/>
              <w:ind w:firstLine="176"/>
              <w:contextualSpacing/>
              <w:jc w:val="both"/>
              <w:rPr>
                <w:rFonts w:ascii="Times New Roman" w:eastAsia="Calibri" w:hAnsi="Times New Roman" w:cs="Times New Roman"/>
                <w:color w:val="000000"/>
                <w:spacing w:val="-6"/>
                <w:highlight w:val="yellow"/>
              </w:rPr>
            </w:pPr>
            <w:r w:rsidRPr="005F34A9">
              <w:rPr>
                <w:rFonts w:ascii="Times New Roman" w:eastAsia="Calibri" w:hAnsi="Times New Roman" w:cs="Times New Roman"/>
                <w:color w:val="000000"/>
                <w:spacing w:val="-6"/>
                <w:highlight w:val="yellow"/>
              </w:rPr>
              <w:t xml:space="preserve">1) після виконання переможцем процедури закупівлі договору про закупівлю; </w:t>
            </w:r>
          </w:p>
          <w:p w14:paraId="6D0FFE6F" w14:textId="77777777" w:rsidR="0088398D" w:rsidRPr="005F34A9" w:rsidRDefault="0088398D" w:rsidP="0088398D">
            <w:pPr>
              <w:spacing w:after="0" w:line="240" w:lineRule="auto"/>
              <w:ind w:firstLine="176"/>
              <w:contextualSpacing/>
              <w:jc w:val="both"/>
              <w:rPr>
                <w:rFonts w:ascii="Times New Roman" w:eastAsia="Calibri" w:hAnsi="Times New Roman" w:cs="Times New Roman"/>
                <w:color w:val="000000"/>
                <w:spacing w:val="-6"/>
                <w:highlight w:val="yellow"/>
              </w:rPr>
            </w:pPr>
            <w:r w:rsidRPr="005F34A9">
              <w:rPr>
                <w:rFonts w:ascii="Times New Roman" w:eastAsia="Calibri" w:hAnsi="Times New Roman" w:cs="Times New Roman"/>
                <w:color w:val="000000"/>
                <w:spacing w:val="-6"/>
                <w:highlight w:val="yellow"/>
              </w:rPr>
              <w:t xml:space="preserve">2) за рішенням суду щодо повернення забезпечення договору у випадку визнання результатів процедури закупівлі недійсними або договору про закупівлю нікчемним; </w:t>
            </w:r>
          </w:p>
          <w:p w14:paraId="19A0D68C" w14:textId="77777777" w:rsidR="0088398D" w:rsidRPr="005F34A9" w:rsidRDefault="0088398D" w:rsidP="0088398D">
            <w:pPr>
              <w:spacing w:after="0" w:line="240" w:lineRule="auto"/>
              <w:ind w:firstLine="176"/>
              <w:contextualSpacing/>
              <w:jc w:val="both"/>
              <w:rPr>
                <w:rFonts w:ascii="Times New Roman" w:eastAsia="Calibri" w:hAnsi="Times New Roman" w:cs="Times New Roman"/>
                <w:color w:val="000000"/>
                <w:spacing w:val="-6"/>
                <w:highlight w:val="yellow"/>
              </w:rPr>
            </w:pPr>
            <w:r w:rsidRPr="005F34A9">
              <w:rPr>
                <w:rFonts w:ascii="Times New Roman" w:eastAsia="Calibri" w:hAnsi="Times New Roman" w:cs="Times New Roman"/>
                <w:color w:val="000000"/>
                <w:spacing w:val="-6"/>
                <w:highlight w:val="yellow"/>
              </w:rPr>
              <w:t xml:space="preserve">3) у випадках, передбачених статтею 43 Закону, з урахуванням пункту 21 Особливостей; </w:t>
            </w:r>
          </w:p>
          <w:p w14:paraId="4A5373D4" w14:textId="77777777" w:rsidR="0088398D" w:rsidRPr="005F34A9" w:rsidRDefault="0088398D" w:rsidP="0088398D">
            <w:pPr>
              <w:spacing w:after="0" w:line="240" w:lineRule="auto"/>
              <w:ind w:firstLine="176"/>
              <w:contextualSpacing/>
              <w:jc w:val="both"/>
              <w:rPr>
                <w:rFonts w:ascii="Times New Roman" w:eastAsia="Calibri" w:hAnsi="Times New Roman" w:cs="Times New Roman"/>
                <w:color w:val="000000"/>
                <w:spacing w:val="-6"/>
                <w:highlight w:val="yellow"/>
              </w:rPr>
            </w:pPr>
            <w:r w:rsidRPr="005F34A9">
              <w:rPr>
                <w:rFonts w:ascii="Times New Roman" w:eastAsia="Calibri" w:hAnsi="Times New Roman" w:cs="Times New Roman"/>
                <w:color w:val="000000"/>
                <w:spacing w:val="-6"/>
                <w:highlight w:val="yellow"/>
              </w:rPr>
              <w:t xml:space="preserve">4) згідно з умовами, зазначеними в договорі про закупівлю, але не пізніше ніж протягом п’яти банківських днів з дня настання зазначених обставин. </w:t>
            </w:r>
          </w:p>
          <w:p w14:paraId="7E8F63FA" w14:textId="77777777" w:rsidR="0088398D" w:rsidRPr="005F34A9" w:rsidRDefault="0088398D" w:rsidP="0088398D">
            <w:pPr>
              <w:spacing w:after="0" w:line="240" w:lineRule="auto"/>
              <w:ind w:firstLine="176"/>
              <w:contextualSpacing/>
              <w:jc w:val="both"/>
              <w:rPr>
                <w:rFonts w:ascii="Times New Roman" w:eastAsia="Calibri" w:hAnsi="Times New Roman" w:cs="Times New Roman"/>
                <w:color w:val="000000"/>
                <w:spacing w:val="-6"/>
                <w:highlight w:val="yellow"/>
                <w:lang w:val="ru-RU"/>
              </w:rPr>
            </w:pPr>
            <w:r w:rsidRPr="005F34A9">
              <w:rPr>
                <w:rFonts w:ascii="Times New Roman" w:eastAsia="Calibri" w:hAnsi="Times New Roman" w:cs="Times New Roman"/>
                <w:color w:val="000000"/>
                <w:spacing w:val="-6"/>
                <w:highlight w:val="yellow"/>
              </w:rPr>
              <w:t>Забезпечення виконання договору про закупівлю не повертається в разі невиконання/неналежного виконання переможцем процедури закупівлі зобов’язань за договором.</w:t>
            </w:r>
          </w:p>
        </w:tc>
      </w:tr>
      <w:tr w:rsidR="0088398D" w:rsidRPr="00B75BDF" w14:paraId="3B9D5BAE" w14:textId="77777777" w:rsidTr="00C706ED">
        <w:trPr>
          <w:trHeight w:val="227"/>
          <w:jc w:val="center"/>
        </w:trPr>
        <w:tc>
          <w:tcPr>
            <w:tcW w:w="10485" w:type="dxa"/>
            <w:gridSpan w:val="3"/>
            <w:tcBorders>
              <w:top w:val="single" w:sz="4" w:space="0" w:color="auto"/>
              <w:left w:val="single" w:sz="4" w:space="0" w:color="auto"/>
              <w:bottom w:val="single" w:sz="4" w:space="0" w:color="auto"/>
              <w:right w:val="single" w:sz="4" w:space="0" w:color="auto"/>
            </w:tcBorders>
            <w:hideMark/>
          </w:tcPr>
          <w:p w14:paraId="1322DDA2" w14:textId="77777777" w:rsidR="0088398D" w:rsidRPr="00B75BDF" w:rsidRDefault="0088398D" w:rsidP="0088398D">
            <w:pPr>
              <w:widowControl w:val="0"/>
              <w:spacing w:after="0" w:line="240" w:lineRule="auto"/>
              <w:ind w:left="92" w:hanging="21"/>
              <w:contextualSpacing/>
              <w:jc w:val="center"/>
              <w:rPr>
                <w:rFonts w:ascii="Times New Roman" w:eastAsia="Times New Roman" w:hAnsi="Times New Roman" w:cs="Times New Roman"/>
                <w:b/>
                <w:color w:val="000000"/>
                <w:spacing w:val="-6"/>
              </w:rPr>
            </w:pPr>
            <w:r w:rsidRPr="00B75BDF">
              <w:rPr>
                <w:rFonts w:ascii="Times New Roman" w:eastAsia="Times New Roman" w:hAnsi="Times New Roman" w:cs="Times New Roman"/>
                <w:b/>
                <w:color w:val="000000"/>
                <w:spacing w:val="-6"/>
                <w:bdr w:val="none" w:sz="0" w:space="0" w:color="auto" w:frame="1"/>
                <w:lang w:eastAsia="uk-UA"/>
              </w:rPr>
              <w:t>Розділ VІІ. Додаткова інформація</w:t>
            </w:r>
          </w:p>
        </w:tc>
      </w:tr>
      <w:tr w:rsidR="0088398D" w:rsidRPr="00B75BDF" w14:paraId="0C4FEA5E" w14:textId="77777777" w:rsidTr="00C706ED">
        <w:trPr>
          <w:trHeight w:val="227"/>
          <w:jc w:val="center"/>
        </w:trPr>
        <w:tc>
          <w:tcPr>
            <w:tcW w:w="542" w:type="dxa"/>
            <w:tcBorders>
              <w:top w:val="single" w:sz="4" w:space="0" w:color="auto"/>
              <w:left w:val="single" w:sz="4" w:space="0" w:color="auto"/>
              <w:bottom w:val="single" w:sz="4" w:space="0" w:color="auto"/>
              <w:right w:val="single" w:sz="4" w:space="0" w:color="auto"/>
            </w:tcBorders>
            <w:hideMark/>
          </w:tcPr>
          <w:p w14:paraId="1ED2F529" w14:textId="77777777" w:rsidR="0088398D" w:rsidRPr="00B75BDF" w:rsidRDefault="0088398D" w:rsidP="0088398D">
            <w:pPr>
              <w:widowControl w:val="0"/>
              <w:spacing w:after="0" w:line="240" w:lineRule="auto"/>
              <w:ind w:right="113"/>
              <w:contextualSpacing/>
              <w:rPr>
                <w:rFonts w:ascii="Times New Roman" w:eastAsia="Times New Roman" w:hAnsi="Times New Roman" w:cs="Times New Roman"/>
                <w:color w:val="000000"/>
                <w:spacing w:val="-6"/>
                <w:lang w:eastAsia="uk-UA"/>
              </w:rPr>
            </w:pPr>
            <w:r w:rsidRPr="00B75BDF">
              <w:rPr>
                <w:rFonts w:ascii="Times New Roman" w:eastAsia="Times New Roman" w:hAnsi="Times New Roman" w:cs="Times New Roman"/>
                <w:color w:val="000000"/>
                <w:spacing w:val="-6"/>
                <w:lang w:eastAsia="uk-UA"/>
              </w:rPr>
              <w:t>1</w:t>
            </w:r>
          </w:p>
        </w:tc>
        <w:tc>
          <w:tcPr>
            <w:tcW w:w="2901" w:type="dxa"/>
            <w:tcBorders>
              <w:top w:val="single" w:sz="4" w:space="0" w:color="auto"/>
              <w:left w:val="single" w:sz="4" w:space="0" w:color="auto"/>
              <w:bottom w:val="single" w:sz="4" w:space="0" w:color="auto"/>
              <w:right w:val="single" w:sz="4" w:space="0" w:color="auto"/>
            </w:tcBorders>
            <w:hideMark/>
          </w:tcPr>
          <w:p w14:paraId="1E13DC4B" w14:textId="77777777" w:rsidR="0088398D" w:rsidRPr="005F34A9" w:rsidRDefault="0088398D" w:rsidP="0088398D">
            <w:pPr>
              <w:spacing w:after="0" w:line="240" w:lineRule="auto"/>
              <w:rPr>
                <w:rFonts w:ascii="Times New Roman" w:eastAsia="Times New Roman" w:hAnsi="Times New Roman" w:cs="Times New Roman"/>
                <w:color w:val="000000"/>
                <w:spacing w:val="-6"/>
                <w:highlight w:val="yellow"/>
                <w:lang w:eastAsia="uk-UA"/>
              </w:rPr>
            </w:pPr>
            <w:r w:rsidRPr="005F34A9">
              <w:rPr>
                <w:rFonts w:ascii="Times New Roman" w:eastAsia="Times New Roman" w:hAnsi="Times New Roman" w:cs="Times New Roman"/>
                <w:color w:val="000000"/>
                <w:spacing w:val="-6"/>
                <w:highlight w:val="yellow"/>
                <w:lang w:eastAsia="uk-UA"/>
              </w:rPr>
              <w:t>Загальні питання щодо здійснення закупівель</w:t>
            </w:r>
          </w:p>
        </w:tc>
        <w:tc>
          <w:tcPr>
            <w:tcW w:w="7042" w:type="dxa"/>
            <w:tcBorders>
              <w:top w:val="single" w:sz="4" w:space="0" w:color="auto"/>
              <w:left w:val="single" w:sz="4" w:space="0" w:color="auto"/>
              <w:bottom w:val="single" w:sz="4" w:space="0" w:color="auto"/>
              <w:right w:val="single" w:sz="4" w:space="0" w:color="auto"/>
            </w:tcBorders>
            <w:hideMark/>
          </w:tcPr>
          <w:p w14:paraId="7AF6FE23" w14:textId="0B1AAA17" w:rsidR="0088398D" w:rsidRPr="005F34A9" w:rsidRDefault="0088398D" w:rsidP="0088398D">
            <w:pPr>
              <w:spacing w:after="0" w:line="240" w:lineRule="auto"/>
              <w:ind w:firstLine="176"/>
              <w:contextualSpacing/>
              <w:jc w:val="both"/>
              <w:rPr>
                <w:rFonts w:ascii="Times New Roman" w:eastAsia="Calibri" w:hAnsi="Times New Roman" w:cs="Times New Roman"/>
                <w:color w:val="000000"/>
                <w:spacing w:val="-6"/>
                <w:highlight w:val="yellow"/>
              </w:rPr>
            </w:pPr>
            <w:r w:rsidRPr="005F34A9">
              <w:rPr>
                <w:rFonts w:ascii="Times New Roman" w:eastAsia="Calibri" w:hAnsi="Times New Roman" w:cs="Times New Roman"/>
                <w:color w:val="000000"/>
                <w:spacing w:val="-6"/>
                <w:highlight w:val="yellow"/>
              </w:rPr>
              <w:t xml:space="preserve">З додатковою інформацією щодо загальних принципів закупівель в АТ «Укртрансгаз» можна ознайомитись на сайті </w:t>
            </w:r>
            <w:hyperlink r:id="rId19" w:history="1">
              <w:r w:rsidRPr="005F34A9">
                <w:rPr>
                  <w:rFonts w:ascii="Times New Roman" w:eastAsia="Calibri" w:hAnsi="Times New Roman" w:cs="Times New Roman"/>
                  <w:color w:val="0000FF"/>
                  <w:spacing w:val="-6"/>
                  <w:highlight w:val="yellow"/>
                  <w:u w:val="single"/>
                </w:rPr>
                <w:t>http://utg.ua</w:t>
              </w:r>
            </w:hyperlink>
            <w:r w:rsidRPr="005F34A9">
              <w:rPr>
                <w:rFonts w:ascii="Times New Roman" w:eastAsia="Calibri" w:hAnsi="Times New Roman" w:cs="Times New Roman"/>
                <w:color w:val="000000"/>
                <w:spacing w:val="-6"/>
                <w:highlight w:val="yellow"/>
              </w:rPr>
              <w:t xml:space="preserve"> у розділі «ЗАКУПІВЛІ».</w:t>
            </w:r>
          </w:p>
          <w:p w14:paraId="70807D32" w14:textId="77777777" w:rsidR="0088398D" w:rsidRPr="005F34A9" w:rsidRDefault="0088398D" w:rsidP="0088398D">
            <w:pPr>
              <w:spacing w:after="0" w:line="240" w:lineRule="auto"/>
              <w:ind w:firstLine="176"/>
              <w:contextualSpacing/>
              <w:jc w:val="both"/>
              <w:rPr>
                <w:rFonts w:ascii="Times New Roman" w:eastAsia="Times New Roman" w:hAnsi="Times New Roman" w:cs="Times New Roman"/>
                <w:color w:val="000000"/>
                <w:spacing w:val="-6"/>
                <w:highlight w:val="yellow"/>
                <w:lang w:eastAsia="uk-UA"/>
              </w:rPr>
            </w:pPr>
            <w:r w:rsidRPr="005F34A9">
              <w:rPr>
                <w:rFonts w:ascii="Times New Roman" w:eastAsia="Calibri" w:hAnsi="Times New Roman" w:cs="Times New Roman"/>
                <w:color w:val="000000"/>
                <w:spacing w:val="-6"/>
                <w:highlight w:val="yellow"/>
              </w:rPr>
              <w:t xml:space="preserve">У разі наявності ознак вчинення учасниками процедури закупівлі антиконкурентних узгоджених дій, що стосуються спотворення результатів тендеру, Замовник має право звернутися до органів Антимонопольного комітету України із заявою про можливе порушення прав Замовника внаслідок дій чи бездіяльності, визначених Законом України «Про захист </w:t>
            </w:r>
            <w:r w:rsidRPr="005F34A9">
              <w:rPr>
                <w:rFonts w:ascii="Times New Roman" w:eastAsia="Calibri" w:hAnsi="Times New Roman" w:cs="Times New Roman"/>
                <w:color w:val="000000"/>
                <w:spacing w:val="-6"/>
                <w:highlight w:val="yellow"/>
              </w:rPr>
              <w:lastRenderedPageBreak/>
              <w:t>економічної конкуренції» як порушення законодавства про захист економічної конкуренції.</w:t>
            </w:r>
          </w:p>
        </w:tc>
      </w:tr>
    </w:tbl>
    <w:p w14:paraId="0C4E610A" w14:textId="35ED84F1" w:rsidR="00BF199C" w:rsidRDefault="00BF199C"/>
    <w:sectPr w:rsidR="00BF199C" w:rsidSect="002D60D9">
      <w:headerReference w:type="even" r:id="rId20"/>
      <w:headerReference w:type="default" r:id="rId21"/>
      <w:footerReference w:type="even" r:id="rId22"/>
      <w:footerReference w:type="default" r:id="rId23"/>
      <w:headerReference w:type="first" r:id="rId24"/>
      <w:footerReference w:type="first" r:id="rId25"/>
      <w:type w:val="continuous"/>
      <w:pgSz w:w="11906" w:h="16838"/>
      <w:pgMar w:top="568" w:right="849" w:bottom="426" w:left="1276" w:header="1134" w:footer="709"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59A5" w14:textId="77777777" w:rsidR="002D60D9" w:rsidRDefault="002D60D9" w:rsidP="00986CE2">
      <w:pPr>
        <w:spacing w:after="0" w:line="240" w:lineRule="auto"/>
      </w:pPr>
      <w:r>
        <w:separator/>
      </w:r>
    </w:p>
  </w:endnote>
  <w:endnote w:type="continuationSeparator" w:id="0">
    <w:p w14:paraId="4FBC5390" w14:textId="77777777" w:rsidR="002D60D9" w:rsidRDefault="002D60D9" w:rsidP="0098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irce Bold">
    <w:altName w:val="Arial"/>
    <w:panose1 w:val="020B0604020202020204"/>
    <w:charset w:val="00"/>
    <w:family w:val="swiss"/>
    <w:notTrueType/>
    <w:pitch w:val="variable"/>
    <w:sig w:usb0="00000001" w:usb1="5000604B" w:usb2="00000000" w:usb3="00000000" w:csb0="00000097" w:csb1="00000000"/>
  </w:font>
  <w:font w:name="Circe">
    <w:altName w:val="Century Gothic"/>
    <w:panose1 w:val="020B0604020202020204"/>
    <w:charset w:val="00"/>
    <w:family w:val="swiss"/>
    <w:notTrueType/>
    <w:pitch w:val="variable"/>
    <w:sig w:usb0="00000001" w:usb1="50006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0362" w14:textId="77777777" w:rsidR="002A370D" w:rsidRDefault="002A37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17DA" w14:textId="77777777" w:rsidR="00310578" w:rsidRDefault="00310578" w:rsidP="005F1727">
    <w:pPr>
      <w:pStyle w:val="a5"/>
      <w:ind w:right="-711"/>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BC694" w14:textId="031C7A22" w:rsidR="00310578" w:rsidRPr="00126F02" w:rsidRDefault="00310578" w:rsidP="00156B83">
    <w:pPr>
      <w:pStyle w:val="a5"/>
      <w:jc w:val="center"/>
      <w:rPr>
        <w:rFonts w:ascii="Times New Roman" w:hAnsi="Times New Roman" w:cs="Times New Roman"/>
      </w:rPr>
    </w:pPr>
    <w:r w:rsidRPr="00AC24BC">
      <w:rPr>
        <w:rFonts w:ascii="Times New Roman" w:hAnsi="Times New Roman" w:cs="Times New Roman"/>
      </w:rPr>
      <w:t>м. Київ - 202</w:t>
    </w:r>
    <w:r w:rsidR="002A370D">
      <w:rPr>
        <w:rFonts w:ascii="Times New Roman" w:hAnsi="Times New Roman" w:cs="Times New Roman"/>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32E7" w14:textId="77777777" w:rsidR="002D60D9" w:rsidRDefault="002D60D9" w:rsidP="00986CE2">
      <w:pPr>
        <w:spacing w:after="0" w:line="240" w:lineRule="auto"/>
      </w:pPr>
      <w:r>
        <w:separator/>
      </w:r>
    </w:p>
  </w:footnote>
  <w:footnote w:type="continuationSeparator" w:id="0">
    <w:p w14:paraId="16020801" w14:textId="77777777" w:rsidR="002D60D9" w:rsidRDefault="002D60D9" w:rsidP="00986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7BEB" w14:textId="77777777" w:rsidR="002A370D" w:rsidRDefault="002A370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6B097" w14:textId="77777777" w:rsidR="002A370D" w:rsidRDefault="002A370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8089" w14:textId="77777777" w:rsidR="00310578" w:rsidRDefault="00310578" w:rsidP="003E6F27">
    <w:pPr>
      <w:pStyle w:val="a3"/>
      <w:tabs>
        <w:tab w:val="clear" w:pos="4677"/>
        <w:tab w:val="left" w:pos="8505"/>
        <w:tab w:val="center" w:pos="8931"/>
      </w:tabs>
      <w:spacing w:line="280" w:lineRule="atLeast"/>
      <w:rPr>
        <w:noProof/>
        <w:color w:val="159FDA"/>
        <w:sz w:val="16"/>
        <w:szCs w:val="16"/>
        <w:lang w:eastAsia="uk-UA"/>
      </w:rPr>
    </w:pPr>
    <w:r w:rsidRPr="00EE58FF">
      <w:rPr>
        <w:rFonts w:ascii="Circe Bold" w:hAnsi="Circe Bold"/>
        <w:noProof/>
        <w:sz w:val="23"/>
        <w:szCs w:val="23"/>
        <w:lang w:eastAsia="uk-UA"/>
      </w:rPr>
      <mc:AlternateContent>
        <mc:Choice Requires="wps">
          <w:drawing>
            <wp:anchor distT="45720" distB="45720" distL="114300" distR="114300" simplePos="0" relativeHeight="251662336" behindDoc="0" locked="0" layoutInCell="1" allowOverlap="1" wp14:anchorId="59EB9885" wp14:editId="3E471429">
              <wp:simplePos x="0" y="0"/>
              <wp:positionH relativeFrom="margin">
                <wp:align>left</wp:align>
              </wp:positionH>
              <wp:positionV relativeFrom="paragraph">
                <wp:posOffset>4445</wp:posOffset>
              </wp:positionV>
              <wp:extent cx="2190750" cy="1175385"/>
              <wp:effectExtent l="0" t="0" r="0" b="5715"/>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175657"/>
                      </a:xfrm>
                      <a:prstGeom prst="rect">
                        <a:avLst/>
                      </a:prstGeom>
                      <a:noFill/>
                      <a:ln w="9525">
                        <a:noFill/>
                        <a:miter lim="800000"/>
                        <a:headEnd/>
                        <a:tailEnd/>
                      </a:ln>
                    </wps:spPr>
                    <wps:txbx>
                      <w:txbxContent>
                        <w:p w14:paraId="16A5EDAA" w14:textId="77777777" w:rsidR="00310578" w:rsidRPr="002E7E1E" w:rsidRDefault="00310578" w:rsidP="003E6F27">
                          <w:pPr>
                            <w:spacing w:after="0" w:line="230" w:lineRule="exact"/>
                            <w:rPr>
                              <w:color w:val="00A1DF"/>
                            </w:rPr>
                          </w:pPr>
                          <w:r w:rsidRPr="002E7E1E">
                            <w:rPr>
                              <w:color w:val="00A1DF"/>
                            </w:rPr>
                            <w:t>Акціонерне товариство</w:t>
                          </w:r>
                        </w:p>
                        <w:p w14:paraId="769B5990" w14:textId="77777777" w:rsidR="00310578" w:rsidRPr="002E7E1E" w:rsidRDefault="00310578" w:rsidP="003E6F27">
                          <w:pPr>
                            <w:spacing w:after="0" w:line="230" w:lineRule="exact"/>
                            <w:rPr>
                              <w:color w:val="00A1DF"/>
                            </w:rPr>
                          </w:pPr>
                          <w:r w:rsidRPr="002E7E1E">
                            <w:rPr>
                              <w:color w:val="00A1DF"/>
                            </w:rPr>
                            <w:t>«Укртрансгаз»</w:t>
                          </w:r>
                        </w:p>
                        <w:p w14:paraId="40C7DC1A" w14:textId="77777777" w:rsidR="00310578" w:rsidRPr="00234DBC" w:rsidRDefault="00310578" w:rsidP="003E6F27">
                          <w:pPr>
                            <w:spacing w:after="0" w:line="230" w:lineRule="exact"/>
                            <w:rPr>
                              <w:color w:val="000000"/>
                            </w:rPr>
                          </w:pPr>
                        </w:p>
                        <w:p w14:paraId="4E53B5C6" w14:textId="77777777" w:rsidR="00310578" w:rsidRPr="00234DBC" w:rsidRDefault="00310578" w:rsidP="003E6F27">
                          <w:pPr>
                            <w:spacing w:after="0" w:line="270" w:lineRule="exact"/>
                            <w:rPr>
                              <w:color w:val="000000"/>
                            </w:rPr>
                          </w:pPr>
                          <w:r w:rsidRPr="00234DBC">
                            <w:rPr>
                              <w:color w:val="000000"/>
                            </w:rPr>
                            <w:t>Україна,</w:t>
                          </w:r>
                        </w:p>
                        <w:p w14:paraId="7C714F15" w14:textId="77777777" w:rsidR="00310578" w:rsidRPr="00234DBC" w:rsidRDefault="00310578" w:rsidP="003E6F27">
                          <w:pPr>
                            <w:spacing w:after="0" w:line="270" w:lineRule="exact"/>
                            <w:rPr>
                              <w:color w:val="000000"/>
                            </w:rPr>
                          </w:pPr>
                          <w:r w:rsidRPr="00234DBC">
                            <w:rPr>
                              <w:color w:val="000000"/>
                            </w:rPr>
                            <w:t xml:space="preserve"> 01021, м. Київ,</w:t>
                          </w:r>
                        </w:p>
                        <w:p w14:paraId="21F3D6E3" w14:textId="77777777" w:rsidR="00310578" w:rsidRPr="00234DBC" w:rsidRDefault="00310578" w:rsidP="003E6F27">
                          <w:pPr>
                            <w:spacing w:after="0" w:line="270" w:lineRule="exact"/>
                            <w:rPr>
                              <w:color w:val="000000"/>
                            </w:rPr>
                          </w:pPr>
                          <w:r w:rsidRPr="00234DBC">
                            <w:rPr>
                              <w:color w:val="000000"/>
                            </w:rPr>
                            <w:t>Кловський узвіз, 9/1</w:t>
                          </w:r>
                        </w:p>
                        <w:p w14:paraId="2287787E" w14:textId="77777777" w:rsidR="00310578" w:rsidRPr="002E7E1E" w:rsidRDefault="00000000" w:rsidP="003E6F27">
                          <w:pPr>
                            <w:spacing w:after="0" w:line="240" w:lineRule="exact"/>
                            <w:rPr>
                              <w:rStyle w:val="a7"/>
                              <w:noProof/>
                              <w:color w:val="00A1DF"/>
                              <w:sz w:val="20"/>
                              <w:szCs w:val="20"/>
                              <w:u w:val="none"/>
                              <w:lang w:eastAsia="uk-UA"/>
                            </w:rPr>
                          </w:pPr>
                          <w:hyperlink r:id="rId1" w:history="1">
                            <w:r w:rsidR="00310578" w:rsidRPr="002E7E1E">
                              <w:rPr>
                                <w:rStyle w:val="a7"/>
                                <w:noProof/>
                                <w:color w:val="00A1DF"/>
                                <w:sz w:val="20"/>
                                <w:szCs w:val="20"/>
                                <w:u w:val="none"/>
                                <w:lang w:eastAsia="uk-UA"/>
                              </w:rPr>
                              <w:t>www.utg.ua</w:t>
                            </w:r>
                          </w:hyperlink>
                        </w:p>
                        <w:p w14:paraId="42262BD3" w14:textId="77777777" w:rsidR="00310578" w:rsidRDefault="00310578" w:rsidP="003E6F27">
                          <w:pPr>
                            <w:spacing w:after="0" w:line="230" w:lineRule="exact"/>
                            <w:rPr>
                              <w:color w:val="159FDA"/>
                            </w:rPr>
                          </w:pPr>
                        </w:p>
                        <w:p w14:paraId="4D6C2461" w14:textId="77777777" w:rsidR="00310578" w:rsidRDefault="00310578" w:rsidP="003E6F27">
                          <w:pPr>
                            <w:spacing w:after="0" w:line="230" w:lineRule="exact"/>
                            <w:rPr>
                              <w:color w:val="159FDA"/>
                            </w:rPr>
                          </w:pPr>
                        </w:p>
                        <w:p w14:paraId="48BC7833" w14:textId="77777777" w:rsidR="00310578" w:rsidRPr="001974E8" w:rsidRDefault="00310578" w:rsidP="003E6F27">
                          <w:pPr>
                            <w:spacing w:after="0" w:line="230" w:lineRule="exact"/>
                            <w:rPr>
                              <w:rFonts w:cs="Segoe UI"/>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EB9885" id="_x0000_t202" coordsize="21600,21600" o:spt="202" path="m,l,21600r21600,l21600,xe">
              <v:stroke joinstyle="miter"/>
              <v:path gradientshapeok="t" o:connecttype="rect"/>
            </v:shapetype>
            <v:shape id="Надпись 2" o:spid="_x0000_s1026" type="#_x0000_t202" style="position:absolute;margin-left:0;margin-top:.35pt;width:172.5pt;height:92.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" filled="f" stroked="f">
              <v:textbox inset="0,0,0,0">
                <w:txbxContent>
                  <w:p w14:paraId="16A5EDAA" w14:textId="77777777" w:rsidR="00310578" w:rsidRPr="002E7E1E" w:rsidRDefault="00310578" w:rsidP="003E6F27">
                    <w:pPr>
                      <w:spacing w:after="0" w:line="230" w:lineRule="exact"/>
                      <w:rPr>
                        <w:color w:val="00A1DF"/>
                      </w:rPr>
                    </w:pPr>
                    <w:r w:rsidRPr="002E7E1E">
                      <w:rPr>
                        <w:color w:val="00A1DF"/>
                      </w:rPr>
                      <w:t>Акціонерне товариство</w:t>
                    </w:r>
                  </w:p>
                  <w:p w14:paraId="769B5990" w14:textId="77777777" w:rsidR="00310578" w:rsidRPr="002E7E1E" w:rsidRDefault="00310578" w:rsidP="003E6F27">
                    <w:pPr>
                      <w:spacing w:after="0" w:line="230" w:lineRule="exact"/>
                      <w:rPr>
                        <w:color w:val="00A1DF"/>
                      </w:rPr>
                    </w:pPr>
                    <w:r w:rsidRPr="002E7E1E">
                      <w:rPr>
                        <w:color w:val="00A1DF"/>
                      </w:rPr>
                      <w:t>«Укртрансгаз»</w:t>
                    </w:r>
                  </w:p>
                  <w:p w14:paraId="40C7DC1A" w14:textId="77777777" w:rsidR="00310578" w:rsidRPr="00234DBC" w:rsidRDefault="00310578" w:rsidP="003E6F27">
                    <w:pPr>
                      <w:spacing w:after="0" w:line="230" w:lineRule="exact"/>
                      <w:rPr>
                        <w:color w:val="000000"/>
                      </w:rPr>
                    </w:pPr>
                  </w:p>
                  <w:p w14:paraId="4E53B5C6" w14:textId="77777777" w:rsidR="00310578" w:rsidRPr="00234DBC" w:rsidRDefault="00310578" w:rsidP="003E6F27">
                    <w:pPr>
                      <w:spacing w:after="0" w:line="270" w:lineRule="exact"/>
                      <w:rPr>
                        <w:color w:val="000000"/>
                      </w:rPr>
                    </w:pPr>
                    <w:r w:rsidRPr="00234DBC">
                      <w:rPr>
                        <w:color w:val="000000"/>
                      </w:rPr>
                      <w:t>Україна,</w:t>
                    </w:r>
                  </w:p>
                  <w:p w14:paraId="7C714F15" w14:textId="77777777" w:rsidR="00310578" w:rsidRPr="00234DBC" w:rsidRDefault="00310578" w:rsidP="003E6F27">
                    <w:pPr>
                      <w:spacing w:after="0" w:line="270" w:lineRule="exact"/>
                      <w:rPr>
                        <w:color w:val="000000"/>
                      </w:rPr>
                    </w:pPr>
                    <w:r w:rsidRPr="00234DBC">
                      <w:rPr>
                        <w:color w:val="000000"/>
                      </w:rPr>
                      <w:t xml:space="preserve"> 01021, м. Київ,</w:t>
                    </w:r>
                  </w:p>
                  <w:p w14:paraId="21F3D6E3" w14:textId="77777777" w:rsidR="00310578" w:rsidRPr="00234DBC" w:rsidRDefault="00310578" w:rsidP="003E6F27">
                    <w:pPr>
                      <w:spacing w:after="0" w:line="270" w:lineRule="exact"/>
                      <w:rPr>
                        <w:color w:val="000000"/>
                      </w:rPr>
                    </w:pPr>
                    <w:r w:rsidRPr="00234DBC">
                      <w:rPr>
                        <w:color w:val="000000"/>
                      </w:rPr>
                      <w:t>Кловський узвіз, 9/1</w:t>
                    </w:r>
                  </w:p>
                  <w:p w14:paraId="2287787E" w14:textId="77777777" w:rsidR="00310578" w:rsidRPr="002E7E1E" w:rsidRDefault="00B26E71" w:rsidP="003E6F27">
                    <w:pPr>
                      <w:spacing w:after="0" w:line="240" w:lineRule="exact"/>
                      <w:rPr>
                        <w:rStyle w:val="a7"/>
                        <w:noProof/>
                        <w:color w:val="00A1DF"/>
                        <w:sz w:val="20"/>
                        <w:szCs w:val="20"/>
                        <w:u w:val="none"/>
                        <w:lang w:eastAsia="uk-UA"/>
                      </w:rPr>
                    </w:pPr>
                    <w:hyperlink r:id="rId2" w:history="1">
                      <w:r w:rsidR="00310578" w:rsidRPr="002E7E1E">
                        <w:rPr>
                          <w:rStyle w:val="a7"/>
                          <w:noProof/>
                          <w:color w:val="00A1DF"/>
                          <w:sz w:val="20"/>
                          <w:szCs w:val="20"/>
                          <w:u w:val="none"/>
                          <w:lang w:eastAsia="uk-UA"/>
                        </w:rPr>
                        <w:t>www.utg.ua</w:t>
                      </w:r>
                    </w:hyperlink>
                  </w:p>
                  <w:p w14:paraId="42262BD3" w14:textId="77777777" w:rsidR="00310578" w:rsidRDefault="00310578" w:rsidP="003E6F27">
                    <w:pPr>
                      <w:spacing w:after="0" w:line="230" w:lineRule="exact"/>
                      <w:rPr>
                        <w:color w:val="159FDA"/>
                      </w:rPr>
                    </w:pPr>
                  </w:p>
                  <w:p w14:paraId="4D6C2461" w14:textId="77777777" w:rsidR="00310578" w:rsidRDefault="00310578" w:rsidP="003E6F27">
                    <w:pPr>
                      <w:spacing w:after="0" w:line="230" w:lineRule="exact"/>
                      <w:rPr>
                        <w:color w:val="159FDA"/>
                      </w:rPr>
                    </w:pPr>
                  </w:p>
                  <w:p w14:paraId="48BC7833" w14:textId="77777777" w:rsidR="00310578" w:rsidRPr="001974E8" w:rsidRDefault="00310578" w:rsidP="003E6F27">
                    <w:pPr>
                      <w:spacing w:after="0" w:line="230" w:lineRule="exact"/>
                      <w:rPr>
                        <w:rFonts w:cs="Segoe UI"/>
                      </w:rPr>
                    </w:pPr>
                  </w:p>
                </w:txbxContent>
              </v:textbox>
              <w10:wrap type="square" anchorx="margin"/>
            </v:shape>
          </w:pict>
        </mc:Fallback>
      </mc:AlternateContent>
    </w:r>
    <w:r w:rsidRPr="00EE58FF">
      <w:rPr>
        <w:rFonts w:ascii="Circe Bold" w:hAnsi="Circe Bold"/>
        <w:noProof/>
        <w:sz w:val="23"/>
        <w:szCs w:val="23"/>
        <w:lang w:eastAsia="uk-UA"/>
      </w:rPr>
      <mc:AlternateContent>
        <mc:Choice Requires="wps">
          <w:drawing>
            <wp:anchor distT="45720" distB="45720" distL="114300" distR="114300" simplePos="0" relativeHeight="251663360" behindDoc="0" locked="0" layoutInCell="1" allowOverlap="1" wp14:anchorId="47DD4DAC" wp14:editId="0FF9A517">
              <wp:simplePos x="0" y="0"/>
              <wp:positionH relativeFrom="margin">
                <wp:align>right</wp:align>
              </wp:positionH>
              <wp:positionV relativeFrom="paragraph">
                <wp:posOffset>16510</wp:posOffset>
              </wp:positionV>
              <wp:extent cx="2365375" cy="1317625"/>
              <wp:effectExtent l="0" t="0" r="0" b="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318161"/>
                      </a:xfrm>
                      <a:prstGeom prst="rect">
                        <a:avLst/>
                      </a:prstGeom>
                      <a:noFill/>
                      <a:ln w="9525">
                        <a:noFill/>
                        <a:miter lim="800000"/>
                        <a:headEnd/>
                        <a:tailEnd/>
                      </a:ln>
                    </wps:spPr>
                    <wps:txbx>
                      <w:txbxContent>
                        <w:p w14:paraId="47C403F0" w14:textId="77777777" w:rsidR="00310578" w:rsidRPr="002E7E1E" w:rsidRDefault="00310578" w:rsidP="003E6F27">
                          <w:pPr>
                            <w:spacing w:after="0" w:line="230" w:lineRule="exact"/>
                            <w:jc w:val="right"/>
                            <w:rPr>
                              <w:rFonts w:ascii="Circe" w:hAnsi="Circe"/>
                              <w:color w:val="00A1DF"/>
                              <w:sz w:val="20"/>
                              <w:szCs w:val="20"/>
                            </w:rPr>
                          </w:pPr>
                          <w:r w:rsidRPr="00234DBC">
                            <w:rPr>
                              <w:rFonts w:ascii="Circe" w:hAnsi="Circe"/>
                              <w:b/>
                              <w:color w:val="000000"/>
                              <w:sz w:val="20"/>
                              <w:szCs w:val="20"/>
                            </w:rPr>
                            <w:t xml:space="preserve"> </w:t>
                          </w:r>
                          <w:proofErr w:type="spellStart"/>
                          <w:r w:rsidRPr="002E7E1E">
                            <w:rPr>
                              <w:color w:val="00A1DF"/>
                            </w:rPr>
                            <w:t>Ukrtransgaz</w:t>
                          </w:r>
                          <w:proofErr w:type="spellEnd"/>
                          <w:r w:rsidRPr="002E7E1E">
                            <w:rPr>
                              <w:rFonts w:ascii="Circe" w:hAnsi="Circe"/>
                              <w:color w:val="00A1DF"/>
                              <w:sz w:val="20"/>
                              <w:szCs w:val="20"/>
                            </w:rPr>
                            <w:t xml:space="preserve"> </w:t>
                          </w:r>
                        </w:p>
                        <w:p w14:paraId="45D7E209" w14:textId="77777777" w:rsidR="00310578" w:rsidRPr="002E7E1E" w:rsidRDefault="00310578" w:rsidP="003E6F27">
                          <w:pPr>
                            <w:spacing w:after="0" w:line="230" w:lineRule="exact"/>
                            <w:jc w:val="right"/>
                            <w:rPr>
                              <w:color w:val="00A1DF"/>
                            </w:rPr>
                          </w:pPr>
                          <w:proofErr w:type="spellStart"/>
                          <w:r w:rsidRPr="002E7E1E">
                            <w:rPr>
                              <w:color w:val="00A1DF"/>
                            </w:rPr>
                            <w:t>Joint</w:t>
                          </w:r>
                          <w:proofErr w:type="spellEnd"/>
                          <w:r w:rsidRPr="002E7E1E">
                            <w:rPr>
                              <w:color w:val="00A1DF"/>
                            </w:rPr>
                            <w:t xml:space="preserve"> </w:t>
                          </w:r>
                          <w:proofErr w:type="spellStart"/>
                          <w:r w:rsidRPr="002E7E1E">
                            <w:rPr>
                              <w:color w:val="00A1DF"/>
                            </w:rPr>
                            <w:t>Stock</w:t>
                          </w:r>
                          <w:proofErr w:type="spellEnd"/>
                          <w:r w:rsidRPr="002E7E1E">
                            <w:rPr>
                              <w:color w:val="00A1DF"/>
                            </w:rPr>
                            <w:t xml:space="preserve"> </w:t>
                          </w:r>
                          <w:proofErr w:type="spellStart"/>
                          <w:r w:rsidRPr="002E7E1E">
                            <w:rPr>
                              <w:color w:val="00A1DF"/>
                            </w:rPr>
                            <w:t>Company</w:t>
                          </w:r>
                          <w:proofErr w:type="spellEnd"/>
                        </w:p>
                        <w:p w14:paraId="06073C07" w14:textId="77777777" w:rsidR="00310578" w:rsidRPr="00234DBC" w:rsidRDefault="00310578" w:rsidP="003E6F27">
                          <w:pPr>
                            <w:spacing w:after="0" w:line="230" w:lineRule="exact"/>
                            <w:jc w:val="right"/>
                            <w:rPr>
                              <w:rFonts w:ascii="Circe" w:hAnsi="Circe"/>
                              <w:color w:val="000000"/>
                              <w:sz w:val="20"/>
                              <w:szCs w:val="20"/>
                            </w:rPr>
                          </w:pPr>
                          <w:r w:rsidRPr="00234DBC">
                            <w:rPr>
                              <w:rFonts w:ascii="Circe" w:hAnsi="Circe"/>
                              <w:color w:val="000000"/>
                              <w:sz w:val="20"/>
                              <w:szCs w:val="20"/>
                            </w:rPr>
                            <w:t xml:space="preserve"> </w:t>
                          </w:r>
                        </w:p>
                        <w:p w14:paraId="5E969A54" w14:textId="77777777" w:rsidR="00310578" w:rsidRPr="00234DBC" w:rsidRDefault="00310578" w:rsidP="003E6F27">
                          <w:pPr>
                            <w:spacing w:after="0" w:line="270" w:lineRule="exact"/>
                            <w:jc w:val="right"/>
                            <w:rPr>
                              <w:color w:val="000000"/>
                            </w:rPr>
                          </w:pPr>
                          <w:r w:rsidRPr="00234DBC">
                            <w:rPr>
                              <w:rFonts w:ascii="Circe" w:hAnsi="Circe"/>
                              <w:color w:val="000000"/>
                              <w:sz w:val="20"/>
                              <w:szCs w:val="20"/>
                            </w:rPr>
                            <w:t xml:space="preserve"> </w:t>
                          </w:r>
                          <w:r w:rsidRPr="00234DBC">
                            <w:rPr>
                              <w:color w:val="000000"/>
                            </w:rPr>
                            <w:t xml:space="preserve">9/1, </w:t>
                          </w:r>
                          <w:proofErr w:type="spellStart"/>
                          <w:r w:rsidRPr="00234DBC">
                            <w:rPr>
                              <w:color w:val="000000"/>
                            </w:rPr>
                            <w:t>Klovskyi</w:t>
                          </w:r>
                          <w:proofErr w:type="spellEnd"/>
                          <w:r w:rsidRPr="00234DBC">
                            <w:rPr>
                              <w:color w:val="000000"/>
                            </w:rPr>
                            <w:t xml:space="preserve"> </w:t>
                          </w:r>
                          <w:proofErr w:type="spellStart"/>
                          <w:r w:rsidRPr="00234DBC">
                            <w:rPr>
                              <w:color w:val="000000"/>
                            </w:rPr>
                            <w:t>Uzviz</w:t>
                          </w:r>
                          <w:proofErr w:type="spellEnd"/>
                        </w:p>
                        <w:p w14:paraId="52AB74C9" w14:textId="77777777" w:rsidR="00310578" w:rsidRPr="00234DBC" w:rsidRDefault="00310578" w:rsidP="003E6F27">
                          <w:pPr>
                            <w:spacing w:after="0" w:line="270" w:lineRule="exact"/>
                            <w:jc w:val="right"/>
                            <w:rPr>
                              <w:color w:val="000000"/>
                            </w:rPr>
                          </w:pPr>
                          <w:r w:rsidRPr="00234DBC">
                            <w:rPr>
                              <w:color w:val="000000"/>
                            </w:rPr>
                            <w:t xml:space="preserve">   </w:t>
                          </w:r>
                          <w:proofErr w:type="spellStart"/>
                          <w:r w:rsidRPr="00234DBC">
                            <w:rPr>
                              <w:color w:val="000000"/>
                            </w:rPr>
                            <w:t>Kyiv</w:t>
                          </w:r>
                          <w:proofErr w:type="spellEnd"/>
                          <w:r w:rsidRPr="00234DBC">
                            <w:rPr>
                              <w:color w:val="000000"/>
                            </w:rPr>
                            <w:t xml:space="preserve">, 01021, </w:t>
                          </w:r>
                        </w:p>
                        <w:p w14:paraId="16AC2EEB" w14:textId="77777777" w:rsidR="00310578" w:rsidRPr="00234DBC" w:rsidRDefault="00310578" w:rsidP="003E6F27">
                          <w:pPr>
                            <w:spacing w:after="0" w:line="270" w:lineRule="exact"/>
                            <w:jc w:val="right"/>
                            <w:rPr>
                              <w:color w:val="000000"/>
                              <w:lang w:val="en-US"/>
                            </w:rPr>
                          </w:pPr>
                          <w:r w:rsidRPr="00234DBC">
                            <w:rPr>
                              <w:color w:val="000000"/>
                              <w:lang w:val="en-US"/>
                            </w:rPr>
                            <w:t>Ukraine</w:t>
                          </w:r>
                        </w:p>
                        <w:p w14:paraId="6690B66D" w14:textId="77777777" w:rsidR="00310578" w:rsidRPr="002E7E1E" w:rsidRDefault="00000000" w:rsidP="003E6F27">
                          <w:pPr>
                            <w:spacing w:after="0" w:line="240" w:lineRule="exact"/>
                            <w:jc w:val="right"/>
                            <w:rPr>
                              <w:rStyle w:val="a7"/>
                              <w:noProof/>
                              <w:color w:val="00A1DF"/>
                              <w:sz w:val="20"/>
                              <w:szCs w:val="20"/>
                              <w:u w:val="none"/>
                              <w:lang w:eastAsia="uk-UA"/>
                            </w:rPr>
                          </w:pPr>
                          <w:hyperlink r:id="rId3" w:history="1">
                            <w:r w:rsidR="00310578" w:rsidRPr="002E7E1E">
                              <w:rPr>
                                <w:rStyle w:val="a7"/>
                                <w:noProof/>
                                <w:color w:val="00A1DF"/>
                                <w:sz w:val="20"/>
                                <w:szCs w:val="20"/>
                                <w:u w:val="none"/>
                                <w:lang w:eastAsia="uk-UA"/>
                              </w:rPr>
                              <w:t>www.utg.ua</w:t>
                            </w:r>
                          </w:hyperlink>
                        </w:p>
                        <w:p w14:paraId="58B35142" w14:textId="77777777" w:rsidR="00310578" w:rsidRDefault="00310578" w:rsidP="003E6F27">
                          <w:pPr>
                            <w:spacing w:after="0" w:line="270" w:lineRule="exact"/>
                            <w:jc w:val="right"/>
                            <w:rPr>
                              <w:rFonts w:ascii="Circe" w:hAnsi="Circe"/>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D4DAC" id="_x0000_s1027" type="#_x0000_t202" style="position:absolute;margin-left:135.05pt;margin-top:1.3pt;width:186.25pt;height:103.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" filled="f" stroked="f">
              <v:textbox inset="0,0,0,0">
                <w:txbxContent>
                  <w:p w14:paraId="47C403F0" w14:textId="77777777" w:rsidR="00310578" w:rsidRPr="002E7E1E" w:rsidRDefault="00310578" w:rsidP="003E6F27">
                    <w:pPr>
                      <w:spacing w:after="0" w:line="230" w:lineRule="exact"/>
                      <w:jc w:val="right"/>
                      <w:rPr>
                        <w:rFonts w:ascii="Circe" w:hAnsi="Circe"/>
                        <w:color w:val="00A1DF"/>
                        <w:sz w:val="20"/>
                        <w:szCs w:val="20"/>
                      </w:rPr>
                    </w:pPr>
                    <w:r w:rsidRPr="00234DBC">
                      <w:rPr>
                        <w:rFonts w:ascii="Circe" w:hAnsi="Circe"/>
                        <w:b/>
                        <w:color w:val="000000"/>
                        <w:sz w:val="20"/>
                        <w:szCs w:val="20"/>
                      </w:rPr>
                      <w:t xml:space="preserve"> </w:t>
                    </w:r>
                    <w:r w:rsidRPr="002E7E1E">
                      <w:rPr>
                        <w:color w:val="00A1DF"/>
                      </w:rPr>
                      <w:t>Ukrtransgaz</w:t>
                    </w:r>
                    <w:r w:rsidRPr="002E7E1E">
                      <w:rPr>
                        <w:rFonts w:ascii="Circe" w:hAnsi="Circe"/>
                        <w:color w:val="00A1DF"/>
                        <w:sz w:val="20"/>
                        <w:szCs w:val="20"/>
                      </w:rPr>
                      <w:t xml:space="preserve"> </w:t>
                    </w:r>
                  </w:p>
                  <w:p w14:paraId="45D7E209" w14:textId="77777777" w:rsidR="00310578" w:rsidRPr="002E7E1E" w:rsidRDefault="00310578" w:rsidP="003E6F27">
                    <w:pPr>
                      <w:spacing w:after="0" w:line="230" w:lineRule="exact"/>
                      <w:jc w:val="right"/>
                      <w:rPr>
                        <w:color w:val="00A1DF"/>
                      </w:rPr>
                    </w:pPr>
                    <w:r w:rsidRPr="002E7E1E">
                      <w:rPr>
                        <w:color w:val="00A1DF"/>
                      </w:rPr>
                      <w:t>Joint Stock Company</w:t>
                    </w:r>
                  </w:p>
                  <w:p w14:paraId="06073C07" w14:textId="77777777" w:rsidR="00310578" w:rsidRPr="00234DBC" w:rsidRDefault="00310578" w:rsidP="003E6F27">
                    <w:pPr>
                      <w:spacing w:after="0" w:line="230" w:lineRule="exact"/>
                      <w:jc w:val="right"/>
                      <w:rPr>
                        <w:rFonts w:ascii="Circe" w:hAnsi="Circe"/>
                        <w:color w:val="000000"/>
                        <w:sz w:val="20"/>
                        <w:szCs w:val="20"/>
                      </w:rPr>
                    </w:pPr>
                    <w:r w:rsidRPr="00234DBC">
                      <w:rPr>
                        <w:rFonts w:ascii="Circe" w:hAnsi="Circe"/>
                        <w:color w:val="000000"/>
                        <w:sz w:val="20"/>
                        <w:szCs w:val="20"/>
                      </w:rPr>
                      <w:t xml:space="preserve"> </w:t>
                    </w:r>
                  </w:p>
                  <w:p w14:paraId="5E969A54" w14:textId="77777777" w:rsidR="00310578" w:rsidRPr="00234DBC" w:rsidRDefault="00310578" w:rsidP="003E6F27">
                    <w:pPr>
                      <w:spacing w:after="0" w:line="270" w:lineRule="exact"/>
                      <w:jc w:val="right"/>
                      <w:rPr>
                        <w:color w:val="000000"/>
                      </w:rPr>
                    </w:pPr>
                    <w:r w:rsidRPr="00234DBC">
                      <w:rPr>
                        <w:rFonts w:ascii="Circe" w:hAnsi="Circe"/>
                        <w:color w:val="000000"/>
                        <w:sz w:val="20"/>
                        <w:szCs w:val="20"/>
                      </w:rPr>
                      <w:t xml:space="preserve"> </w:t>
                    </w:r>
                    <w:r w:rsidRPr="00234DBC">
                      <w:rPr>
                        <w:color w:val="000000"/>
                      </w:rPr>
                      <w:t>9/1, Klovskyi Uzviz</w:t>
                    </w:r>
                  </w:p>
                  <w:p w14:paraId="52AB74C9" w14:textId="77777777" w:rsidR="00310578" w:rsidRPr="00234DBC" w:rsidRDefault="00310578" w:rsidP="003E6F27">
                    <w:pPr>
                      <w:spacing w:after="0" w:line="270" w:lineRule="exact"/>
                      <w:jc w:val="right"/>
                      <w:rPr>
                        <w:color w:val="000000"/>
                      </w:rPr>
                    </w:pPr>
                    <w:r w:rsidRPr="00234DBC">
                      <w:rPr>
                        <w:color w:val="000000"/>
                      </w:rPr>
                      <w:t xml:space="preserve">   Kyiv, 01021, </w:t>
                    </w:r>
                  </w:p>
                  <w:p w14:paraId="16AC2EEB" w14:textId="77777777" w:rsidR="00310578" w:rsidRPr="00234DBC" w:rsidRDefault="00310578" w:rsidP="003E6F27">
                    <w:pPr>
                      <w:spacing w:after="0" w:line="270" w:lineRule="exact"/>
                      <w:jc w:val="right"/>
                      <w:rPr>
                        <w:color w:val="000000"/>
                        <w:lang w:val="en-US"/>
                      </w:rPr>
                    </w:pPr>
                    <w:r w:rsidRPr="00234DBC">
                      <w:rPr>
                        <w:color w:val="000000"/>
                        <w:lang w:val="en-US"/>
                      </w:rPr>
                      <w:t>Ukraine</w:t>
                    </w:r>
                  </w:p>
                  <w:p w14:paraId="6690B66D" w14:textId="77777777" w:rsidR="00310578" w:rsidRPr="002E7E1E" w:rsidRDefault="00B26E71" w:rsidP="003E6F27">
                    <w:pPr>
                      <w:spacing w:after="0" w:line="240" w:lineRule="exact"/>
                      <w:jc w:val="right"/>
                      <w:rPr>
                        <w:rStyle w:val="a7"/>
                        <w:noProof/>
                        <w:color w:val="00A1DF"/>
                        <w:sz w:val="20"/>
                        <w:szCs w:val="20"/>
                        <w:u w:val="none"/>
                        <w:lang w:eastAsia="uk-UA"/>
                      </w:rPr>
                    </w:pPr>
                    <w:hyperlink r:id="rId4" w:history="1">
                      <w:r w:rsidR="00310578" w:rsidRPr="002E7E1E">
                        <w:rPr>
                          <w:rStyle w:val="a7"/>
                          <w:noProof/>
                          <w:color w:val="00A1DF"/>
                          <w:sz w:val="20"/>
                          <w:szCs w:val="20"/>
                          <w:u w:val="none"/>
                          <w:lang w:eastAsia="uk-UA"/>
                        </w:rPr>
                        <w:t>www.utg.ua</w:t>
                      </w:r>
                    </w:hyperlink>
                  </w:p>
                  <w:p w14:paraId="58B35142" w14:textId="77777777" w:rsidR="00310578" w:rsidRDefault="00310578" w:rsidP="003E6F27">
                    <w:pPr>
                      <w:spacing w:after="0" w:line="270" w:lineRule="exact"/>
                      <w:jc w:val="right"/>
                      <w:rPr>
                        <w:rFonts w:ascii="Circe" w:hAnsi="Circe"/>
                        <w:sz w:val="20"/>
                        <w:szCs w:val="20"/>
                      </w:rPr>
                    </w:pPr>
                  </w:p>
                </w:txbxContent>
              </v:textbox>
              <w10:wrap type="square" anchorx="margin"/>
            </v:shape>
          </w:pict>
        </mc:Fallback>
      </mc:AlternateContent>
    </w:r>
    <w:r w:rsidRPr="00CC1E72">
      <w:rPr>
        <w:noProof/>
        <w:lang w:eastAsia="uk-UA"/>
      </w:rPr>
      <w:drawing>
        <wp:anchor distT="0" distB="0" distL="114300" distR="114300" simplePos="0" relativeHeight="251660288" behindDoc="0" locked="0" layoutInCell="1" allowOverlap="1" wp14:anchorId="773F2284" wp14:editId="4C1C26E0">
          <wp:simplePos x="0" y="0"/>
          <wp:positionH relativeFrom="margin">
            <wp:align>center</wp:align>
          </wp:positionH>
          <wp:positionV relativeFrom="paragraph">
            <wp:posOffset>8635</wp:posOffset>
          </wp:positionV>
          <wp:extent cx="2071214" cy="421640"/>
          <wp:effectExtent l="0" t="0" r="5715"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1214" cy="421640"/>
                  </a:xfrm>
                  <a:prstGeom prst="rect">
                    <a:avLst/>
                  </a:prstGeom>
                </pic:spPr>
              </pic:pic>
            </a:graphicData>
          </a:graphic>
          <wp14:sizeRelH relativeFrom="page">
            <wp14:pctWidth>0</wp14:pctWidth>
          </wp14:sizeRelH>
          <wp14:sizeRelV relativeFrom="page">
            <wp14:pctHeight>0</wp14:pctHeight>
          </wp14:sizeRelV>
        </wp:anchor>
      </w:drawing>
    </w:r>
  </w:p>
  <w:p w14:paraId="0DFD0534" w14:textId="77777777" w:rsidR="00310578" w:rsidRDefault="00310578" w:rsidP="003E6F27">
    <w:pPr>
      <w:pStyle w:val="a3"/>
      <w:tabs>
        <w:tab w:val="clear" w:pos="4677"/>
        <w:tab w:val="left" w:pos="8505"/>
        <w:tab w:val="center" w:pos="8931"/>
      </w:tabs>
      <w:spacing w:line="280" w:lineRule="atLeast"/>
      <w:rPr>
        <w:noProof/>
        <w:color w:val="159FDA"/>
        <w:sz w:val="16"/>
        <w:szCs w:val="16"/>
        <w:lang w:eastAsia="uk-UA"/>
      </w:rPr>
    </w:pPr>
  </w:p>
  <w:p w14:paraId="3EBD51EA" w14:textId="77777777" w:rsidR="00310578" w:rsidRDefault="00310578" w:rsidP="005A5FC3">
    <w:pPr>
      <w:pStyle w:val="a3"/>
      <w:tabs>
        <w:tab w:val="clear" w:pos="4677"/>
        <w:tab w:val="left" w:pos="8505"/>
        <w:tab w:val="center" w:pos="8931"/>
      </w:tabs>
      <w:spacing w:line="280" w:lineRule="atLeast"/>
      <w:jc w:val="center"/>
      <w:rPr>
        <w:noProof/>
        <w:color w:val="159FDA"/>
        <w:sz w:val="16"/>
        <w:szCs w:val="16"/>
        <w:lang w:eastAsia="uk-UA"/>
      </w:rPr>
    </w:pPr>
  </w:p>
  <w:p w14:paraId="7FFC566B" w14:textId="77777777" w:rsidR="00310578" w:rsidRDefault="00310578" w:rsidP="003E6F27">
    <w:pPr>
      <w:pStyle w:val="a3"/>
      <w:tabs>
        <w:tab w:val="clear" w:pos="4677"/>
        <w:tab w:val="left" w:pos="8505"/>
        <w:tab w:val="center" w:pos="8931"/>
      </w:tabs>
      <w:spacing w:line="280" w:lineRule="atLeast"/>
      <w:rPr>
        <w:noProof/>
        <w:color w:val="159FDA"/>
        <w:sz w:val="16"/>
        <w:szCs w:val="16"/>
        <w:lang w:eastAsia="uk-UA"/>
      </w:rPr>
    </w:pPr>
    <w:r>
      <w:rPr>
        <w:noProof/>
        <w:color w:val="159FDA"/>
        <w:sz w:val="16"/>
        <w:szCs w:val="16"/>
        <w:lang w:eastAsia="uk-UA"/>
      </w:rPr>
      <w:drawing>
        <wp:anchor distT="0" distB="0" distL="114300" distR="114300" simplePos="0" relativeHeight="251661312" behindDoc="0" locked="0" layoutInCell="1" allowOverlap="1" wp14:anchorId="6F0C4234" wp14:editId="4454B522">
          <wp:simplePos x="0" y="0"/>
          <wp:positionH relativeFrom="margin">
            <wp:posOffset>2667000</wp:posOffset>
          </wp:positionH>
          <wp:positionV relativeFrom="paragraph">
            <wp:posOffset>28946</wp:posOffset>
          </wp:positionV>
          <wp:extent cx="761086" cy="761086"/>
          <wp:effectExtent l="0" t="0" r="1270" b="127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_Image.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1086" cy="761086"/>
                  </a:xfrm>
                  <a:prstGeom prst="rect">
                    <a:avLst/>
                  </a:prstGeom>
                </pic:spPr>
              </pic:pic>
            </a:graphicData>
          </a:graphic>
          <wp14:sizeRelH relativeFrom="page">
            <wp14:pctWidth>0</wp14:pctWidth>
          </wp14:sizeRelH>
          <wp14:sizeRelV relativeFrom="page">
            <wp14:pctHeight>0</wp14:pctHeight>
          </wp14:sizeRelV>
        </wp:anchor>
      </w:drawing>
    </w:r>
  </w:p>
  <w:p w14:paraId="0E8C53F7" w14:textId="77777777" w:rsidR="00310578" w:rsidRDefault="00310578" w:rsidP="003E6F27">
    <w:pPr>
      <w:pStyle w:val="a3"/>
      <w:tabs>
        <w:tab w:val="clear" w:pos="4677"/>
        <w:tab w:val="left" w:pos="8505"/>
        <w:tab w:val="center" w:pos="8931"/>
      </w:tabs>
      <w:rPr>
        <w:noProof/>
        <w:color w:val="159FDA"/>
        <w:sz w:val="16"/>
        <w:szCs w:val="16"/>
        <w:lang w:eastAsia="uk-UA"/>
      </w:rPr>
    </w:pPr>
  </w:p>
  <w:p w14:paraId="387DDF68" w14:textId="77777777" w:rsidR="00310578" w:rsidRDefault="00310578" w:rsidP="003E6F27">
    <w:pPr>
      <w:pStyle w:val="a3"/>
      <w:tabs>
        <w:tab w:val="clear" w:pos="4677"/>
        <w:tab w:val="left" w:pos="8505"/>
        <w:tab w:val="center" w:pos="8931"/>
      </w:tabs>
      <w:rPr>
        <w:noProof/>
        <w:color w:val="159FDA"/>
        <w:sz w:val="16"/>
        <w:szCs w:val="16"/>
        <w:lang w:eastAsia="uk-UA"/>
      </w:rPr>
    </w:pPr>
  </w:p>
  <w:p w14:paraId="4FF066DB" w14:textId="77777777" w:rsidR="00310578" w:rsidRDefault="00310578" w:rsidP="003E6F27">
    <w:pPr>
      <w:pStyle w:val="a3"/>
      <w:tabs>
        <w:tab w:val="clear" w:pos="4677"/>
        <w:tab w:val="left" w:pos="8505"/>
        <w:tab w:val="center" w:pos="8931"/>
      </w:tabs>
      <w:spacing w:before="120"/>
      <w:rPr>
        <w:noProof/>
        <w:color w:val="159FDA"/>
        <w:sz w:val="16"/>
        <w:szCs w:val="16"/>
        <w:lang w:eastAsia="uk-UA"/>
      </w:rPr>
    </w:pPr>
  </w:p>
  <w:p w14:paraId="54A6C3BD" w14:textId="77777777" w:rsidR="00310578" w:rsidRPr="00352965" w:rsidRDefault="00310578" w:rsidP="003E6F27">
    <w:pPr>
      <w:pStyle w:val="a3"/>
      <w:tabs>
        <w:tab w:val="clear" w:pos="4677"/>
        <w:tab w:val="left" w:pos="8505"/>
        <w:tab w:val="center" w:pos="8931"/>
      </w:tabs>
      <w:rPr>
        <w:noProof/>
        <w:color w:val="159FDA"/>
        <w:sz w:val="16"/>
        <w:szCs w:val="16"/>
        <w:lang w:eastAsia="uk-UA"/>
      </w:rPr>
    </w:pPr>
    <w:r w:rsidRPr="00FA591A">
      <w:rPr>
        <w:noProof/>
        <w:color w:val="00B0F0"/>
        <w:sz w:val="20"/>
        <w:szCs w:val="20"/>
        <w:lang w:eastAsia="uk-UA"/>
      </w:rPr>
      <mc:AlternateContent>
        <mc:Choice Requires="wps">
          <w:drawing>
            <wp:anchor distT="0" distB="0" distL="114300" distR="114300" simplePos="0" relativeHeight="251659264" behindDoc="0" locked="0" layoutInCell="1" allowOverlap="1" wp14:anchorId="00B5B717" wp14:editId="563DA9BF">
              <wp:simplePos x="0" y="0"/>
              <wp:positionH relativeFrom="margin">
                <wp:posOffset>-20955</wp:posOffset>
              </wp:positionH>
              <wp:positionV relativeFrom="paragraph">
                <wp:posOffset>283004</wp:posOffset>
              </wp:positionV>
              <wp:extent cx="6147463" cy="5232"/>
              <wp:effectExtent l="0" t="0" r="24765" b="33020"/>
              <wp:wrapNone/>
              <wp:docPr id="2" name="Straight Connector 2"/>
              <wp:cNvGraphicFramePr/>
              <a:graphic xmlns:a="http://schemas.openxmlformats.org/drawingml/2006/main">
                <a:graphicData uri="http://schemas.microsoft.com/office/word/2010/wordprocessingShape">
                  <wps:wsp>
                    <wps:cNvCnPr/>
                    <wps:spPr>
                      <a:xfrm>
                        <a:off x="0" y="0"/>
                        <a:ext cx="6147463" cy="52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28CA3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22.3pt" to="482.4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" strokecolor="black [3213]" strokeweight="1.5pt">
              <v:stroke joinstyle="miter"/>
              <w10:wrap anchorx="margin"/>
            </v:line>
          </w:pict>
        </mc:Fallback>
      </mc:AlternateContent>
    </w:r>
  </w:p>
  <w:p w14:paraId="1CAFFDE2" w14:textId="77777777" w:rsidR="00310578" w:rsidRDefault="0031057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25F"/>
    <w:multiLevelType w:val="hybridMultilevel"/>
    <w:tmpl w:val="9DB840A2"/>
    <w:lvl w:ilvl="0" w:tplc="169A5CF6">
      <w:start w:val="69"/>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A1C05FB"/>
    <w:multiLevelType w:val="hybridMultilevel"/>
    <w:tmpl w:val="B50AE8F6"/>
    <w:lvl w:ilvl="0" w:tplc="53F2F252">
      <w:start w:val="40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F217CD8"/>
    <w:multiLevelType w:val="hybridMultilevel"/>
    <w:tmpl w:val="73E23760"/>
    <w:lvl w:ilvl="0" w:tplc="E08AB30C">
      <w:start w:val="2"/>
      <w:numFmt w:val="bullet"/>
      <w:lvlText w:val="-"/>
      <w:lvlJc w:val="left"/>
      <w:pPr>
        <w:ind w:left="536" w:hanging="360"/>
      </w:pPr>
      <w:rPr>
        <w:rFonts w:ascii="Times New Roman" w:eastAsia="Times New Roman" w:hAnsi="Times New Roman" w:cs="Times New Roman" w:hint="default"/>
      </w:rPr>
    </w:lvl>
    <w:lvl w:ilvl="1" w:tplc="04220003" w:tentative="1">
      <w:start w:val="1"/>
      <w:numFmt w:val="bullet"/>
      <w:lvlText w:val="o"/>
      <w:lvlJc w:val="left"/>
      <w:pPr>
        <w:ind w:left="1256" w:hanging="360"/>
      </w:pPr>
      <w:rPr>
        <w:rFonts w:ascii="Courier New" w:hAnsi="Courier New" w:cs="Courier New" w:hint="default"/>
      </w:rPr>
    </w:lvl>
    <w:lvl w:ilvl="2" w:tplc="04220005" w:tentative="1">
      <w:start w:val="1"/>
      <w:numFmt w:val="bullet"/>
      <w:lvlText w:val=""/>
      <w:lvlJc w:val="left"/>
      <w:pPr>
        <w:ind w:left="1976" w:hanging="360"/>
      </w:pPr>
      <w:rPr>
        <w:rFonts w:ascii="Wingdings" w:hAnsi="Wingdings" w:hint="default"/>
      </w:rPr>
    </w:lvl>
    <w:lvl w:ilvl="3" w:tplc="04220001" w:tentative="1">
      <w:start w:val="1"/>
      <w:numFmt w:val="bullet"/>
      <w:lvlText w:val=""/>
      <w:lvlJc w:val="left"/>
      <w:pPr>
        <w:ind w:left="2696" w:hanging="360"/>
      </w:pPr>
      <w:rPr>
        <w:rFonts w:ascii="Symbol" w:hAnsi="Symbol" w:hint="default"/>
      </w:rPr>
    </w:lvl>
    <w:lvl w:ilvl="4" w:tplc="04220003" w:tentative="1">
      <w:start w:val="1"/>
      <w:numFmt w:val="bullet"/>
      <w:lvlText w:val="o"/>
      <w:lvlJc w:val="left"/>
      <w:pPr>
        <w:ind w:left="3416" w:hanging="360"/>
      </w:pPr>
      <w:rPr>
        <w:rFonts w:ascii="Courier New" w:hAnsi="Courier New" w:cs="Courier New" w:hint="default"/>
      </w:rPr>
    </w:lvl>
    <w:lvl w:ilvl="5" w:tplc="04220005" w:tentative="1">
      <w:start w:val="1"/>
      <w:numFmt w:val="bullet"/>
      <w:lvlText w:val=""/>
      <w:lvlJc w:val="left"/>
      <w:pPr>
        <w:ind w:left="4136" w:hanging="360"/>
      </w:pPr>
      <w:rPr>
        <w:rFonts w:ascii="Wingdings" w:hAnsi="Wingdings" w:hint="default"/>
      </w:rPr>
    </w:lvl>
    <w:lvl w:ilvl="6" w:tplc="04220001" w:tentative="1">
      <w:start w:val="1"/>
      <w:numFmt w:val="bullet"/>
      <w:lvlText w:val=""/>
      <w:lvlJc w:val="left"/>
      <w:pPr>
        <w:ind w:left="4856" w:hanging="360"/>
      </w:pPr>
      <w:rPr>
        <w:rFonts w:ascii="Symbol" w:hAnsi="Symbol" w:hint="default"/>
      </w:rPr>
    </w:lvl>
    <w:lvl w:ilvl="7" w:tplc="04220003" w:tentative="1">
      <w:start w:val="1"/>
      <w:numFmt w:val="bullet"/>
      <w:lvlText w:val="o"/>
      <w:lvlJc w:val="left"/>
      <w:pPr>
        <w:ind w:left="5576" w:hanging="360"/>
      </w:pPr>
      <w:rPr>
        <w:rFonts w:ascii="Courier New" w:hAnsi="Courier New" w:cs="Courier New" w:hint="default"/>
      </w:rPr>
    </w:lvl>
    <w:lvl w:ilvl="8" w:tplc="04220005" w:tentative="1">
      <w:start w:val="1"/>
      <w:numFmt w:val="bullet"/>
      <w:lvlText w:val=""/>
      <w:lvlJc w:val="left"/>
      <w:pPr>
        <w:ind w:left="6296" w:hanging="360"/>
      </w:pPr>
      <w:rPr>
        <w:rFonts w:ascii="Wingdings" w:hAnsi="Wingdings" w:hint="default"/>
      </w:rPr>
    </w:lvl>
  </w:abstractNum>
  <w:abstractNum w:abstractNumId="3" w15:restartNumberingAfterBreak="0">
    <w:nsid w:val="2E953A78"/>
    <w:multiLevelType w:val="hybridMultilevel"/>
    <w:tmpl w:val="5EDA562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F615B8D"/>
    <w:multiLevelType w:val="hybridMultilevel"/>
    <w:tmpl w:val="F9C48DE2"/>
    <w:lvl w:ilvl="0" w:tplc="9DEC165A">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0BC55E3"/>
    <w:multiLevelType w:val="hybridMultilevel"/>
    <w:tmpl w:val="799E39D6"/>
    <w:lvl w:ilvl="0" w:tplc="35F2FB4E">
      <w:start w:val="80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10430FA"/>
    <w:multiLevelType w:val="hybridMultilevel"/>
    <w:tmpl w:val="6CAED78C"/>
    <w:lvl w:ilvl="0" w:tplc="9716A402">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7" w15:restartNumberingAfterBreak="0">
    <w:nsid w:val="38973BB4"/>
    <w:multiLevelType w:val="hybridMultilevel"/>
    <w:tmpl w:val="D03E8714"/>
    <w:lvl w:ilvl="0" w:tplc="F43EAD02">
      <w:start w:val="44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94E3509"/>
    <w:multiLevelType w:val="hybridMultilevel"/>
    <w:tmpl w:val="9AEA700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78132F0"/>
    <w:multiLevelType w:val="hybridMultilevel"/>
    <w:tmpl w:val="048A665C"/>
    <w:lvl w:ilvl="0" w:tplc="3036ED6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0352B59"/>
    <w:multiLevelType w:val="hybridMultilevel"/>
    <w:tmpl w:val="AEC0933A"/>
    <w:lvl w:ilvl="0" w:tplc="16AAFE92">
      <w:start w:val="2"/>
      <w:numFmt w:val="bullet"/>
      <w:lvlText w:val="-"/>
      <w:lvlJc w:val="left"/>
      <w:pPr>
        <w:ind w:left="536" w:hanging="360"/>
      </w:pPr>
      <w:rPr>
        <w:rFonts w:ascii="Times New Roman" w:eastAsia="Times New Roman" w:hAnsi="Times New Roman" w:cs="Times New Roman" w:hint="default"/>
      </w:rPr>
    </w:lvl>
    <w:lvl w:ilvl="1" w:tplc="04220003" w:tentative="1">
      <w:start w:val="1"/>
      <w:numFmt w:val="bullet"/>
      <w:lvlText w:val="o"/>
      <w:lvlJc w:val="left"/>
      <w:pPr>
        <w:ind w:left="1256" w:hanging="360"/>
      </w:pPr>
      <w:rPr>
        <w:rFonts w:ascii="Courier New" w:hAnsi="Courier New" w:cs="Courier New" w:hint="default"/>
      </w:rPr>
    </w:lvl>
    <w:lvl w:ilvl="2" w:tplc="04220005" w:tentative="1">
      <w:start w:val="1"/>
      <w:numFmt w:val="bullet"/>
      <w:lvlText w:val=""/>
      <w:lvlJc w:val="left"/>
      <w:pPr>
        <w:ind w:left="1976" w:hanging="360"/>
      </w:pPr>
      <w:rPr>
        <w:rFonts w:ascii="Wingdings" w:hAnsi="Wingdings" w:hint="default"/>
      </w:rPr>
    </w:lvl>
    <w:lvl w:ilvl="3" w:tplc="04220001" w:tentative="1">
      <w:start w:val="1"/>
      <w:numFmt w:val="bullet"/>
      <w:lvlText w:val=""/>
      <w:lvlJc w:val="left"/>
      <w:pPr>
        <w:ind w:left="2696" w:hanging="360"/>
      </w:pPr>
      <w:rPr>
        <w:rFonts w:ascii="Symbol" w:hAnsi="Symbol" w:hint="default"/>
      </w:rPr>
    </w:lvl>
    <w:lvl w:ilvl="4" w:tplc="04220003" w:tentative="1">
      <w:start w:val="1"/>
      <w:numFmt w:val="bullet"/>
      <w:lvlText w:val="o"/>
      <w:lvlJc w:val="left"/>
      <w:pPr>
        <w:ind w:left="3416" w:hanging="360"/>
      </w:pPr>
      <w:rPr>
        <w:rFonts w:ascii="Courier New" w:hAnsi="Courier New" w:cs="Courier New" w:hint="default"/>
      </w:rPr>
    </w:lvl>
    <w:lvl w:ilvl="5" w:tplc="04220005" w:tentative="1">
      <w:start w:val="1"/>
      <w:numFmt w:val="bullet"/>
      <w:lvlText w:val=""/>
      <w:lvlJc w:val="left"/>
      <w:pPr>
        <w:ind w:left="4136" w:hanging="360"/>
      </w:pPr>
      <w:rPr>
        <w:rFonts w:ascii="Wingdings" w:hAnsi="Wingdings" w:hint="default"/>
      </w:rPr>
    </w:lvl>
    <w:lvl w:ilvl="6" w:tplc="04220001" w:tentative="1">
      <w:start w:val="1"/>
      <w:numFmt w:val="bullet"/>
      <w:lvlText w:val=""/>
      <w:lvlJc w:val="left"/>
      <w:pPr>
        <w:ind w:left="4856" w:hanging="360"/>
      </w:pPr>
      <w:rPr>
        <w:rFonts w:ascii="Symbol" w:hAnsi="Symbol" w:hint="default"/>
      </w:rPr>
    </w:lvl>
    <w:lvl w:ilvl="7" w:tplc="04220003" w:tentative="1">
      <w:start w:val="1"/>
      <w:numFmt w:val="bullet"/>
      <w:lvlText w:val="o"/>
      <w:lvlJc w:val="left"/>
      <w:pPr>
        <w:ind w:left="5576" w:hanging="360"/>
      </w:pPr>
      <w:rPr>
        <w:rFonts w:ascii="Courier New" w:hAnsi="Courier New" w:cs="Courier New" w:hint="default"/>
      </w:rPr>
    </w:lvl>
    <w:lvl w:ilvl="8" w:tplc="04220005" w:tentative="1">
      <w:start w:val="1"/>
      <w:numFmt w:val="bullet"/>
      <w:lvlText w:val=""/>
      <w:lvlJc w:val="left"/>
      <w:pPr>
        <w:ind w:left="6296" w:hanging="360"/>
      </w:pPr>
      <w:rPr>
        <w:rFonts w:ascii="Wingdings" w:hAnsi="Wingdings" w:hint="default"/>
      </w:rPr>
    </w:lvl>
  </w:abstractNum>
  <w:abstractNum w:abstractNumId="11" w15:restartNumberingAfterBreak="0">
    <w:nsid w:val="663F51BC"/>
    <w:multiLevelType w:val="hybridMultilevel"/>
    <w:tmpl w:val="F49A53B2"/>
    <w:lvl w:ilvl="0" w:tplc="FD761DDC">
      <w:start w:val="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60C7B48"/>
    <w:multiLevelType w:val="hybridMultilevel"/>
    <w:tmpl w:val="06682832"/>
    <w:lvl w:ilvl="0" w:tplc="F9806A86">
      <w:start w:val="32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880871184">
    <w:abstractNumId w:val="11"/>
  </w:num>
  <w:num w:numId="2" w16cid:durableId="1727072117">
    <w:abstractNumId w:val="0"/>
  </w:num>
  <w:num w:numId="3" w16cid:durableId="573665291">
    <w:abstractNumId w:val="1"/>
  </w:num>
  <w:num w:numId="4" w16cid:durableId="121462353">
    <w:abstractNumId w:val="5"/>
  </w:num>
  <w:num w:numId="5" w16cid:durableId="741754724">
    <w:abstractNumId w:val="9"/>
  </w:num>
  <w:num w:numId="6" w16cid:durableId="190191880">
    <w:abstractNumId w:val="7"/>
  </w:num>
  <w:num w:numId="7" w16cid:durableId="69431339">
    <w:abstractNumId w:val="12"/>
  </w:num>
  <w:num w:numId="8" w16cid:durableId="570887320">
    <w:abstractNumId w:val="4"/>
  </w:num>
  <w:num w:numId="9" w16cid:durableId="1456211841">
    <w:abstractNumId w:val="10"/>
  </w:num>
  <w:num w:numId="10" w16cid:durableId="891841278">
    <w:abstractNumId w:val="2"/>
  </w:num>
  <w:num w:numId="11" w16cid:durableId="925766918">
    <w:abstractNumId w:val="3"/>
  </w:num>
  <w:num w:numId="12" w16cid:durableId="948246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87277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E2"/>
    <w:rsid w:val="00000001"/>
    <w:rsid w:val="0000409C"/>
    <w:rsid w:val="00005320"/>
    <w:rsid w:val="0000710F"/>
    <w:rsid w:val="00016645"/>
    <w:rsid w:val="00017CE8"/>
    <w:rsid w:val="00020111"/>
    <w:rsid w:val="000207B7"/>
    <w:rsid w:val="000231E5"/>
    <w:rsid w:val="00023640"/>
    <w:rsid w:val="00027198"/>
    <w:rsid w:val="00033CF7"/>
    <w:rsid w:val="0003465F"/>
    <w:rsid w:val="000354B8"/>
    <w:rsid w:val="000366EC"/>
    <w:rsid w:val="00040B6D"/>
    <w:rsid w:val="0004244F"/>
    <w:rsid w:val="00042990"/>
    <w:rsid w:val="00043170"/>
    <w:rsid w:val="000446E9"/>
    <w:rsid w:val="00045812"/>
    <w:rsid w:val="0004700A"/>
    <w:rsid w:val="0005484A"/>
    <w:rsid w:val="000554EC"/>
    <w:rsid w:val="00056AD2"/>
    <w:rsid w:val="00070AEE"/>
    <w:rsid w:val="00076748"/>
    <w:rsid w:val="00077CFA"/>
    <w:rsid w:val="00081837"/>
    <w:rsid w:val="000858BC"/>
    <w:rsid w:val="0008792C"/>
    <w:rsid w:val="00091D88"/>
    <w:rsid w:val="000A103D"/>
    <w:rsid w:val="000A5BC2"/>
    <w:rsid w:val="000A69C6"/>
    <w:rsid w:val="000A733F"/>
    <w:rsid w:val="000B1847"/>
    <w:rsid w:val="000C0367"/>
    <w:rsid w:val="000C4D2F"/>
    <w:rsid w:val="000D2D9A"/>
    <w:rsid w:val="000D6AE2"/>
    <w:rsid w:val="000E4725"/>
    <w:rsid w:val="000E71F0"/>
    <w:rsid w:val="000F2BCE"/>
    <w:rsid w:val="000F38A0"/>
    <w:rsid w:val="000F4501"/>
    <w:rsid w:val="000F56AD"/>
    <w:rsid w:val="000F6D6B"/>
    <w:rsid w:val="000F77DA"/>
    <w:rsid w:val="00107B08"/>
    <w:rsid w:val="001104D2"/>
    <w:rsid w:val="00112CED"/>
    <w:rsid w:val="00126F02"/>
    <w:rsid w:val="00133112"/>
    <w:rsid w:val="00133410"/>
    <w:rsid w:val="00136AF0"/>
    <w:rsid w:val="0014160D"/>
    <w:rsid w:val="00143FCE"/>
    <w:rsid w:val="0014460E"/>
    <w:rsid w:val="00145E90"/>
    <w:rsid w:val="00151BA8"/>
    <w:rsid w:val="00156B83"/>
    <w:rsid w:val="001619A9"/>
    <w:rsid w:val="00166896"/>
    <w:rsid w:val="0018054E"/>
    <w:rsid w:val="00180873"/>
    <w:rsid w:val="001818EB"/>
    <w:rsid w:val="00183BEB"/>
    <w:rsid w:val="0018538E"/>
    <w:rsid w:val="00192921"/>
    <w:rsid w:val="001931B9"/>
    <w:rsid w:val="00193476"/>
    <w:rsid w:val="001950B2"/>
    <w:rsid w:val="001974E8"/>
    <w:rsid w:val="001A2A79"/>
    <w:rsid w:val="001A4E8C"/>
    <w:rsid w:val="001B0E69"/>
    <w:rsid w:val="001B32B7"/>
    <w:rsid w:val="001B48B9"/>
    <w:rsid w:val="001B69DE"/>
    <w:rsid w:val="001C3D9A"/>
    <w:rsid w:val="001D4061"/>
    <w:rsid w:val="001D628C"/>
    <w:rsid w:val="001D6F54"/>
    <w:rsid w:val="001E0B36"/>
    <w:rsid w:val="001E15C9"/>
    <w:rsid w:val="001E48E5"/>
    <w:rsid w:val="001E67AD"/>
    <w:rsid w:val="001F0453"/>
    <w:rsid w:val="00203028"/>
    <w:rsid w:val="0021412E"/>
    <w:rsid w:val="00214C3B"/>
    <w:rsid w:val="0021510A"/>
    <w:rsid w:val="002166FC"/>
    <w:rsid w:val="00234DBC"/>
    <w:rsid w:val="00241E35"/>
    <w:rsid w:val="00244491"/>
    <w:rsid w:val="002470B7"/>
    <w:rsid w:val="00250A13"/>
    <w:rsid w:val="00252620"/>
    <w:rsid w:val="00257D91"/>
    <w:rsid w:val="00261E9C"/>
    <w:rsid w:val="00263EA4"/>
    <w:rsid w:val="00265C8C"/>
    <w:rsid w:val="00270880"/>
    <w:rsid w:val="00274C41"/>
    <w:rsid w:val="00274E35"/>
    <w:rsid w:val="00280544"/>
    <w:rsid w:val="002879C4"/>
    <w:rsid w:val="00292D4B"/>
    <w:rsid w:val="002A370D"/>
    <w:rsid w:val="002A58A5"/>
    <w:rsid w:val="002A72B9"/>
    <w:rsid w:val="002A7AEB"/>
    <w:rsid w:val="002B1661"/>
    <w:rsid w:val="002B3AAB"/>
    <w:rsid w:val="002B56D9"/>
    <w:rsid w:val="002C3F3D"/>
    <w:rsid w:val="002C4786"/>
    <w:rsid w:val="002C7B0D"/>
    <w:rsid w:val="002D375E"/>
    <w:rsid w:val="002D4A43"/>
    <w:rsid w:val="002D60D9"/>
    <w:rsid w:val="002E0498"/>
    <w:rsid w:val="002E1B43"/>
    <w:rsid w:val="002E326E"/>
    <w:rsid w:val="002E43E2"/>
    <w:rsid w:val="002E62B0"/>
    <w:rsid w:val="002E6C6F"/>
    <w:rsid w:val="002E7E1E"/>
    <w:rsid w:val="002F239C"/>
    <w:rsid w:val="002F2F8C"/>
    <w:rsid w:val="002F387B"/>
    <w:rsid w:val="002F7260"/>
    <w:rsid w:val="00303BB7"/>
    <w:rsid w:val="00304DAA"/>
    <w:rsid w:val="00307363"/>
    <w:rsid w:val="00310578"/>
    <w:rsid w:val="0031103C"/>
    <w:rsid w:val="0031378E"/>
    <w:rsid w:val="00317428"/>
    <w:rsid w:val="00320CF7"/>
    <w:rsid w:val="003215E2"/>
    <w:rsid w:val="00322938"/>
    <w:rsid w:val="00323539"/>
    <w:rsid w:val="00323A9E"/>
    <w:rsid w:val="0032731B"/>
    <w:rsid w:val="00330FBD"/>
    <w:rsid w:val="00331D79"/>
    <w:rsid w:val="0033216E"/>
    <w:rsid w:val="003345ED"/>
    <w:rsid w:val="00334F76"/>
    <w:rsid w:val="003350BF"/>
    <w:rsid w:val="00335D13"/>
    <w:rsid w:val="00343F3D"/>
    <w:rsid w:val="00345860"/>
    <w:rsid w:val="0034769B"/>
    <w:rsid w:val="003507DC"/>
    <w:rsid w:val="00351231"/>
    <w:rsid w:val="00352965"/>
    <w:rsid w:val="00352D35"/>
    <w:rsid w:val="003541D9"/>
    <w:rsid w:val="00356219"/>
    <w:rsid w:val="00357168"/>
    <w:rsid w:val="00361C94"/>
    <w:rsid w:val="00361FD1"/>
    <w:rsid w:val="0037116D"/>
    <w:rsid w:val="00372073"/>
    <w:rsid w:val="00372D7E"/>
    <w:rsid w:val="00372E9C"/>
    <w:rsid w:val="00373A41"/>
    <w:rsid w:val="00375331"/>
    <w:rsid w:val="00381478"/>
    <w:rsid w:val="003872CE"/>
    <w:rsid w:val="00392CFE"/>
    <w:rsid w:val="003A3828"/>
    <w:rsid w:val="003A40F3"/>
    <w:rsid w:val="003A4E5B"/>
    <w:rsid w:val="003A6785"/>
    <w:rsid w:val="003B0CBD"/>
    <w:rsid w:val="003B24FC"/>
    <w:rsid w:val="003B3565"/>
    <w:rsid w:val="003C2E8A"/>
    <w:rsid w:val="003C5154"/>
    <w:rsid w:val="003C710D"/>
    <w:rsid w:val="003D0FC1"/>
    <w:rsid w:val="003D612A"/>
    <w:rsid w:val="003E41D8"/>
    <w:rsid w:val="003E4F6E"/>
    <w:rsid w:val="003E6F27"/>
    <w:rsid w:val="003F3A01"/>
    <w:rsid w:val="003F4C7A"/>
    <w:rsid w:val="003F4D6E"/>
    <w:rsid w:val="00400460"/>
    <w:rsid w:val="00410780"/>
    <w:rsid w:val="00411ACF"/>
    <w:rsid w:val="00420F2E"/>
    <w:rsid w:val="00421225"/>
    <w:rsid w:val="00421902"/>
    <w:rsid w:val="00421B4E"/>
    <w:rsid w:val="00425DCA"/>
    <w:rsid w:val="00425F2E"/>
    <w:rsid w:val="00430853"/>
    <w:rsid w:val="00431984"/>
    <w:rsid w:val="004342E1"/>
    <w:rsid w:val="0043532C"/>
    <w:rsid w:val="00444C61"/>
    <w:rsid w:val="00447763"/>
    <w:rsid w:val="00450B2E"/>
    <w:rsid w:val="00455552"/>
    <w:rsid w:val="00456DAC"/>
    <w:rsid w:val="00461882"/>
    <w:rsid w:val="0046313D"/>
    <w:rsid w:val="00465784"/>
    <w:rsid w:val="004906CE"/>
    <w:rsid w:val="00497005"/>
    <w:rsid w:val="004A0EC8"/>
    <w:rsid w:val="004A3242"/>
    <w:rsid w:val="004A798C"/>
    <w:rsid w:val="004B3564"/>
    <w:rsid w:val="004B4628"/>
    <w:rsid w:val="004C136F"/>
    <w:rsid w:val="004C4A25"/>
    <w:rsid w:val="004C4A82"/>
    <w:rsid w:val="004C6D52"/>
    <w:rsid w:val="004C7B1D"/>
    <w:rsid w:val="004D3B9C"/>
    <w:rsid w:val="004D5140"/>
    <w:rsid w:val="004E5489"/>
    <w:rsid w:val="004F0319"/>
    <w:rsid w:val="004F2DEB"/>
    <w:rsid w:val="004F34C5"/>
    <w:rsid w:val="004F704D"/>
    <w:rsid w:val="00500A58"/>
    <w:rsid w:val="00501EE3"/>
    <w:rsid w:val="00514395"/>
    <w:rsid w:val="00516382"/>
    <w:rsid w:val="00521CF1"/>
    <w:rsid w:val="00533847"/>
    <w:rsid w:val="00537E4A"/>
    <w:rsid w:val="00541EE9"/>
    <w:rsid w:val="005433D1"/>
    <w:rsid w:val="00544031"/>
    <w:rsid w:val="00544ACB"/>
    <w:rsid w:val="00544F86"/>
    <w:rsid w:val="005469B2"/>
    <w:rsid w:val="0055027F"/>
    <w:rsid w:val="00550E3D"/>
    <w:rsid w:val="0055222C"/>
    <w:rsid w:val="0055236D"/>
    <w:rsid w:val="00553740"/>
    <w:rsid w:val="00563593"/>
    <w:rsid w:val="0056388A"/>
    <w:rsid w:val="0056723C"/>
    <w:rsid w:val="00574223"/>
    <w:rsid w:val="00581FFE"/>
    <w:rsid w:val="00583DA9"/>
    <w:rsid w:val="00584D25"/>
    <w:rsid w:val="00596E28"/>
    <w:rsid w:val="00597A72"/>
    <w:rsid w:val="005A1D8E"/>
    <w:rsid w:val="005A5FC3"/>
    <w:rsid w:val="005B1B8C"/>
    <w:rsid w:val="005B1F55"/>
    <w:rsid w:val="005B3465"/>
    <w:rsid w:val="005B4263"/>
    <w:rsid w:val="005B5626"/>
    <w:rsid w:val="005C4D13"/>
    <w:rsid w:val="005C77D2"/>
    <w:rsid w:val="005D14EB"/>
    <w:rsid w:val="005D21E3"/>
    <w:rsid w:val="005E1696"/>
    <w:rsid w:val="005E45CA"/>
    <w:rsid w:val="005E719D"/>
    <w:rsid w:val="005E7806"/>
    <w:rsid w:val="005F07BD"/>
    <w:rsid w:val="005F1727"/>
    <w:rsid w:val="005F34A9"/>
    <w:rsid w:val="005F5CD6"/>
    <w:rsid w:val="006025B4"/>
    <w:rsid w:val="0060531F"/>
    <w:rsid w:val="006056B5"/>
    <w:rsid w:val="00610EDA"/>
    <w:rsid w:val="00611165"/>
    <w:rsid w:val="00616E39"/>
    <w:rsid w:val="0062097D"/>
    <w:rsid w:val="006273B8"/>
    <w:rsid w:val="006338A7"/>
    <w:rsid w:val="00635504"/>
    <w:rsid w:val="00640647"/>
    <w:rsid w:val="00640B2E"/>
    <w:rsid w:val="00643411"/>
    <w:rsid w:val="0064529A"/>
    <w:rsid w:val="006472BE"/>
    <w:rsid w:val="0065034A"/>
    <w:rsid w:val="006507AA"/>
    <w:rsid w:val="00651B36"/>
    <w:rsid w:val="00653A58"/>
    <w:rsid w:val="00655A34"/>
    <w:rsid w:val="00663180"/>
    <w:rsid w:val="00663E1E"/>
    <w:rsid w:val="00664596"/>
    <w:rsid w:val="006678EF"/>
    <w:rsid w:val="00667A01"/>
    <w:rsid w:val="006835A5"/>
    <w:rsid w:val="00685089"/>
    <w:rsid w:val="006866AB"/>
    <w:rsid w:val="00692747"/>
    <w:rsid w:val="00697F16"/>
    <w:rsid w:val="006A03B4"/>
    <w:rsid w:val="006A0FB9"/>
    <w:rsid w:val="006A56BE"/>
    <w:rsid w:val="006B0BAE"/>
    <w:rsid w:val="006B59C0"/>
    <w:rsid w:val="006B696A"/>
    <w:rsid w:val="006C0233"/>
    <w:rsid w:val="006C0720"/>
    <w:rsid w:val="006C51C4"/>
    <w:rsid w:val="006D0DB9"/>
    <w:rsid w:val="006D1425"/>
    <w:rsid w:val="006D2687"/>
    <w:rsid w:val="006D32A6"/>
    <w:rsid w:val="006E0082"/>
    <w:rsid w:val="006E0A2D"/>
    <w:rsid w:val="006E1D88"/>
    <w:rsid w:val="006E4C60"/>
    <w:rsid w:val="006F2C7A"/>
    <w:rsid w:val="006F54AA"/>
    <w:rsid w:val="006F72B0"/>
    <w:rsid w:val="00703B57"/>
    <w:rsid w:val="0072252B"/>
    <w:rsid w:val="00726F53"/>
    <w:rsid w:val="007336B5"/>
    <w:rsid w:val="0073415E"/>
    <w:rsid w:val="007410C5"/>
    <w:rsid w:val="00742A72"/>
    <w:rsid w:val="00742DA1"/>
    <w:rsid w:val="0074320F"/>
    <w:rsid w:val="0074494F"/>
    <w:rsid w:val="00744BC2"/>
    <w:rsid w:val="00747453"/>
    <w:rsid w:val="007521DA"/>
    <w:rsid w:val="007652F2"/>
    <w:rsid w:val="0076535A"/>
    <w:rsid w:val="00765E71"/>
    <w:rsid w:val="007731AE"/>
    <w:rsid w:val="0077456B"/>
    <w:rsid w:val="00775CE9"/>
    <w:rsid w:val="007771BC"/>
    <w:rsid w:val="007861FB"/>
    <w:rsid w:val="00787C9D"/>
    <w:rsid w:val="007A33B4"/>
    <w:rsid w:val="007A37DD"/>
    <w:rsid w:val="007A7C06"/>
    <w:rsid w:val="007B15A2"/>
    <w:rsid w:val="007B1777"/>
    <w:rsid w:val="007C1C46"/>
    <w:rsid w:val="007C4C2D"/>
    <w:rsid w:val="007C654E"/>
    <w:rsid w:val="007C6C68"/>
    <w:rsid w:val="007C7160"/>
    <w:rsid w:val="007D0AA1"/>
    <w:rsid w:val="007D2AF4"/>
    <w:rsid w:val="007D6D27"/>
    <w:rsid w:val="007E1FD4"/>
    <w:rsid w:val="007E32B7"/>
    <w:rsid w:val="007E73DE"/>
    <w:rsid w:val="008002C3"/>
    <w:rsid w:val="00803C06"/>
    <w:rsid w:val="0080417E"/>
    <w:rsid w:val="008049E7"/>
    <w:rsid w:val="00805D35"/>
    <w:rsid w:val="008060F9"/>
    <w:rsid w:val="00806AE9"/>
    <w:rsid w:val="008106B6"/>
    <w:rsid w:val="008120B6"/>
    <w:rsid w:val="00814FC7"/>
    <w:rsid w:val="00815862"/>
    <w:rsid w:val="008259BF"/>
    <w:rsid w:val="00827D15"/>
    <w:rsid w:val="00836C44"/>
    <w:rsid w:val="0083797E"/>
    <w:rsid w:val="008459C0"/>
    <w:rsid w:val="00845E55"/>
    <w:rsid w:val="00847638"/>
    <w:rsid w:val="00851EE2"/>
    <w:rsid w:val="008579D7"/>
    <w:rsid w:val="00864306"/>
    <w:rsid w:val="00866756"/>
    <w:rsid w:val="008716F1"/>
    <w:rsid w:val="0087244E"/>
    <w:rsid w:val="00873110"/>
    <w:rsid w:val="0087646D"/>
    <w:rsid w:val="00877765"/>
    <w:rsid w:val="0088398D"/>
    <w:rsid w:val="00891B94"/>
    <w:rsid w:val="00895D8E"/>
    <w:rsid w:val="0089771F"/>
    <w:rsid w:val="008A3F3C"/>
    <w:rsid w:val="008A6551"/>
    <w:rsid w:val="008B1751"/>
    <w:rsid w:val="008B4B05"/>
    <w:rsid w:val="008B7314"/>
    <w:rsid w:val="008C2AD4"/>
    <w:rsid w:val="008C43B5"/>
    <w:rsid w:val="008D1A28"/>
    <w:rsid w:val="008E07D1"/>
    <w:rsid w:val="008E3428"/>
    <w:rsid w:val="008E434A"/>
    <w:rsid w:val="008F33BE"/>
    <w:rsid w:val="008F5B02"/>
    <w:rsid w:val="009032C3"/>
    <w:rsid w:val="00903F36"/>
    <w:rsid w:val="00904831"/>
    <w:rsid w:val="00905B4E"/>
    <w:rsid w:val="0091541B"/>
    <w:rsid w:val="00920C2A"/>
    <w:rsid w:val="00922580"/>
    <w:rsid w:val="00922DEA"/>
    <w:rsid w:val="0092384D"/>
    <w:rsid w:val="00926640"/>
    <w:rsid w:val="0093492C"/>
    <w:rsid w:val="00937E90"/>
    <w:rsid w:val="00941A09"/>
    <w:rsid w:val="0094284E"/>
    <w:rsid w:val="00947FB3"/>
    <w:rsid w:val="00953672"/>
    <w:rsid w:val="0095448E"/>
    <w:rsid w:val="00955650"/>
    <w:rsid w:val="00955986"/>
    <w:rsid w:val="00957AAB"/>
    <w:rsid w:val="00961918"/>
    <w:rsid w:val="00962FEC"/>
    <w:rsid w:val="00963D6E"/>
    <w:rsid w:val="0096510B"/>
    <w:rsid w:val="00965249"/>
    <w:rsid w:val="009673E5"/>
    <w:rsid w:val="00971983"/>
    <w:rsid w:val="009772FF"/>
    <w:rsid w:val="00980BC2"/>
    <w:rsid w:val="00981C4E"/>
    <w:rsid w:val="00985122"/>
    <w:rsid w:val="00986CE2"/>
    <w:rsid w:val="00994C22"/>
    <w:rsid w:val="009953E7"/>
    <w:rsid w:val="00996547"/>
    <w:rsid w:val="009977A2"/>
    <w:rsid w:val="00997CB2"/>
    <w:rsid w:val="009B2D9D"/>
    <w:rsid w:val="009B490D"/>
    <w:rsid w:val="009B5174"/>
    <w:rsid w:val="009B6858"/>
    <w:rsid w:val="009C09A8"/>
    <w:rsid w:val="009C23D9"/>
    <w:rsid w:val="009C6E53"/>
    <w:rsid w:val="009C758B"/>
    <w:rsid w:val="009D1BB3"/>
    <w:rsid w:val="009D21A7"/>
    <w:rsid w:val="009D7702"/>
    <w:rsid w:val="009E1AF1"/>
    <w:rsid w:val="009E54BD"/>
    <w:rsid w:val="009F090B"/>
    <w:rsid w:val="009F0D63"/>
    <w:rsid w:val="009F1B1D"/>
    <w:rsid w:val="009F360C"/>
    <w:rsid w:val="009F43DE"/>
    <w:rsid w:val="009F4F24"/>
    <w:rsid w:val="009F534C"/>
    <w:rsid w:val="009F56C5"/>
    <w:rsid w:val="009F5812"/>
    <w:rsid w:val="009F6368"/>
    <w:rsid w:val="00A00045"/>
    <w:rsid w:val="00A04DD1"/>
    <w:rsid w:val="00A05F03"/>
    <w:rsid w:val="00A16C31"/>
    <w:rsid w:val="00A2023B"/>
    <w:rsid w:val="00A25B55"/>
    <w:rsid w:val="00A30330"/>
    <w:rsid w:val="00A50396"/>
    <w:rsid w:val="00A53F8B"/>
    <w:rsid w:val="00A5501F"/>
    <w:rsid w:val="00A5537D"/>
    <w:rsid w:val="00A57725"/>
    <w:rsid w:val="00A57F12"/>
    <w:rsid w:val="00A603DE"/>
    <w:rsid w:val="00A606AC"/>
    <w:rsid w:val="00A83F82"/>
    <w:rsid w:val="00A8684A"/>
    <w:rsid w:val="00A86D60"/>
    <w:rsid w:val="00A86FC1"/>
    <w:rsid w:val="00A9130F"/>
    <w:rsid w:val="00A938F0"/>
    <w:rsid w:val="00A95523"/>
    <w:rsid w:val="00A9644D"/>
    <w:rsid w:val="00A97FA0"/>
    <w:rsid w:val="00AA3759"/>
    <w:rsid w:val="00AA793E"/>
    <w:rsid w:val="00AA7F4A"/>
    <w:rsid w:val="00AB45F9"/>
    <w:rsid w:val="00AB5D42"/>
    <w:rsid w:val="00AC154A"/>
    <w:rsid w:val="00AC2277"/>
    <w:rsid w:val="00AC2290"/>
    <w:rsid w:val="00AC24BC"/>
    <w:rsid w:val="00AC2DE8"/>
    <w:rsid w:val="00AC48B6"/>
    <w:rsid w:val="00AD3837"/>
    <w:rsid w:val="00AD587A"/>
    <w:rsid w:val="00AD70F5"/>
    <w:rsid w:val="00AE6A8F"/>
    <w:rsid w:val="00AE7486"/>
    <w:rsid w:val="00AF1752"/>
    <w:rsid w:val="00AF60E8"/>
    <w:rsid w:val="00AF63BE"/>
    <w:rsid w:val="00B0175D"/>
    <w:rsid w:val="00B020C0"/>
    <w:rsid w:val="00B14359"/>
    <w:rsid w:val="00B16344"/>
    <w:rsid w:val="00B17F33"/>
    <w:rsid w:val="00B20D34"/>
    <w:rsid w:val="00B22D11"/>
    <w:rsid w:val="00B26E71"/>
    <w:rsid w:val="00B351BB"/>
    <w:rsid w:val="00B3573B"/>
    <w:rsid w:val="00B3792C"/>
    <w:rsid w:val="00B45588"/>
    <w:rsid w:val="00B5318F"/>
    <w:rsid w:val="00B606D8"/>
    <w:rsid w:val="00B625F6"/>
    <w:rsid w:val="00B63570"/>
    <w:rsid w:val="00B6407C"/>
    <w:rsid w:val="00B6623A"/>
    <w:rsid w:val="00B71DDD"/>
    <w:rsid w:val="00B75F1A"/>
    <w:rsid w:val="00B85656"/>
    <w:rsid w:val="00B8569B"/>
    <w:rsid w:val="00B92049"/>
    <w:rsid w:val="00B95CC1"/>
    <w:rsid w:val="00BA2A91"/>
    <w:rsid w:val="00BA7063"/>
    <w:rsid w:val="00BB01D3"/>
    <w:rsid w:val="00BB134A"/>
    <w:rsid w:val="00BB54B2"/>
    <w:rsid w:val="00BB7533"/>
    <w:rsid w:val="00BD1F66"/>
    <w:rsid w:val="00BD1FFA"/>
    <w:rsid w:val="00BD27ED"/>
    <w:rsid w:val="00BD3ED8"/>
    <w:rsid w:val="00BE7493"/>
    <w:rsid w:val="00BE7DA8"/>
    <w:rsid w:val="00BF199C"/>
    <w:rsid w:val="00BF6E8D"/>
    <w:rsid w:val="00C04DB0"/>
    <w:rsid w:val="00C06491"/>
    <w:rsid w:val="00C06975"/>
    <w:rsid w:val="00C11A0C"/>
    <w:rsid w:val="00C1294D"/>
    <w:rsid w:val="00C15ED3"/>
    <w:rsid w:val="00C2107B"/>
    <w:rsid w:val="00C22313"/>
    <w:rsid w:val="00C25D0E"/>
    <w:rsid w:val="00C27395"/>
    <w:rsid w:val="00C279DF"/>
    <w:rsid w:val="00C32807"/>
    <w:rsid w:val="00C3535A"/>
    <w:rsid w:val="00C3548B"/>
    <w:rsid w:val="00C362B0"/>
    <w:rsid w:val="00C37BCE"/>
    <w:rsid w:val="00C4121A"/>
    <w:rsid w:val="00C43242"/>
    <w:rsid w:val="00C557B7"/>
    <w:rsid w:val="00C65CB8"/>
    <w:rsid w:val="00C65FAA"/>
    <w:rsid w:val="00C67FBB"/>
    <w:rsid w:val="00C73432"/>
    <w:rsid w:val="00C744E2"/>
    <w:rsid w:val="00C75EC2"/>
    <w:rsid w:val="00C82BB7"/>
    <w:rsid w:val="00C912F9"/>
    <w:rsid w:val="00C953C3"/>
    <w:rsid w:val="00C97F6F"/>
    <w:rsid w:val="00CA203B"/>
    <w:rsid w:val="00CA5B8F"/>
    <w:rsid w:val="00CB096A"/>
    <w:rsid w:val="00CB174C"/>
    <w:rsid w:val="00CB2A41"/>
    <w:rsid w:val="00CB45D7"/>
    <w:rsid w:val="00CB62ED"/>
    <w:rsid w:val="00CC0CEE"/>
    <w:rsid w:val="00CC1CF9"/>
    <w:rsid w:val="00CC1E72"/>
    <w:rsid w:val="00CD005B"/>
    <w:rsid w:val="00CD2B35"/>
    <w:rsid w:val="00CD3E03"/>
    <w:rsid w:val="00CE3E89"/>
    <w:rsid w:val="00CE50CA"/>
    <w:rsid w:val="00CE71D1"/>
    <w:rsid w:val="00CF04D6"/>
    <w:rsid w:val="00CF1032"/>
    <w:rsid w:val="00CF43F7"/>
    <w:rsid w:val="00CF78AE"/>
    <w:rsid w:val="00CF7DE1"/>
    <w:rsid w:val="00D01427"/>
    <w:rsid w:val="00D05593"/>
    <w:rsid w:val="00D062D9"/>
    <w:rsid w:val="00D155B0"/>
    <w:rsid w:val="00D15854"/>
    <w:rsid w:val="00D231EF"/>
    <w:rsid w:val="00D3017E"/>
    <w:rsid w:val="00D305C4"/>
    <w:rsid w:val="00D3073B"/>
    <w:rsid w:val="00D33212"/>
    <w:rsid w:val="00D33DD9"/>
    <w:rsid w:val="00D50E08"/>
    <w:rsid w:val="00D51CBB"/>
    <w:rsid w:val="00D5285C"/>
    <w:rsid w:val="00D55E39"/>
    <w:rsid w:val="00D56802"/>
    <w:rsid w:val="00D5793D"/>
    <w:rsid w:val="00D60260"/>
    <w:rsid w:val="00D6311C"/>
    <w:rsid w:val="00D65411"/>
    <w:rsid w:val="00D76B29"/>
    <w:rsid w:val="00D80122"/>
    <w:rsid w:val="00D83B1C"/>
    <w:rsid w:val="00D8715A"/>
    <w:rsid w:val="00D90CAC"/>
    <w:rsid w:val="00D952FF"/>
    <w:rsid w:val="00D9570D"/>
    <w:rsid w:val="00DA09DF"/>
    <w:rsid w:val="00DA439A"/>
    <w:rsid w:val="00DC2519"/>
    <w:rsid w:val="00DC3171"/>
    <w:rsid w:val="00DC734C"/>
    <w:rsid w:val="00DD1DEF"/>
    <w:rsid w:val="00DE22F7"/>
    <w:rsid w:val="00DE2C3F"/>
    <w:rsid w:val="00DE6310"/>
    <w:rsid w:val="00DF72C3"/>
    <w:rsid w:val="00E05A2D"/>
    <w:rsid w:val="00E05A49"/>
    <w:rsid w:val="00E07068"/>
    <w:rsid w:val="00E13222"/>
    <w:rsid w:val="00E2603B"/>
    <w:rsid w:val="00E30391"/>
    <w:rsid w:val="00E31BE3"/>
    <w:rsid w:val="00E32620"/>
    <w:rsid w:val="00E36A2A"/>
    <w:rsid w:val="00E40CD2"/>
    <w:rsid w:val="00E5130C"/>
    <w:rsid w:val="00E5652E"/>
    <w:rsid w:val="00E57014"/>
    <w:rsid w:val="00E60662"/>
    <w:rsid w:val="00E608BA"/>
    <w:rsid w:val="00E6339C"/>
    <w:rsid w:val="00E63CE9"/>
    <w:rsid w:val="00E71CD9"/>
    <w:rsid w:val="00E85819"/>
    <w:rsid w:val="00E865D5"/>
    <w:rsid w:val="00E87A21"/>
    <w:rsid w:val="00E96C19"/>
    <w:rsid w:val="00E96D8C"/>
    <w:rsid w:val="00EA1138"/>
    <w:rsid w:val="00EA11D2"/>
    <w:rsid w:val="00EA158F"/>
    <w:rsid w:val="00EA2E78"/>
    <w:rsid w:val="00EA35AA"/>
    <w:rsid w:val="00EA36E0"/>
    <w:rsid w:val="00EA3864"/>
    <w:rsid w:val="00EA5214"/>
    <w:rsid w:val="00EB4AA5"/>
    <w:rsid w:val="00EB5C05"/>
    <w:rsid w:val="00EC2C7C"/>
    <w:rsid w:val="00ED0E55"/>
    <w:rsid w:val="00ED1AB6"/>
    <w:rsid w:val="00ED5D54"/>
    <w:rsid w:val="00EE6334"/>
    <w:rsid w:val="00EE74CA"/>
    <w:rsid w:val="00EF2185"/>
    <w:rsid w:val="00EF42DC"/>
    <w:rsid w:val="00EF4A26"/>
    <w:rsid w:val="00EF531E"/>
    <w:rsid w:val="00EF54F2"/>
    <w:rsid w:val="00EF6011"/>
    <w:rsid w:val="00F03BC7"/>
    <w:rsid w:val="00F061FA"/>
    <w:rsid w:val="00F1446E"/>
    <w:rsid w:val="00F1741B"/>
    <w:rsid w:val="00F26F36"/>
    <w:rsid w:val="00F3293E"/>
    <w:rsid w:val="00F412A6"/>
    <w:rsid w:val="00F52749"/>
    <w:rsid w:val="00F539D4"/>
    <w:rsid w:val="00F548EF"/>
    <w:rsid w:val="00F5522D"/>
    <w:rsid w:val="00F56171"/>
    <w:rsid w:val="00F57218"/>
    <w:rsid w:val="00F60AEA"/>
    <w:rsid w:val="00F621F9"/>
    <w:rsid w:val="00F6253E"/>
    <w:rsid w:val="00F6275A"/>
    <w:rsid w:val="00F63107"/>
    <w:rsid w:val="00F655C2"/>
    <w:rsid w:val="00F66C93"/>
    <w:rsid w:val="00F66F08"/>
    <w:rsid w:val="00F764FA"/>
    <w:rsid w:val="00F76780"/>
    <w:rsid w:val="00F84160"/>
    <w:rsid w:val="00F94ADD"/>
    <w:rsid w:val="00FA48B3"/>
    <w:rsid w:val="00FA4BB9"/>
    <w:rsid w:val="00FA591A"/>
    <w:rsid w:val="00FB2F70"/>
    <w:rsid w:val="00FB3946"/>
    <w:rsid w:val="00FB5F4A"/>
    <w:rsid w:val="00FB6792"/>
    <w:rsid w:val="00FB6CB3"/>
    <w:rsid w:val="00FB7820"/>
    <w:rsid w:val="00FB7F82"/>
    <w:rsid w:val="00FC09F1"/>
    <w:rsid w:val="00FC67BB"/>
    <w:rsid w:val="00FC7298"/>
    <w:rsid w:val="00FE7A1B"/>
    <w:rsid w:val="00FF4673"/>
    <w:rsid w:val="00FF6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7EF4"/>
  <w15:chartTrackingRefBased/>
  <w15:docId w15:val="{07C3D867-B7CE-4FF7-A557-AA309415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28C"/>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C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86CE2"/>
  </w:style>
  <w:style w:type="paragraph" w:styleId="a5">
    <w:name w:val="footer"/>
    <w:basedOn w:val="a"/>
    <w:link w:val="a6"/>
    <w:uiPriority w:val="99"/>
    <w:unhideWhenUsed/>
    <w:rsid w:val="00986C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86CE2"/>
  </w:style>
  <w:style w:type="character" w:styleId="a7">
    <w:name w:val="Hyperlink"/>
    <w:basedOn w:val="a0"/>
    <w:uiPriority w:val="99"/>
    <w:unhideWhenUsed/>
    <w:rsid w:val="000C4D2F"/>
    <w:rPr>
      <w:color w:val="0563C1" w:themeColor="hyperlink"/>
      <w:u w:val="single"/>
    </w:rPr>
  </w:style>
  <w:style w:type="character" w:customStyle="1" w:styleId="1">
    <w:name w:val="Неразрешенное упоминание1"/>
    <w:basedOn w:val="a0"/>
    <w:uiPriority w:val="99"/>
    <w:semiHidden/>
    <w:unhideWhenUsed/>
    <w:rsid w:val="000C4D2F"/>
    <w:rPr>
      <w:color w:val="808080"/>
      <w:shd w:val="clear" w:color="auto" w:fill="E6E6E6"/>
    </w:rPr>
  </w:style>
  <w:style w:type="character" w:styleId="a8">
    <w:name w:val="Placeholder Text"/>
    <w:basedOn w:val="a0"/>
    <w:uiPriority w:val="99"/>
    <w:semiHidden/>
    <w:rsid w:val="00D6311C"/>
    <w:rPr>
      <w:color w:val="808080"/>
    </w:rPr>
  </w:style>
  <w:style w:type="table" w:styleId="a9">
    <w:name w:val="Table Grid"/>
    <w:basedOn w:val="a1"/>
    <w:uiPriority w:val="39"/>
    <w:rsid w:val="00EA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805D3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05D35"/>
    <w:rPr>
      <w:rFonts w:ascii="Segoe UI" w:hAnsi="Segoe UI" w:cs="Segoe UI"/>
      <w:sz w:val="18"/>
      <w:szCs w:val="18"/>
    </w:rPr>
  </w:style>
  <w:style w:type="paragraph" w:styleId="ac">
    <w:name w:val="List Paragraph"/>
    <w:basedOn w:val="a"/>
    <w:uiPriority w:val="34"/>
    <w:qFormat/>
    <w:rsid w:val="005433D1"/>
    <w:pPr>
      <w:ind w:left="720"/>
      <w:contextualSpacing/>
    </w:pPr>
  </w:style>
  <w:style w:type="character" w:styleId="ad">
    <w:name w:val="annotation reference"/>
    <w:basedOn w:val="a0"/>
    <w:uiPriority w:val="99"/>
    <w:semiHidden/>
    <w:unhideWhenUsed/>
    <w:rsid w:val="004C4A82"/>
    <w:rPr>
      <w:sz w:val="16"/>
      <w:szCs w:val="16"/>
    </w:rPr>
  </w:style>
  <w:style w:type="paragraph" w:styleId="ae">
    <w:name w:val="annotation text"/>
    <w:basedOn w:val="a"/>
    <w:link w:val="af"/>
    <w:uiPriority w:val="99"/>
    <w:unhideWhenUsed/>
    <w:rsid w:val="004C4A82"/>
    <w:pPr>
      <w:spacing w:line="240" w:lineRule="auto"/>
    </w:pPr>
    <w:rPr>
      <w:sz w:val="20"/>
      <w:szCs w:val="20"/>
    </w:rPr>
  </w:style>
  <w:style w:type="character" w:customStyle="1" w:styleId="af">
    <w:name w:val="Текст примечания Знак"/>
    <w:basedOn w:val="a0"/>
    <w:link w:val="ae"/>
    <w:uiPriority w:val="99"/>
    <w:rsid w:val="004C4A82"/>
    <w:rPr>
      <w:sz w:val="20"/>
      <w:szCs w:val="20"/>
      <w:lang w:val="uk-UA"/>
    </w:rPr>
  </w:style>
  <w:style w:type="paragraph" w:styleId="af0">
    <w:name w:val="annotation subject"/>
    <w:basedOn w:val="ae"/>
    <w:next w:val="ae"/>
    <w:link w:val="af1"/>
    <w:uiPriority w:val="99"/>
    <w:semiHidden/>
    <w:unhideWhenUsed/>
    <w:rsid w:val="004C4A82"/>
    <w:rPr>
      <w:b/>
      <w:bCs/>
    </w:rPr>
  </w:style>
  <w:style w:type="character" w:customStyle="1" w:styleId="af1">
    <w:name w:val="Тема примечания Знак"/>
    <w:basedOn w:val="af"/>
    <w:link w:val="af0"/>
    <w:uiPriority w:val="99"/>
    <w:semiHidden/>
    <w:rsid w:val="004C4A82"/>
    <w:rPr>
      <w:b/>
      <w:bCs/>
      <w:sz w:val="20"/>
      <w:szCs w:val="20"/>
      <w:lang w:val="uk-UA"/>
    </w:rPr>
  </w:style>
  <w:style w:type="paragraph" w:styleId="af2">
    <w:name w:val="Revision"/>
    <w:hidden/>
    <w:uiPriority w:val="99"/>
    <w:semiHidden/>
    <w:rsid w:val="0065034A"/>
    <w:pPr>
      <w:spacing w:after="0" w:line="240" w:lineRule="auto"/>
    </w:pPr>
    <w:rPr>
      <w:lang w:val="uk-UA"/>
    </w:rPr>
  </w:style>
  <w:style w:type="character" w:styleId="af3">
    <w:name w:val="Unresolved Mention"/>
    <w:basedOn w:val="a0"/>
    <w:uiPriority w:val="99"/>
    <w:semiHidden/>
    <w:unhideWhenUsed/>
    <w:rsid w:val="00444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9385">
      <w:bodyDiv w:val="1"/>
      <w:marLeft w:val="0"/>
      <w:marRight w:val="0"/>
      <w:marTop w:val="0"/>
      <w:marBottom w:val="0"/>
      <w:divBdr>
        <w:top w:val="none" w:sz="0" w:space="0" w:color="auto"/>
        <w:left w:val="none" w:sz="0" w:space="0" w:color="auto"/>
        <w:bottom w:val="none" w:sz="0" w:space="0" w:color="auto"/>
        <w:right w:val="none" w:sz="0" w:space="0" w:color="auto"/>
      </w:divBdr>
    </w:div>
    <w:div w:id="567350071">
      <w:bodyDiv w:val="1"/>
      <w:marLeft w:val="0"/>
      <w:marRight w:val="0"/>
      <w:marTop w:val="0"/>
      <w:marBottom w:val="0"/>
      <w:divBdr>
        <w:top w:val="none" w:sz="0" w:space="0" w:color="auto"/>
        <w:left w:val="none" w:sz="0" w:space="0" w:color="auto"/>
        <w:bottom w:val="none" w:sz="0" w:space="0" w:color="auto"/>
        <w:right w:val="none" w:sz="0" w:space="0" w:color="auto"/>
      </w:divBdr>
    </w:div>
    <w:div w:id="774793369">
      <w:bodyDiv w:val="1"/>
      <w:marLeft w:val="0"/>
      <w:marRight w:val="0"/>
      <w:marTop w:val="0"/>
      <w:marBottom w:val="0"/>
      <w:divBdr>
        <w:top w:val="none" w:sz="0" w:space="0" w:color="auto"/>
        <w:left w:val="none" w:sz="0" w:space="0" w:color="auto"/>
        <w:bottom w:val="none" w:sz="0" w:space="0" w:color="auto"/>
        <w:right w:val="none" w:sz="0" w:space="0" w:color="auto"/>
      </w:divBdr>
    </w:div>
    <w:div w:id="783233978">
      <w:bodyDiv w:val="1"/>
      <w:marLeft w:val="0"/>
      <w:marRight w:val="0"/>
      <w:marTop w:val="0"/>
      <w:marBottom w:val="0"/>
      <w:divBdr>
        <w:top w:val="none" w:sz="0" w:space="0" w:color="auto"/>
        <w:left w:val="none" w:sz="0" w:space="0" w:color="auto"/>
        <w:bottom w:val="none" w:sz="0" w:space="0" w:color="auto"/>
        <w:right w:val="none" w:sz="0" w:space="0" w:color="auto"/>
      </w:divBdr>
    </w:div>
    <w:div w:id="882861859">
      <w:bodyDiv w:val="1"/>
      <w:marLeft w:val="0"/>
      <w:marRight w:val="0"/>
      <w:marTop w:val="0"/>
      <w:marBottom w:val="0"/>
      <w:divBdr>
        <w:top w:val="none" w:sz="0" w:space="0" w:color="auto"/>
        <w:left w:val="none" w:sz="0" w:space="0" w:color="auto"/>
        <w:bottom w:val="none" w:sz="0" w:space="0" w:color="auto"/>
        <w:right w:val="none" w:sz="0" w:space="0" w:color="auto"/>
      </w:divBdr>
    </w:div>
    <w:div w:id="1022241165">
      <w:bodyDiv w:val="1"/>
      <w:marLeft w:val="0"/>
      <w:marRight w:val="0"/>
      <w:marTop w:val="0"/>
      <w:marBottom w:val="0"/>
      <w:divBdr>
        <w:top w:val="none" w:sz="0" w:space="0" w:color="auto"/>
        <w:left w:val="none" w:sz="0" w:space="0" w:color="auto"/>
        <w:bottom w:val="none" w:sz="0" w:space="0" w:color="auto"/>
        <w:right w:val="none" w:sz="0" w:space="0" w:color="auto"/>
      </w:divBdr>
    </w:div>
    <w:div w:id="1058434936">
      <w:bodyDiv w:val="1"/>
      <w:marLeft w:val="0"/>
      <w:marRight w:val="0"/>
      <w:marTop w:val="0"/>
      <w:marBottom w:val="0"/>
      <w:divBdr>
        <w:top w:val="none" w:sz="0" w:space="0" w:color="auto"/>
        <w:left w:val="none" w:sz="0" w:space="0" w:color="auto"/>
        <w:bottom w:val="none" w:sz="0" w:space="0" w:color="auto"/>
        <w:right w:val="none" w:sz="0" w:space="0" w:color="auto"/>
      </w:divBdr>
    </w:div>
    <w:div w:id="1129278769">
      <w:bodyDiv w:val="1"/>
      <w:marLeft w:val="0"/>
      <w:marRight w:val="0"/>
      <w:marTop w:val="0"/>
      <w:marBottom w:val="0"/>
      <w:divBdr>
        <w:top w:val="none" w:sz="0" w:space="0" w:color="auto"/>
        <w:left w:val="none" w:sz="0" w:space="0" w:color="auto"/>
        <w:bottom w:val="none" w:sz="0" w:space="0" w:color="auto"/>
        <w:right w:val="none" w:sz="0" w:space="0" w:color="auto"/>
      </w:divBdr>
    </w:div>
    <w:div w:id="1138573429">
      <w:bodyDiv w:val="1"/>
      <w:marLeft w:val="0"/>
      <w:marRight w:val="0"/>
      <w:marTop w:val="0"/>
      <w:marBottom w:val="0"/>
      <w:divBdr>
        <w:top w:val="none" w:sz="0" w:space="0" w:color="auto"/>
        <w:left w:val="none" w:sz="0" w:space="0" w:color="auto"/>
        <w:bottom w:val="none" w:sz="0" w:space="0" w:color="auto"/>
        <w:right w:val="none" w:sz="0" w:space="0" w:color="auto"/>
      </w:divBdr>
    </w:div>
    <w:div w:id="1459225537">
      <w:bodyDiv w:val="1"/>
      <w:marLeft w:val="0"/>
      <w:marRight w:val="0"/>
      <w:marTop w:val="0"/>
      <w:marBottom w:val="0"/>
      <w:divBdr>
        <w:top w:val="none" w:sz="0" w:space="0" w:color="auto"/>
        <w:left w:val="none" w:sz="0" w:space="0" w:color="auto"/>
        <w:bottom w:val="none" w:sz="0" w:space="0" w:color="auto"/>
        <w:right w:val="none" w:sz="0" w:space="0" w:color="auto"/>
      </w:divBdr>
    </w:div>
    <w:div w:id="1505778021">
      <w:bodyDiv w:val="1"/>
      <w:marLeft w:val="0"/>
      <w:marRight w:val="0"/>
      <w:marTop w:val="0"/>
      <w:marBottom w:val="0"/>
      <w:divBdr>
        <w:top w:val="none" w:sz="0" w:space="0" w:color="auto"/>
        <w:left w:val="none" w:sz="0" w:space="0" w:color="auto"/>
        <w:bottom w:val="none" w:sz="0" w:space="0" w:color="auto"/>
        <w:right w:val="none" w:sz="0" w:space="0" w:color="auto"/>
      </w:divBdr>
      <w:divsChild>
        <w:div w:id="309798176">
          <w:marLeft w:val="300"/>
          <w:marRight w:val="0"/>
          <w:marTop w:val="0"/>
          <w:marBottom w:val="150"/>
          <w:divBdr>
            <w:top w:val="none" w:sz="0" w:space="0" w:color="auto"/>
            <w:left w:val="none" w:sz="0" w:space="0" w:color="auto"/>
            <w:bottom w:val="none" w:sz="0" w:space="0" w:color="auto"/>
            <w:right w:val="none" w:sz="0" w:space="0" w:color="auto"/>
          </w:divBdr>
        </w:div>
      </w:divsChild>
    </w:div>
    <w:div w:id="1675570138">
      <w:bodyDiv w:val="1"/>
      <w:marLeft w:val="0"/>
      <w:marRight w:val="0"/>
      <w:marTop w:val="0"/>
      <w:marBottom w:val="0"/>
      <w:divBdr>
        <w:top w:val="none" w:sz="0" w:space="0" w:color="auto"/>
        <w:left w:val="none" w:sz="0" w:space="0" w:color="auto"/>
        <w:bottom w:val="none" w:sz="0" w:space="0" w:color="auto"/>
        <w:right w:val="none" w:sz="0" w:space="0" w:color="auto"/>
      </w:divBdr>
    </w:div>
    <w:div w:id="1684895184">
      <w:bodyDiv w:val="1"/>
      <w:marLeft w:val="0"/>
      <w:marRight w:val="0"/>
      <w:marTop w:val="0"/>
      <w:marBottom w:val="0"/>
      <w:divBdr>
        <w:top w:val="none" w:sz="0" w:space="0" w:color="auto"/>
        <w:left w:val="none" w:sz="0" w:space="0" w:color="auto"/>
        <w:bottom w:val="none" w:sz="0" w:space="0" w:color="auto"/>
        <w:right w:val="none" w:sz="0" w:space="0" w:color="auto"/>
      </w:divBdr>
    </w:div>
    <w:div w:id="1730759898">
      <w:bodyDiv w:val="1"/>
      <w:marLeft w:val="0"/>
      <w:marRight w:val="0"/>
      <w:marTop w:val="0"/>
      <w:marBottom w:val="0"/>
      <w:divBdr>
        <w:top w:val="none" w:sz="0" w:space="0" w:color="auto"/>
        <w:left w:val="none" w:sz="0" w:space="0" w:color="auto"/>
        <w:bottom w:val="none" w:sz="0" w:space="0" w:color="auto"/>
        <w:right w:val="none" w:sz="0" w:space="0" w:color="auto"/>
      </w:divBdr>
    </w:div>
    <w:div w:id="1870222877">
      <w:bodyDiv w:val="1"/>
      <w:marLeft w:val="0"/>
      <w:marRight w:val="0"/>
      <w:marTop w:val="0"/>
      <w:marBottom w:val="0"/>
      <w:divBdr>
        <w:top w:val="none" w:sz="0" w:space="0" w:color="auto"/>
        <w:left w:val="none" w:sz="0" w:space="0" w:color="auto"/>
        <w:bottom w:val="none" w:sz="0" w:space="0" w:color="auto"/>
        <w:right w:val="none" w:sz="0" w:space="0" w:color="auto"/>
      </w:divBdr>
    </w:div>
    <w:div w:id="2000881243">
      <w:bodyDiv w:val="1"/>
      <w:marLeft w:val="0"/>
      <w:marRight w:val="0"/>
      <w:marTop w:val="0"/>
      <w:marBottom w:val="0"/>
      <w:divBdr>
        <w:top w:val="none" w:sz="0" w:space="0" w:color="auto"/>
        <w:left w:val="none" w:sz="0" w:space="0" w:color="auto"/>
        <w:bottom w:val="none" w:sz="0" w:space="0" w:color="auto"/>
        <w:right w:val="none" w:sz="0" w:space="0" w:color="auto"/>
      </w:divBdr>
    </w:div>
    <w:div w:id="2024357680">
      <w:bodyDiv w:val="1"/>
      <w:marLeft w:val="0"/>
      <w:marRight w:val="0"/>
      <w:marTop w:val="0"/>
      <w:marBottom w:val="0"/>
      <w:divBdr>
        <w:top w:val="none" w:sz="0" w:space="0" w:color="auto"/>
        <w:left w:val="none" w:sz="0" w:space="0" w:color="auto"/>
        <w:bottom w:val="none" w:sz="0" w:space="0" w:color="auto"/>
        <w:right w:val="none" w:sz="0" w:space="0" w:color="auto"/>
      </w:divBdr>
    </w:div>
    <w:div w:id="206579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zakon.rada.gov.ua/laws/show/922-19" TargetMode="External"/><Relationship Id="rId18" Type="http://schemas.openxmlformats.org/officeDocument/2006/relationships/hyperlink" Target="https://zakon.rada.gov.ua/laws/show/1178-2022-%D0%BF?find=1&amp;text=%D0%B0%D0%BD%D0%BE%D0%BC%D0%B0%D0%BB%D1%8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zakon.rada.gov.ua/laws/show/1178-2022-%D0%BF?find=1&amp;text=%D0%B7%D0%B0%D0%B1%D0%B5%D0%B7%D0%BF%D0%B5" TargetMode="External"/><Relationship Id="rId17" Type="http://schemas.openxmlformats.org/officeDocument/2006/relationships/hyperlink" Target="https://zakon.rada.gov.ua/laws/show/922-19"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zakon.rada.gov.ua/laws/show/922-1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hotsianovskyi-is@utg.ua"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zakon.rada.gov.ua/laws/show/922-19"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utg.u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zakon.rada.gov.ua/laws/show/922-19" TargetMode="Externa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hyperlink" Target="http://www.utg.ua" TargetMode="External"/><Relationship Id="rId2" Type="http://schemas.openxmlformats.org/officeDocument/2006/relationships/hyperlink" Target="http://www.utg.ua" TargetMode="External"/><Relationship Id="rId1" Type="http://schemas.openxmlformats.org/officeDocument/2006/relationships/hyperlink" Target="http://www.utg.ua"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utg.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A86B7E14887CA4B95B08993C883E193" ma:contentTypeVersion="0" ma:contentTypeDescription="Створення нового документа." ma:contentTypeScope="" ma:versionID="fdf2a5a131846d9e9f52a8781d1865dc">
  <xsd:schema xmlns:xsd="http://www.w3.org/2001/XMLSchema" xmlns:xs="http://www.w3.org/2001/XMLSchema" xmlns:p="http://schemas.microsoft.com/office/2006/metadata/properties" targetNamespace="http://schemas.microsoft.com/office/2006/metadata/properties" ma:root="true" ma:fieldsID="affdeeba82958b12d33e6bb391080f2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4CCA-79AA-4ECE-95E5-80A0EE867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F94076-FBA4-40AA-800C-A089840E66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E330F6-02F8-4AB1-9133-B37A7B31F1AE}">
  <ds:schemaRefs>
    <ds:schemaRef ds:uri="http://schemas.microsoft.com/sharepoint/v3/contenttype/forms"/>
  </ds:schemaRefs>
</ds:datastoreItem>
</file>

<file path=customXml/itemProps4.xml><?xml version="1.0" encoding="utf-8"?>
<ds:datastoreItem xmlns:ds="http://schemas.openxmlformats.org/officeDocument/2006/customXml" ds:itemID="{4BE016AA-8474-402A-A5A9-A1E66DF0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19</Pages>
  <Words>8760</Words>
  <Characters>49935</Characters>
  <Application>Microsoft Office Word</Application>
  <DocSecurity>0</DocSecurity>
  <Lines>416</Lines>
  <Paragraphs>117</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Слободян Вячеслав</dc:creator>
  <cp:keywords/>
  <dc:description/>
  <cp:lastModifiedBy>sergii kokorin</cp:lastModifiedBy>
  <cp:revision>122</cp:revision>
  <cp:lastPrinted>2023-12-29T08:24:00Z</cp:lastPrinted>
  <dcterms:created xsi:type="dcterms:W3CDTF">2023-05-23T08:05:00Z</dcterms:created>
  <dcterms:modified xsi:type="dcterms:W3CDTF">2024-01-31T15:34:00Z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80841f99-a28c-4759-bbca-b974b8c17f65</vt:lpwstr>
  </property>
  <property fmtid="{D5CDD505-2E9C-101B-9397-08002B2CF9AE}" pid="3" name="ContentTypeId">
    <vt:lpwstr>0x0101007A86B7E14887CA4B95B08993C883E193</vt:lpwstr>
  </property>
</Properties>
</file>