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Pr>
      <w:r>
        <w:t>BANGLADESH INNOVATION FAIR 2026</w:t>
      </w:r>
    </w:p>
    <w:p>
      <w:pPr>
        <w:pStyle w:val="Title"/>
      </w:pPr>
      <w:r>
        <w:t>Digital Delta</w:t>
      </w:r>
    </w:p>
    <w:p>
      <w:pPr>
        <w:pStyle w:val="Subtitle"/>
      </w:pPr>
      <w:r>
        <w:t>Innovation and market report</w:t>
      </w:r>
    </w:p>
    <w:p>
      <w:r>
        <w:t>Offline relief coordination for Bangladesh</w:t>
      </w:r>
    </w:p>
    <w:p>
      <w:pPr>
        <w:spacing w:after="140"/>
        <w:jc w:val="center"/>
      </w:pPr>
      <w:r>
        <w:drawing>
          <wp:inline xmlns:a="http://schemas.openxmlformats.org/drawingml/2006/main" xmlns:pic="http://schemas.openxmlformats.org/drawingml/2006/picture">
            <wp:extent cx="6400800" cy="4267200"/>
            <wp:docPr id="1" name="Picture 1" descr="AI-generated concept illustration of a relief boat and truck in a Bangladesh wetland landscape"/>
            <wp:cNvGraphicFramePr>
              <a:graphicFrameLocks noChangeAspect="1"/>
            </wp:cNvGraphicFramePr>
            <a:graphic>
              <a:graphicData uri="http://schemas.openxmlformats.org/drawingml/2006/picture">
                <pic:pic>
                  <pic:nvPicPr>
                    <pic:cNvPr id="0" name="delta-concept.png"/>
                    <pic:cNvPicPr/>
                  </pic:nvPicPr>
                  <pic:blipFill>
                    <a:blip r:embed="rId11"/>
                    <a:stretch>
                      <a:fillRect/>
                    </a:stretch>
                  </pic:blipFill>
                  <pic:spPr>
                    <a:xfrm>
                      <a:off x="0" y="0"/>
                      <a:ext cx="6400800" cy="4267200"/>
                    </a:xfrm>
                    <a:prstGeom prst="rect"/>
                  </pic:spPr>
                </pic:pic>
              </a:graphicData>
            </a:graphic>
          </wp:inline>
        </w:drawing>
      </w:r>
    </w:p>
    <w:p>
      <w:pPr>
        <w:pStyle w:val="Caption"/>
      </w:pPr>
      <w:r>
        <w:t>Concept illustration generated with AI. It does not depict a documented disaster or deployment.</w:t>
      </w:r>
    </w:p>
    <w:p>
      <w:pPr>
        <w:pStyle w:val="Heading2"/>
      </w:pPr>
      <w:r>
        <w:t>Innovate to Market</w:t>
      </w:r>
    </w:p>
    <w:p>
      <w:r>
        <w:t>Touhidul Alam Seyam</w:t>
        <w:br/>
        <w:t>BGC Trust University Bangladesh</w:t>
      </w:r>
    </w:p>
    <w:p>
      <w:pPr>
        <w:pStyle w:val="Caption"/>
      </w:pPr>
      <w:r>
        <w:t>4 September 2026</w:t>
        <w:br/>
        <w:t>Software demonstration and proposed institutional pilot</w:t>
      </w:r>
    </w:p>
    <w:p>
      <w:r>
        <w:br w:type="page"/>
      </w:r>
    </w:p>
    <w:p>
      <w:pPr>
        <w:pStyle w:val="Caption"/>
      </w:pPr>
      <w:r>
        <w:t>02     /     THE MARKET</w:t>
      </w:r>
    </w:p>
    <w:p>
      <w:pPr>
        <w:pStyle w:val="Heading1"/>
      </w:pPr>
      <w:r>
        <w:t>Executive perspective</w:t>
      </w:r>
    </w:p>
    <w:p>
      <w:pPr>
        <w:spacing w:after="260"/>
      </w:pPr>
      <w:r>
        <w:rPr>
          <w:color w:val="216E75"/>
          <w:sz w:val="30"/>
        </w:rPr>
        <w:t>Digital Delta preserves relief requests and delivery records on field phones when commercial internet is unavailable.</w:t>
      </w:r>
    </w:p>
    <w:p>
      <w:pPr>
        <w:pStyle w:val="Heading2"/>
      </w:pPr>
      <w:r>
        <w:t>The proposed product</w:t>
      </w:r>
    </w:p>
    <w:p>
      <w:r>
        <w:t>A clinic creates an urgent supply request. Trusted nearby phones carry an encrypted message toward its recipient. The receiving phone can calculate a route, expose a deadline conflict and record a signed handoff. An optional laptop shows the mission, while the field phones retain their own records and decision tools.</w:t>
      </w:r>
    </w:p>
    <w:p>
      <w:pPr>
        <w:pStyle w:val="Heading2"/>
      </w:pPr>
      <w:r>
        <w:t>The commercial proposition</w:t>
      </w:r>
    </w:p>
    <w:p>
      <w:r>
        <w:t>The recommended first offer is a supervised preparedness exercise for a district or relief organization. The sponsor receives configured devices, offline maps, role provisioning, bilingual training and an evidence review. Recurring support could cover seasonal readiness, credential administration and approved integrations. Customer demand and willingness to pay still need interviews.</w:t>
      </w:r>
    </w:p>
    <w:p>
      <w:pPr>
        <w:pStyle w:val="Heading2"/>
      </w:pPr>
      <w:r>
        <w:t>The evidence today</w:t>
      </w:r>
    </w:p>
    <w:p>
      <w:r>
        <w:t>All eight software module paths have implementation and automated evidence. The recorded local gate passed the same 60 Android journeys on Android 15 and Android 16 emulators. Screenshots show actual application states, including visibly simulated missions. Physical three-phone relay, camera trials and operator validation remain open.</w:t>
      </w:r>
    </w:p>
    <w:p>
      <w:pPr>
        <w:pStyle w:val="Heading2"/>
      </w:pPr>
      <w:r>
        <w:t>The decision sought</w:t>
      </w:r>
    </w:p>
    <w:p>
      <w:r>
        <w:t>Identify one operational sponsor willing to define a controlled exercise and its acceptance criteria. The next investment should establish whether the system works with real radios, real operators and an agreed response procedure.</w:t>
      </w:r>
    </w:p>
    <w:p>
      <w:pPr>
        <w:pStyle w:val="Caption"/>
        <w:spacing w:before="180"/>
      </w:pPr>
      <w:r>
        <w:t>Repository R01–R08. Market recommendation is an assessment, not a signed commercial commitment.</w:t>
      </w:r>
    </w:p>
    <w:p>
      <w:r>
        <w:br w:type="page"/>
      </w:r>
    </w:p>
    <w:p>
      <w:pPr>
        <w:pStyle w:val="Caption"/>
      </w:pPr>
      <w:r>
        <w:t>03     /     THE MARKET</w:t>
      </w:r>
    </w:p>
    <w:p>
      <w:pPr>
        <w:pStyle w:val="Heading1"/>
      </w:pPr>
      <w:r>
        <w:t>Reading guide</w:t>
      </w:r>
    </w:p>
    <w:p>
      <w:pPr>
        <w:spacing w:after="260"/>
      </w:pPr>
      <w:r>
        <w:rPr>
          <w:color w:val="216E75"/>
          <w:sz w:val="30"/>
        </w:rPr>
        <w:t>The report connects the disaster response problem to the product, its engineering evidence and a credible first deployment.</w:t>
      </w:r>
    </w:p>
    <w:p>
      <w:pPr>
        <w:pStyle w:val="Heading2"/>
      </w:pPr>
      <w:r>
        <w:t>How to interpret the evidence</w:t>
      </w:r>
    </w:p>
    <w:p>
      <w:r>
        <w:t>“Implemented” means the source and recorded software checks support a behavior. “Emulator evidence” means a journey ran on a virtual Android device. “Physical gate” means the required real-device result is still missing. A proposal or illustrative budget is a planning assumption.</w:t>
      </w:r>
    </w:p>
    <w:p>
      <w:pPr>
        <w:pStyle w:val="Heading2"/>
      </w:pPr>
      <w:r>
        <w:t>Visual evidence</w:t>
      </w:r>
    </w:p>
    <w:p>
      <w:r>
        <w:t>The walkthrough uses 26 original application captures across Bangla and English. Captions identify the workflow and explain what the image establishes. The cover is an AI-generated concept illustration. Architecture drawings are explanatory figures, not live telemetry.</w:t>
      </w:r>
    </w:p>
    <w:p>
      <w:pPr>
        <w:pStyle w:val="Heading2"/>
      </w:pPr>
      <w:r>
        <w:t>Report scope</w:t>
      </w:r>
    </w:p>
    <w:p>
      <w:r>
        <w:t>This is an innovation-fair report for judges, potential institutional partners and technical reviewers. It covers the September 2026 software evidence package. No customer interview, procurement award, field deployment or demonstrated disaster outcome is claimed.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Pages</w:t>
            </w:r>
          </w:p>
        </w:tc>
        <w:tc>
          <w:tcPr>
            <w:tcW w:type="dxa" w:w="720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Reading route</w:t>
            </w:r>
          </w:p>
        </w:tc>
      </w:tr>
      <w:tr>
        <w:trPr>
          <w:cantSplit/>
        </w:trPr>
        <w:tc>
          <w:tcPr>
            <w:tcW w:type="dxa" w:w="288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4–12</w:t>
            </w:r>
          </w:p>
        </w:tc>
        <w:tc>
          <w:tcPr>
            <w:tcW w:type="dxa" w:w="72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Problem, buyers, competition, business model and market validation</w:t>
            </w:r>
          </w:p>
        </w:tc>
      </w:tr>
      <w:tr>
        <w:trPr>
          <w:cantSplit/>
        </w:trPr>
        <w:tc>
          <w:tcPr>
            <w:tcW w:type="dxa" w:w="288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13–26</w:t>
            </w:r>
          </w:p>
        </w:tc>
        <w:tc>
          <w:tcPr>
            <w:tcW w:type="dxa" w:w="72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Product walkthrough with bilingual screenshot evidence</w:t>
            </w:r>
          </w:p>
        </w:tc>
      </w:tr>
      <w:tr>
        <w:trPr>
          <w:cantSplit/>
        </w:trPr>
        <w:tc>
          <w:tcPr>
            <w:tcW w:type="dxa" w:w="288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27–34</w:t>
            </w:r>
          </w:p>
        </w:tc>
        <w:tc>
          <w:tcPr>
            <w:tcW w:type="dxa" w:w="72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Architecture, security, model evaluation and test boundaries</w:t>
            </w:r>
          </w:p>
        </w:tc>
      </w:tr>
      <w:tr>
        <w:trPr>
          <w:cantSplit/>
        </w:trPr>
        <w:tc>
          <w:tcPr>
            <w:tcW w:type="dxa" w:w="288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35–38</w:t>
            </w:r>
          </w:p>
        </w:tc>
        <w:tc>
          <w:tcPr>
            <w:tcW w:type="dxa" w:w="72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Pilot operations, impact, demonstration and partnership request</w:t>
            </w:r>
          </w:p>
        </w:tc>
      </w:tr>
      <w:tr>
        <w:trPr>
          <w:cantSplit/>
        </w:trPr>
        <w:tc>
          <w:tcPr>
            <w:tcW w:type="dxa" w:w="288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39–40</w:t>
            </w:r>
          </w:p>
        </w:tc>
        <w:tc>
          <w:tcPr>
            <w:tcW w:type="dxa" w:w="72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Research sources and repository evidence register</w:t>
            </w:r>
          </w:p>
        </w:tc>
      </w:tr>
    </w:tbl>
    <w:p>
      <w:pPr>
        <w:spacing w:after="20"/>
      </w:pPr>
    </w:p>
    <w:p>
      <w:pPr>
        <w:pStyle w:val="Caption"/>
        <w:spacing w:before="180"/>
      </w:pPr>
      <w:r>
        <w:t>Research reviewed 4 September 2026. The original report and presentation remain separate files.</w:t>
      </w:r>
    </w:p>
    <w:p>
      <w:r>
        <w:br w:type="page"/>
      </w:r>
    </w:p>
    <w:p>
      <w:pPr>
        <w:pStyle w:val="Caption"/>
      </w:pPr>
      <w:r>
        <w:t>04     /     THE MARKET</w:t>
      </w:r>
    </w:p>
    <w:p>
      <w:pPr>
        <w:pStyle w:val="Heading1"/>
      </w:pPr>
      <w:r>
        <w:t>The Bangladesh use case</w:t>
      </w:r>
    </w:p>
    <w:p>
      <w:pPr>
        <w:spacing w:after="260"/>
      </w:pPr>
      <w:r>
        <w:rPr>
          <w:color w:val="216E75"/>
          <w:sz w:val="30"/>
        </w:rPr>
        <w:t>Relief coordination becomes harder when disrupted transport coincides with power and telecommunications failures.</w:t>
      </w:r>
    </w:p>
    <w:p>
      <w:pPr>
        <w:pStyle w:val="Heading2"/>
      </w:pPr>
      <w:r>
        <w:t>Documented exposure</w:t>
      </w:r>
    </w:p>
    <w:p>
      <w:r>
        <w:t>The UN Bangladesh response plan estimated 7.2 million people affected across nine northeastern districts in June 2022. The June 2024 assessment reported 3.74 million affected people across six districts. These are event-specific estimates with different dates and coverage. They should not be added or treated as a trend series. [S01, S03]</w:t>
      </w:r>
    </w:p>
    <w:p>
      <w:pPr>
        <w:pStyle w:val="Heading2"/>
      </w:pPr>
      <w:r>
        <w:t>A continuity problem</w:t>
      </w:r>
    </w:p>
    <w:p>
      <w:r>
        <w:t>The 19 June 2022 situation update described power shutdowns for safety, difficult mobile communication, submerged highways and limited boat availability. That combination motivates keeping essential operational records on devices that can continue working through disconnected periods. [S02]</w:t>
      </w:r>
    </w:p>
    <w:p>
      <w:pPr>
        <w:pStyle w:val="Heading2"/>
      </w:pPr>
      <w:r>
        <w:t>Product implication</w:t>
      </w:r>
    </w:p>
    <w:p>
      <w:r>
        <w:t>A relief team needs more than a map. It needs a durable record of what was requested, who may approve a change, which transport mode remains feasible and who accepted custody. Digital Delta combines those steps in one demonstrable field workflow.</w:t>
      </w:r>
    </w:p>
    <w:p>
      <w:pPr>
        <w:pStyle w:val="Heading2"/>
      </w:pPr>
      <w:r>
        <w:t>Scope of the opportunity</w:t>
      </w:r>
    </w:p>
    <w:p>
      <w:r>
        <w:t>Flood exposure establishes a public need. It does not establish product demand, willingness to pay or measured impact. Those questions require a controlled exercise with the organizations that own relief operations.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816"/>
      </w:tblGrid>
      <w:tr>
        <w:trPr>
          <w:cantSplit/>
          <w:tblHeader/>
        </w:trPr>
        <w:tc>
          <w:tcPr>
            <w:tcW w:type="dxa" w:w="2664"/>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Evidence</w:t>
            </w:r>
          </w:p>
        </w:tc>
        <w:tc>
          <w:tcPr>
            <w:tcW w:type="dxa" w:w="360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Reported scope</w:t>
            </w:r>
          </w:p>
        </w:tc>
        <w:tc>
          <w:tcPr>
            <w:tcW w:type="dxa" w:w="3816"/>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Design consequence</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2022 flash floods</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7.2 million affected in 9 districts</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Maintain records during outages</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June 2024 assessment</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3.74 million affected in 6 districts</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Test a bounded regional workflow</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2022 situation update</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Power, communication and roads disrupted</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Support delayed phone-to-phone contact</w:t>
            </w:r>
          </w:p>
        </w:tc>
      </w:tr>
    </w:tbl>
    <w:p>
      <w:pPr>
        <w:spacing w:after="20"/>
      </w:pPr>
    </w:p>
    <w:p>
      <w:pPr>
        <w:pStyle w:val="Caption"/>
        <w:spacing w:before="180"/>
      </w:pPr>
      <w:r>
        <w:t>S01, S02 and S03. Counts are affected people, not customers or displaced-population totals.</w:t>
      </w:r>
    </w:p>
    <w:p>
      <w:r>
        <w:br w:type="page"/>
      </w:r>
    </w:p>
    <w:p>
      <w:pPr>
        <w:pStyle w:val="Caption"/>
      </w:pPr>
      <w:r>
        <w:t>05     /     THE MARKET</w:t>
      </w:r>
    </w:p>
    <w:p>
      <w:pPr>
        <w:pStyle w:val="Heading1"/>
      </w:pPr>
      <w:r>
        <w:t>The mission and its users</w:t>
      </w:r>
    </w:p>
    <w:p>
      <w:pPr>
        <w:spacing w:after="260"/>
      </w:pPr>
      <w:r>
        <w:rPr>
          <w:color w:val="216E75"/>
          <w:sz w:val="30"/>
        </w:rPr>
        <w:t>One urgent delivery crosses several organizational and physical boundaries.</w:t>
      </w:r>
    </w:p>
    <w:p>
      <w:pPr>
        <w:pStyle w:val="Heading2"/>
      </w:pPr>
      <w:r>
        <w:t>A representative mission</w:t>
      </w:r>
    </w:p>
    <w:p>
      <w:r>
        <w:t>A clinic requests urgent cargo. A coordinator validates the request and assigns transport. A boat operator receives the job after a truck route becomes unavailable. The receiving hospital verifies the delivery. Volunteers may carry encrypted messages between contacts without gaining access to medical or cargo contents.</w:t>
      </w:r>
    </w:p>
    <w:p>
      <w:pPr>
        <w:pStyle w:val="Heading2"/>
      </w:pPr>
      <w:r>
        <w:t>What is uncertain during an outage</w:t>
      </w:r>
    </w:p>
    <w:p>
      <w:r>
        <w:t>A sender can know that a request is stored locally without knowing that a recipient has accepted it. A relay can acknowledge durable storage without becoming the custodian of the supplies. The interface and audit trail must preserve those distinctions.</w:t>
      </w:r>
    </w:p>
    <w:p>
      <w:pPr>
        <w:pStyle w:val="Heading2"/>
      </w:pPr>
      <w:r>
        <w:t>Human authority</w:t>
      </w:r>
    </w:p>
    <w:p>
      <w:r>
        <w:t>An authorized coordinator confirms priority changes and unsafe conflict resolutions. Operators remain responsible for judging actual route safety. The fair model proposes actions within a simulation and cannot substitute for official incident command.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816"/>
      </w:tblGrid>
      <w:tr>
        <w:trPr>
          <w:cantSplit/>
          <w:tblHeader/>
        </w:trPr>
        <w:tc>
          <w:tcPr>
            <w:tcW w:type="dxa" w:w="2664"/>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Actor</w:t>
            </w:r>
          </w:p>
        </w:tc>
        <w:tc>
          <w:tcPr>
            <w:tcW w:type="dxa" w:w="360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Job to accomplish</w:t>
            </w:r>
          </w:p>
        </w:tc>
        <w:tc>
          <w:tcPr>
            <w:tcW w:type="dxa" w:w="3816"/>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Required confidence</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Clinic or camp</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Record a need and urgency</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The request survives app restart</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Coordinator</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Resolve conflicts and assign cargo</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Authority and reason are recorded</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Relay volunteer</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Carry encrypted envelopes</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Forwarding reveals no payload</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Boat or truck operator</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Receive a feasible assignment</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Mode, waypoint and custody are clear</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Hospital or recipient</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Accept supplies</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Offer is authentic and unused</w:t>
            </w:r>
          </w:p>
        </w:tc>
      </w:tr>
    </w:tbl>
    <w:p>
      <w:pPr>
        <w:spacing w:after="20"/>
      </w:pPr>
    </w:p>
    <w:p>
      <w:pPr>
        <w:pStyle w:val="Caption"/>
        <w:spacing w:before="180"/>
      </w:pPr>
      <w:r>
        <w:t>R01, R05, R08. Mission is a representative demonstration scenario, not a recorded field deployment.</w:t>
      </w:r>
    </w:p>
    <w:p>
      <w:r>
        <w:br w:type="page"/>
      </w:r>
    </w:p>
    <w:p>
      <w:pPr>
        <w:pStyle w:val="Caption"/>
      </w:pPr>
      <w:r>
        <w:t>06     /     THE MARKET</w:t>
      </w:r>
    </w:p>
    <w:p>
      <w:pPr>
        <w:pStyle w:val="Heading1"/>
      </w:pPr>
      <w:r>
        <w:t>Users buyers and deployment owners</w:t>
      </w:r>
    </w:p>
    <w:p>
      <w:pPr>
        <w:spacing w:after="260"/>
      </w:pPr>
      <w:r>
        <w:rPr>
          <w:color w:val="216E75"/>
          <w:sz w:val="30"/>
        </w:rPr>
        <w:t>The likely customer is an institution that can sustain a deployment between emergencies.</w:t>
      </w:r>
    </w:p>
    <w:p>
      <w:pPr>
        <w:pStyle w:val="Heading2"/>
      </w:pPr>
      <w:r>
        <w:t>Initial buyer hypothesis</w:t>
      </w:r>
    </w:p>
    <w:p>
      <w:r>
        <w:t>A district administration, humanitarian organization or health logistics partner could sponsor the first deployment. Each has a different approval chain. Discovery must establish who controls budget, who owns response procedures and who accepts responsibility for devices and credentials.</w:t>
      </w:r>
    </w:p>
    <w:p>
      <w:pPr>
        <w:pStyle w:val="Heading2"/>
      </w:pPr>
      <w:r>
        <w:t>Operational ownership</w:t>
      </w:r>
    </w:p>
    <w:p>
      <w:r>
        <w:t>A deployment needs an administrator before the first emergency. Someone must issue and revoke identities, select supported phones, update offline maps, train new staff and run readiness exercises. A technically capable prototype without that owner is unlikely to become a maintained service.</w:t>
      </w:r>
    </w:p>
    <w:p>
      <w:pPr>
        <w:pStyle w:val="Heading2"/>
      </w:pPr>
      <w:r>
        <w:t>Beneficiary relationship</w:t>
      </w:r>
    </w:p>
    <w:p>
      <w:r>
        <w:t>Affected households benefit from better coordination if the pilot eventually demonstrates it. They are not the default paying customer. The proposed model avoids charging per emergency request or monetizing sensitive recipient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816"/>
      </w:tblGrid>
      <w:tr>
        <w:trPr>
          <w:cantSplit/>
          <w:tblHeader/>
        </w:trPr>
        <w:tc>
          <w:tcPr>
            <w:tcW w:type="dxa" w:w="2664"/>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Stakeholder</w:t>
            </w:r>
          </w:p>
        </w:tc>
        <w:tc>
          <w:tcPr>
            <w:tcW w:type="dxa" w:w="360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Potential role</w:t>
            </w:r>
          </w:p>
        </w:tc>
        <w:tc>
          <w:tcPr>
            <w:tcW w:type="dxa" w:w="3816"/>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Discovery question</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District or upazila team</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Deployment owner</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Which procedure can the app support?</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NGO logistics lead</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Buyer or implementing partner</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Who funds readiness and support?</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Health facility</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Urgent request and receipt user</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Which supply workflow is safe to test?</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Trained volunteers</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Relay and field users</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What training and device access exist?</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National institution</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Policy or integration reviewer</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Which exchange formats are acceptable?</w:t>
            </w:r>
          </w:p>
        </w:tc>
      </w:tr>
    </w:tbl>
    <w:p>
      <w:pPr>
        <w:spacing w:after="20"/>
      </w:pPr>
    </w:p>
    <w:p>
      <w:pPr>
        <w:pStyle w:val="Caption"/>
        <w:spacing w:before="180"/>
      </w:pPr>
      <w:r>
        <w:t>Buyer roles are hypotheses derived from the project workflow. No endorsement or partnership is implied.</w:t>
      </w:r>
    </w:p>
    <w:p>
      <w:r>
        <w:br w:type="page"/>
      </w:r>
    </w:p>
    <w:p>
      <w:pPr>
        <w:pStyle w:val="Caption"/>
      </w:pPr>
      <w:r>
        <w:t>07     /     THE MARKET</w:t>
      </w:r>
    </w:p>
    <w:p>
      <w:pPr>
        <w:pStyle w:val="Heading1"/>
      </w:pPr>
      <w:r>
        <w:t>Competitive landscape</w:t>
      </w:r>
    </w:p>
    <w:p>
      <w:pPr>
        <w:spacing w:after="260"/>
      </w:pPr>
      <w:r>
        <w:rPr>
          <w:color w:val="216E75"/>
          <w:sz w:val="30"/>
        </w:rPr>
        <w:t>Existing platforms solve important parts of disaster coordination. Digital Delta must prove the value of joining the field steps.</w:t>
      </w:r>
    </w:p>
    <w:p>
      <w:pPr>
        <w:pStyle w:val="Heading2"/>
      </w:pPr>
      <w:r>
        <w:t>A careful comparison</w:t>
      </w:r>
    </w:p>
    <w:p>
      <w:r>
        <w:t>The comparison uses first-party product documentation. “Not established” means the reviewed source does not document the exact integrated workflow. It does not mean a competitor cannot implement it. Sahana’s cited page is explicitly a legacy archive.</w:t>
      </w:r>
    </w:p>
    <w:p>
      <w:pPr>
        <w:pStyle w:val="Heading2"/>
      </w:pPr>
      <w:r>
        <w:t>The position worth testing</w:t>
      </w:r>
    </w:p>
    <w:p>
      <w:r>
        <w:t>Digital Delta focuses on an encrypted phone relay feeding route decisions, priority review and signed custody in a bundled bilingual app. Its value depends on whether this integration reduces operational effort compared with a trained team using its current tools.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816"/>
      </w:tblGrid>
      <w:tr>
        <w:trPr>
          <w:cantSplit/>
          <w:tblHeader/>
        </w:trPr>
        <w:tc>
          <w:tcPr>
            <w:tcW w:type="dxa" w:w="2664"/>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Platform</w:t>
            </w:r>
          </w:p>
        </w:tc>
        <w:tc>
          <w:tcPr>
            <w:tcW w:type="dxa" w:w="360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Documented strength</w:t>
            </w:r>
          </w:p>
        </w:tc>
        <w:tc>
          <w:tcPr>
            <w:tcW w:type="dxa" w:w="3816"/>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Relationship to Digital Delta</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Sahana Eden [S06]</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Inventory, requests, assets and mapping</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Closest relief domain analogue; integrate where useful</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KoboCollect [S07]</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Offline Android forms after setup</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Potential assessment input; server upload follows collection</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Ushahidi [S08]</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Crowdsourced reports and mapping</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Potential reporting and situational-awareness partner</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Briar [S09]</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Encrypted sync over Bluetooth and Wi-Fi</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Proves adjacent communication concepts</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Meshtastic [S10]</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Off-grid LoRa mesh communication</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Uses separate radio hardware beyond this fair scope</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Paper and radio</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Familiar local procedures</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Pilot baseline and operational fallback</w:t>
            </w:r>
          </w:p>
        </w:tc>
      </w:tr>
    </w:tbl>
    <w:p>
      <w:pPr>
        <w:spacing w:after="20"/>
      </w:pPr>
    </w:p>
    <w:p>
      <w:pPr>
        <w:pStyle w:val="Caption"/>
        <w:spacing w:before="180"/>
      </w:pPr>
      <w:r>
        <w:t>S06–S10. Comparison is scoped to reviewed documentation, not an exhaustive product audit.</w:t>
      </w:r>
    </w:p>
    <w:p>
      <w:r>
        <w:br w:type="page"/>
      </w:r>
    </w:p>
    <w:p>
      <w:pPr>
        <w:pStyle w:val="Caption"/>
      </w:pPr>
      <w:r>
        <w:t>08     /     THE MARKET</w:t>
      </w:r>
    </w:p>
    <w:p>
      <w:pPr>
        <w:pStyle w:val="Heading1"/>
      </w:pPr>
      <w:r>
        <w:t>Market sizing and the first segment</w:t>
      </w:r>
    </w:p>
    <w:p>
      <w:pPr>
        <w:spacing w:after="260"/>
      </w:pPr>
      <w:r>
        <w:rPr>
          <w:color w:val="216E75"/>
          <w:sz w:val="30"/>
        </w:rPr>
        <w:t>Count operational deployments rather than affected people, mobile subscriptions or national resilience funding.</w:t>
      </w:r>
    </w:p>
    <w:p>
      <w:pPr>
        <w:pStyle w:val="Heading2"/>
      </w:pPr>
      <w:r>
        <w:t>Total addressable need</w:t>
      </w:r>
    </w:p>
    <w:p>
      <w:r>
        <w:t>The appropriate unit is a team or institution with recurring preparedness and disconnected logistics work. A validated registry would count potential deployment owners, remove overlap between agencies and identify existing systems. No verified national revenue market is available in the evidence package.</w:t>
      </w:r>
    </w:p>
    <w:p>
      <w:pPr>
        <w:pStyle w:val="Heading2"/>
      </w:pPr>
      <w:r>
        <w:t>Serviceable starting area</w:t>
      </w:r>
    </w:p>
    <w:p>
      <w:r>
        <w:t>The June 2024 assessment covered six northeastern districts, 64 upazilas and 360 unions. This is a documented geographic frame for investigation, not a claim that all of those institutions are reachable customers. Device readiness and institutional consent will reduce the serviceable subset. [S03]</w:t>
      </w:r>
    </w:p>
    <w:p>
      <w:pPr>
        <w:pStyle w:val="Heading2"/>
      </w:pPr>
      <w:r>
        <w:t>Obtainable first deployment</w:t>
      </w:r>
    </w:p>
    <w:p>
      <w:r>
        <w:t>A reasonable initial test involves one sponsor, one health referral chain and one experienced relief partner. Its size should follow supervision capacity. The proposed 12-week exercise plan later in this report is an assumption to discuss with that sponsor.</w:t>
      </w:r>
    </w:p>
    <w:p>
      <w:pPr>
        <w:pStyle w:val="Heading2"/>
      </w:pPr>
      <w:r>
        <w:t>Institutional spending signal</w:t>
      </w:r>
    </w:p>
    <w:p>
      <w:r>
        <w:t>The World Bank approved US$270 million for Bangladesh flood recovery and resilience in May 2025. The program includes infrastructure, livelihoods and preparedness. It demonstrates investment in resilience, but none of that total can be booked as Digital Delta’s addressable software revenue. [S04]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816"/>
      </w:tblGrid>
      <w:tr>
        <w:trPr>
          <w:cantSplit/>
          <w:tblHeader/>
        </w:trPr>
        <w:tc>
          <w:tcPr>
            <w:tcW w:type="dxa" w:w="2664"/>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Sizing level</w:t>
            </w:r>
          </w:p>
        </w:tc>
        <w:tc>
          <w:tcPr>
            <w:tcW w:type="dxa" w:w="360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Evidence needed</w:t>
            </w:r>
          </w:p>
        </w:tc>
        <w:tc>
          <w:tcPr>
            <w:tcW w:type="dxa" w:w="3816"/>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Current status</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National need</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Validated institutional registry and use cases</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Unquantified</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Regional serviceable segment</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Compatible phones and willing deployment owners</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Discovery proposal</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Initial obtainable deployment</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Named sponsor with approved exercise</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No commitment recorded</w:t>
            </w:r>
          </w:p>
        </w:tc>
      </w:tr>
    </w:tbl>
    <w:p>
      <w:pPr>
        <w:spacing w:after="20"/>
      </w:pPr>
    </w:p>
    <w:p>
      <w:pPr>
        <w:pStyle w:val="Caption"/>
        <w:spacing w:before="180"/>
      </w:pPr>
      <w:r>
        <w:t>S03 and S04. No TAM revenue estimate or sales forecast is asserted.</w:t>
      </w:r>
    </w:p>
    <w:p>
      <w:r>
        <w:br w:type="page"/>
      </w:r>
    </w:p>
    <w:p>
      <w:pPr>
        <w:pStyle w:val="Caption"/>
      </w:pPr>
      <w:r>
        <w:t>09     /     THE MARKET</w:t>
      </w:r>
    </w:p>
    <w:p>
      <w:pPr>
        <w:pStyle w:val="Heading1"/>
      </w:pPr>
      <w:r>
        <w:t>The proposed business model</w:t>
      </w:r>
    </w:p>
    <w:p>
      <w:pPr>
        <w:spacing w:after="260"/>
      </w:pPr>
      <w:r>
        <w:rPr>
          <w:color w:val="216E75"/>
          <w:sz w:val="30"/>
        </w:rPr>
        <w:t>Sell readiness and accountable deployment support around an offline field tool.</w:t>
      </w:r>
    </w:p>
    <w:p>
      <w:pPr>
        <w:pStyle w:val="Heading2"/>
      </w:pPr>
      <w:r>
        <w:t>A first offer</w:t>
      </w:r>
    </w:p>
    <w:p>
      <w:r>
        <w:t>Package a bounded preparedness exercise: workflow mapping, a configured APK, trusted identities, reviewed offline maps, training, observed test sessions and an evidence report. This is easier to scope and evaluate than an open-ended national platform purchase.</w:t>
      </w:r>
    </w:p>
    <w:p>
      <w:pPr>
        <w:pStyle w:val="Heading2"/>
      </w:pPr>
      <w:r>
        <w:t>A recurring service hypothesis</w:t>
      </w:r>
    </w:p>
    <w:p>
      <w:r>
        <w:t>After a successful exercise, annual support could include credential administration, supported-device checks, seasonal refresher training, map updates, release maintenance and incident support. Integration work should be separately scoped because partner systems and governance vary.</w:t>
      </w:r>
    </w:p>
    <w:p>
      <w:pPr>
        <w:pStyle w:val="Heading2"/>
      </w:pPr>
      <w:r>
        <w:t>Pricing logic</w:t>
      </w:r>
    </w:p>
    <w:p>
      <w:r>
        <w:t>Price against the real cost of delivery and the sponsor’s procurement process. Discovery should compare fixed exercise fees, annual deployment support and partner-funded implementation. Avoid per-relief-request pricing, which would penalize use when needs increase.</w:t>
      </w:r>
    </w:p>
    <w:p>
      <w:pPr>
        <w:pStyle w:val="Heading2"/>
      </w:pPr>
      <w:r>
        <w:t>Defensibility</w:t>
      </w:r>
    </w:p>
    <w:p>
      <w:r>
        <w:t>The potential advantage is accumulated operational knowledge: a tested-device matrix, clear failure behavior, trusted local delivery partners, maintainable policies and evidence from repeated exercises. The present prototype does not establish a patent moat or exclusive technical invention.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816"/>
      </w:tblGrid>
      <w:tr>
        <w:trPr>
          <w:cantSplit/>
          <w:tblHeader/>
        </w:trPr>
        <w:tc>
          <w:tcPr>
            <w:tcW w:type="dxa" w:w="2664"/>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Proposed offer</w:t>
            </w:r>
          </w:p>
        </w:tc>
        <w:tc>
          <w:tcPr>
            <w:tcW w:type="dxa" w:w="360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What the customer receives</w:t>
            </w:r>
          </w:p>
        </w:tc>
        <w:tc>
          <w:tcPr>
            <w:tcW w:type="dxa" w:w="3816"/>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Evidence before sale</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Preparedness exercise</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Configuration, training and supervised drill</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Real-device acceptance and scope</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Annual support</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Readiness checks and maintenance</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Observed support demand and cost</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Approved integration</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Controlled data exchange with existing systems</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Signed data and security requirements</w:t>
            </w:r>
          </w:p>
        </w:tc>
      </w:tr>
    </w:tbl>
    <w:p>
      <w:pPr>
        <w:spacing w:after="20"/>
      </w:pPr>
    </w:p>
    <w:p>
      <w:pPr>
        <w:pStyle w:val="Caption"/>
        <w:spacing w:before="180"/>
      </w:pPr>
      <w:r>
        <w:t>Commercial options are recommendations. Pricing, licenses, sales and partnerships remain unvalidated.</w:t>
      </w:r>
    </w:p>
    <w:p>
      <w:r>
        <w:br w:type="page"/>
      </w:r>
    </w:p>
    <w:p>
      <w:pPr>
        <w:pStyle w:val="Caption"/>
      </w:pPr>
      <w:r>
        <w:t>10     /     THE MARKET</w:t>
      </w:r>
    </w:p>
    <w:p>
      <w:pPr>
        <w:pStyle w:val="Heading1"/>
      </w:pPr>
      <w:r>
        <w:t>Illustrative pilot cost model</w:t>
      </w:r>
    </w:p>
    <w:p>
      <w:pPr>
        <w:spacing w:after="260"/>
      </w:pPr>
      <w:r>
        <w:rPr>
          <w:color w:val="216E75"/>
          <w:sz w:val="30"/>
        </w:rPr>
        <w:t>A transparent planning budget helps a sponsor judge the scale of a controlled exercise.</w:t>
      </w:r>
    </w:p>
    <w:p>
      <w:pPr>
        <w:pStyle w:val="Heading2"/>
      </w:pPr>
      <w:r>
        <w:t>Planning assumptions</w:t>
      </w:r>
    </w:p>
    <w:p>
      <w:r>
        <w:t>The example assumes one sponsor, 12 weeks, six exercise phones and a limited local pilot. Rates are invented planning inputs in BDT, not supplier quotations, market prices or actual project expenditure. Existing institutional devices could reduce the equipment line.</w:t>
      </w:r>
    </w:p>
    <w:p>
      <w:pPr>
        <w:pStyle w:val="Heading2"/>
      </w:pPr>
      <w:r>
        <w:t>Interpretation</w:t>
      </w:r>
    </w:p>
    <w:p>
      <w:r>
        <w:t>People and assurance dominate the example. Free software libraries do not remove training, security review, travel, map preparation and operational support costs. The model excludes taxes, long-term salaries, emergency transport and ongoing production support.</w:t>
      </w:r>
    </w:p>
    <w:p>
      <w:pPr>
        <w:pStyle w:val="Heading2"/>
      </w:pPr>
      <w:r>
        <w:t>The next budgeting step</w:t>
      </w:r>
    </w:p>
    <w:p>
      <w:r>
        <w:t>Obtain local quotes and agree the staffing plan, existing equipment, venue and participant count. The sponsor should approve a revised budget only after those assumptions are known. This is not a request for a fixed investment amount.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816"/>
      </w:tblGrid>
      <w:tr>
        <w:trPr>
          <w:cantSplit/>
          <w:tblHeader/>
        </w:trPr>
        <w:tc>
          <w:tcPr>
            <w:tcW w:type="dxa" w:w="2664"/>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Cost item</w:t>
            </w:r>
          </w:p>
        </w:tc>
        <w:tc>
          <w:tcPr>
            <w:tcW w:type="dxa" w:w="360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Illustrative calculation</w:t>
            </w:r>
          </w:p>
        </w:tc>
        <w:tc>
          <w:tcPr>
            <w:tcW w:type="dxa" w:w="3816"/>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BDT</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Workflow and engineering</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40 days × 5,000</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200,000</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Training and field facilitation</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12 days × 4,000</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48,000</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Independent security review</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5 days × 8,000</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40,000</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Exercise phones</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6 × 18,000</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108,000</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Power and protective accessories</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6 × 4,000</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24,000</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Travel and exercise logistics</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Assumed allowance</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30,000</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Subtotal</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450,000</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Contingency</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15% of subtotal</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67,500</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Illustrative total</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517,500</w:t>
            </w:r>
          </w:p>
        </w:tc>
      </w:tr>
    </w:tbl>
    <w:p>
      <w:pPr>
        <w:spacing w:after="20"/>
      </w:pPr>
    </w:p>
    <w:p>
      <w:pPr>
        <w:pStyle w:val="Caption"/>
        <w:spacing w:before="180"/>
      </w:pPr>
      <w:r>
        <w:t>Planning model created for this report. All inputs require validation. Total = 450,000 × 1.15.</w:t>
      </w:r>
    </w:p>
    <w:p>
      <w:r>
        <w:br w:type="page"/>
      </w:r>
    </w:p>
    <w:p>
      <w:pPr>
        <w:pStyle w:val="Caption"/>
      </w:pPr>
      <w:r>
        <w:t>11     /     THE MARKET</w:t>
      </w:r>
    </w:p>
    <w:p>
      <w:pPr>
        <w:pStyle w:val="Heading1"/>
      </w:pPr>
      <w:r>
        <w:t>A route to market</w:t>
      </w:r>
    </w:p>
    <w:p>
      <w:pPr>
        <w:spacing w:after="260"/>
      </w:pPr>
      <w:r>
        <w:rPr>
          <w:color w:val="216E75"/>
          <w:sz w:val="30"/>
        </w:rPr>
        <w:t>The innovation fair should open a supervised pilot conversation with an operational owner.</w:t>
      </w:r>
    </w:p>
    <w:p>
      <w:pPr>
        <w:pStyle w:val="Heading2"/>
      </w:pPr>
      <w:r>
        <w:t>Fair conversation</w:t>
      </w:r>
    </w:p>
    <w:p>
      <w:r>
        <w:t>Show the offline workflow and its failure handling. Ask interested organizations to identify the person who owns logistics procedures and can approve a controlled exercise. Record the workflow problem and follow-up owner only with consent. A booth conversation is a lead, not validated demand.</w:t>
      </w:r>
    </w:p>
    <w:p>
      <w:pPr>
        <w:pStyle w:val="Heading2"/>
      </w:pPr>
      <w:r>
        <w:t>Discovery and qualification</w:t>
      </w:r>
    </w:p>
    <w:p>
      <w:r>
        <w:t>Interview logistics coordinators, health-facility staff, volunteer supervisors and procurement owners. Map one current workflow, its failure points and its record requirements. Qualify the sponsor’s capacity to provision identities and maintain devices before proposing deployment.</w:t>
      </w:r>
    </w:p>
    <w:p>
      <w:pPr>
        <w:pStyle w:val="Heading2"/>
      </w:pPr>
      <w:r>
        <w:t>Exercise proposal</w:t>
      </w:r>
    </w:p>
    <w:p>
      <w:r>
        <w:t>Agree a scenario, participant roster, tested phones, map area, acceptance thresholds and stop conditions. Existing approved procedures stay authoritative. The app records events and recommendations in shadow mode so the team can compare logs safely.</w:t>
      </w:r>
    </w:p>
    <w:p>
      <w:pPr>
        <w:pStyle w:val="Heading2"/>
      </w:pPr>
      <w:r>
        <w:t>Adoption decision</w:t>
      </w:r>
    </w:p>
    <w:p>
      <w:r>
        <w:t>Review the exercise against measurable outcomes. If the system adds work or creates ambiguous state, improve the workflow before expansion. If it passes, negotiate a bounded support agreement and an integration review. Scale one repeatable deployment pattern at a 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Stage</w:t>
            </w:r>
          </w:p>
        </w:tc>
        <w:tc>
          <w:tcPr>
            <w:tcW w:type="dxa" w:w="720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Evidence that permits the next stage</w:t>
            </w:r>
          </w:p>
        </w:tc>
      </w:tr>
      <w:tr>
        <w:trPr>
          <w:cantSplit/>
        </w:trPr>
        <w:tc>
          <w:tcPr>
            <w:tcW w:type="dxa" w:w="288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Demonstration</w:t>
            </w:r>
          </w:p>
        </w:tc>
        <w:tc>
          <w:tcPr>
            <w:tcW w:type="dxa" w:w="72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Named operational owner and specific problem</w:t>
            </w:r>
          </w:p>
        </w:tc>
      </w:tr>
      <w:tr>
        <w:trPr>
          <w:cantSplit/>
        </w:trPr>
        <w:tc>
          <w:tcPr>
            <w:tcW w:type="dxa" w:w="288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Discovery</w:t>
            </w:r>
          </w:p>
        </w:tc>
        <w:tc>
          <w:tcPr>
            <w:tcW w:type="dxa" w:w="72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Documented workflow and proposed success criteria</w:t>
            </w:r>
          </w:p>
        </w:tc>
      </w:tr>
      <w:tr>
        <w:trPr>
          <w:cantSplit/>
        </w:trPr>
        <w:tc>
          <w:tcPr>
            <w:tcW w:type="dxa" w:w="288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Controlled exercise</w:t>
            </w:r>
          </w:p>
        </w:tc>
        <w:tc>
          <w:tcPr>
            <w:tcW w:type="dxa" w:w="72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Measured technical and human performance</w:t>
            </w:r>
          </w:p>
        </w:tc>
      </w:tr>
      <w:tr>
        <w:trPr>
          <w:cantSplit/>
        </w:trPr>
        <w:tc>
          <w:tcPr>
            <w:tcW w:type="dxa" w:w="288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Limited adoption</w:t>
            </w:r>
          </w:p>
        </w:tc>
        <w:tc>
          <w:tcPr>
            <w:tcW w:type="dxa" w:w="72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Governance, support and procurement approval</w:t>
            </w:r>
          </w:p>
        </w:tc>
      </w:tr>
    </w:tbl>
    <w:p>
      <w:pPr>
        <w:spacing w:after="20"/>
      </w:pPr>
    </w:p>
    <w:p>
      <w:pPr>
        <w:pStyle w:val="Caption"/>
        <w:spacing w:before="180"/>
      </w:pPr>
      <w:r>
        <w:t>Go-to-market recommendation aligned with the fair’s Innovate to Market theme [S05]. No organizer-specific judging rubric is assumed.</w:t>
      </w:r>
    </w:p>
    <w:p>
      <w:r>
        <w:br w:type="page"/>
      </w:r>
    </w:p>
    <w:p>
      <w:pPr>
        <w:pStyle w:val="Caption"/>
      </w:pPr>
      <w:r>
        <w:t>12     /     THE MARKET</w:t>
      </w:r>
    </w:p>
    <w:p>
      <w:pPr>
        <w:pStyle w:val="Heading1"/>
      </w:pPr>
      <w:r>
        <w:t>Customer validation plan</w:t>
      </w:r>
    </w:p>
    <w:p>
      <w:pPr>
        <w:spacing w:after="260"/>
      </w:pPr>
      <w:r>
        <w:rPr>
          <w:color w:val="216E75"/>
          <w:sz w:val="30"/>
        </w:rPr>
        <w:t>The first research should challenge the assumptions most likely to prevent adoption.</w:t>
      </w:r>
    </w:p>
    <w:p>
      <w:pPr>
        <w:pStyle w:val="Heading2"/>
      </w:pPr>
      <w:r>
        <w:t>Research design</w:t>
      </w:r>
    </w:p>
    <w:p>
      <w:r>
        <w:t>Conduct approximately 12 semi-structured interviews across operational leads, clinic or hospital staff, volunteer supervisors and budget owners. This is a proposed sample, not completed research. Ask participants to reconstruct a recent coordination episode before showing the app.</w:t>
      </w:r>
    </w:p>
    <w:p>
      <w:pPr>
        <w:pStyle w:val="Heading2"/>
      </w:pPr>
      <w:r>
        <w:t>Questions worth answering</w:t>
      </w:r>
    </w:p>
    <w:p>
      <w:r>
        <w:t>Which records are lost or duplicated? How long can teams be out of contact? Who may redirect cargo? What devices and power arrangements exist? What is the current paper or radio fallback? Who would pay for training and seasonal readiness? Ask for examples rather than general enthusiasm.</w:t>
      </w:r>
    </w:p>
    <w:p>
      <w:pPr>
        <w:pStyle w:val="Heading2"/>
      </w:pPr>
      <w:r>
        <w:t>Observed task test</w:t>
      </w:r>
    </w:p>
    <w:p>
      <w:r>
        <w:t>After consent and a short briefing, ask participants to create a request, interpret queued versus received status, resolve a conflict and verify a handoff. Record task completion, time, help requests and critical mistakes in Bangla and English. Use test identities and synthetic cargo only.</w:t>
      </w:r>
    </w:p>
    <w:p>
      <w:pPr>
        <w:pStyle w:val="Heading2"/>
      </w:pPr>
      <w:r>
        <w:t>Decision criteria</w:t>
      </w:r>
    </w:p>
    <w:p>
      <w:r>
        <w:t>Before research starts, define what would justify stopping or changing the product. Examples include no identifiable owner, unacceptable training burden, unreliable supported phones or a preference for a simpler existing tool. A useful result may narrow the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816"/>
      </w:tblGrid>
      <w:tr>
        <w:trPr>
          <w:cantSplit/>
          <w:tblHeader/>
        </w:trPr>
        <w:tc>
          <w:tcPr>
            <w:tcW w:type="dxa" w:w="2664"/>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Hypothesis</w:t>
            </w:r>
          </w:p>
        </w:tc>
        <w:tc>
          <w:tcPr>
            <w:tcW w:type="dxa" w:w="360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Method</w:t>
            </w:r>
          </w:p>
        </w:tc>
        <w:tc>
          <w:tcPr>
            <w:tcW w:type="dxa" w:w="3816"/>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Disconfirming signal</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Offline continuity matters</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Reconstruct past incidents</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Current procedure already solves it</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The interface is learnable</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Observed bilingual tasks</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Repeated critical errors</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An institution will own it</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Budget and procedure interviews</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No administrator or sponsor</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Integrated workflow saves effort</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Compare complete task sequence</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More work than the baseline</w:t>
            </w:r>
          </w:p>
        </w:tc>
      </w:tr>
    </w:tbl>
    <w:p>
      <w:pPr>
        <w:spacing w:after="20"/>
      </w:pPr>
    </w:p>
    <w:p>
      <w:pPr>
        <w:pStyle w:val="Caption"/>
        <w:spacing w:before="180"/>
      </w:pPr>
      <w:r>
        <w:t>Proposed primary research. No interviews, survey percentages or testimonials have been fabricated.</w:t>
      </w:r>
    </w:p>
    <w:p>
      <w:r>
        <w:br w:type="page"/>
      </w:r>
    </w:p>
    <w:p>
      <w:pPr>
        <w:pStyle w:val="Caption"/>
      </w:pPr>
      <w:r>
        <w:t>13     /     THE PRODUCT</w:t>
      </w:r>
    </w:p>
    <w:p>
      <w:pPr>
        <w:pStyle w:val="Heading1"/>
      </w:pPr>
      <w:r>
        <w:t>The product at a glance</w:t>
      </w:r>
    </w:p>
    <w:p>
      <w:pPr>
        <w:spacing w:after="260"/>
      </w:pPr>
      <w:r>
        <w:rPr>
          <w:color w:val="216E75"/>
          <w:sz w:val="30"/>
        </w:rPr>
        <w:t>Eight module paths share the same local event and trust model.</w:t>
      </w:r>
    </w:p>
    <w:p>
      <w:pPr>
        <w:pStyle w:val="Heading2"/>
      </w:pPr>
      <w:r>
        <w:t>One continuous workflow</w:t>
      </w:r>
    </w:p>
    <w:p>
      <w:r>
        <w:t>Identity controls who can act. Local storage preserves the action. Relay carries it to another phone. Routing and risk help explain transport choices. Priority review records a human decision. Signed custody closes the handoff. The project’s central technical idea is that these steps can share a durable offline record.</w:t>
      </w:r>
    </w:p>
    <w:p>
      <w:pPr>
        <w:pStyle w:val="Heading2"/>
      </w:pPr>
      <w:r>
        <w:t>Demonstration boundary</w:t>
      </w:r>
    </w:p>
    <w:p>
      <w:r>
        <w:t>Truck, boat and drone movement is simulated. Environmental inputs and route failures are simulated. No sensor, IoT device or physical drone is required or controlled. The Android UI, local storage, cryptographic operations and bundled inference are actual software paths with recorded test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816"/>
      </w:tblGrid>
      <w:tr>
        <w:trPr>
          <w:cantSplit/>
          <w:tblHeader/>
        </w:trPr>
        <w:tc>
          <w:tcPr>
            <w:tcW w:type="dxa" w:w="2664"/>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Module</w:t>
            </w:r>
          </w:p>
        </w:tc>
        <w:tc>
          <w:tcPr>
            <w:tcW w:type="dxa" w:w="360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Capability</w:t>
            </w:r>
          </w:p>
        </w:tc>
        <w:tc>
          <w:tcPr>
            <w:tcW w:type="dxa" w:w="3816"/>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Visible evidence</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M1</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Offline identity and role enforcement</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Trust and denied-action screens</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M2</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Conflict-aware local records</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Conflict review and resolution</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M3</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Encrypted store-and-forward relay</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Nearby service and durable queue</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M4</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Multimodal route search</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Truck failure and boat fallback</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M5</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Signed proof of delivery</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Accepted, replay and tamper states</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M6</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Priority preemption</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SLA warning and confirmed decision</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M7</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On-device route-risk model</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Labelled synthetic input and reroute</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M8</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Hybrid fleet rendezvous</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Simulated delay and custody transfer</w:t>
            </w:r>
          </w:p>
        </w:tc>
      </w:tr>
    </w:tbl>
    <w:p>
      <w:pPr>
        <w:spacing w:after="20"/>
      </w:pPr>
    </w:p>
    <w:p>
      <w:pPr>
        <w:pStyle w:val="Caption"/>
        <w:spacing w:before="180"/>
      </w:pPr>
      <w:r>
        <w:t>R01, R02, R05, R06. Working module paths do not mean every physical acceptance gate is complete.</w:t>
      </w:r>
    </w:p>
    <w:p>
      <w:r>
        <w:br w:type="page"/>
      </w:r>
    </w:p>
    <w:p>
      <w:pPr>
        <w:pStyle w:val="Caption"/>
      </w:pPr>
      <w:r>
        <w:t>14     /     THE PRODUCT</w:t>
      </w:r>
    </w:p>
    <w:p>
      <w:pPr>
        <w:pStyle w:val="Heading1"/>
      </w:pPr>
      <w:r>
        <w:t>Two languages one mission</w:t>
      </w:r>
    </w:p>
    <w:p>
      <w:pPr>
        <w:spacing w:after="260"/>
      </w:pPr>
      <w:r>
        <w:rPr>
          <w:color w:val="216E75"/>
          <w:sz w:val="30"/>
        </w:rPr>
        <w:t>Bangla and English ship together and retain the same operational meaning.</w:t>
      </w:r>
    </w:p>
    <w:p>
      <w:pPr>
        <w:pStyle w:val="Heading2"/>
      </w:pPr>
      <w:r>
        <w:t>Design purpose</w:t>
      </w:r>
    </w:p>
    <w:p>
      <w:r>
        <w:t>Field teams should not need internet to download a language pack. Domain codes remain language neutral so a Bangla request and an English receiver can represent the same mission state. Switching the interface must not reset a form or create a different event.</w:t>
      </w:r>
    </w:p>
    <w:p>
      <w:pPr>
        <w:pStyle w:val="Heading2"/>
      </w:pPr>
      <w:r>
        <w:t>What remains to test</w:t>
      </w:r>
    </w:p>
    <w:p>
      <w:r>
        <w:t>Automated string parity and emulator journeys support implementation coverage. Human review still needs to test comprehension, wrapping, TalkBack, low literacy and task completion on the actual phones.</w:t>
      </w:r>
    </w:p>
    <w:p>
      <w:pPr>
        <w:spacing w:before="140" w:after="140"/>
        <w:jc w:val="center"/>
      </w:pPr>
      <w:r>
        <w:drawing>
          <wp:inline xmlns:a="http://schemas.openxmlformats.org/drawingml/2006/main" xmlns:pic="http://schemas.openxmlformats.org/drawingml/2006/picture">
            <wp:extent cx="1885150" cy="4206240"/>
            <wp:docPr id="2" name="Picture 2" descr="First-run language choice. Both interfaces are bundled."/>
            <wp:cNvGraphicFramePr>
              <a:graphicFrameLocks noChangeAspect="1"/>
            </wp:cNvGraphicFramePr>
            <a:graphic>
              <a:graphicData uri="http://schemas.openxmlformats.org/drawingml/2006/picture">
                <pic:pic>
                  <pic:nvPicPr>
                    <pic:cNvPr id="0" name="00-field-bilingual-language-choice-1280x2856.png"/>
                    <pic:cNvPicPr/>
                  </pic:nvPicPr>
                  <pic:blipFill>
                    <a:blip r:embed="rId12"/>
                    <a:stretch>
                      <a:fillRect/>
                    </a:stretch>
                  </pic:blipFill>
                  <pic:spPr>
                    <a:xfrm>
                      <a:off x="0" y="0"/>
                      <a:ext cx="1885150" cy="4206240"/>
                    </a:xfrm>
                    <a:prstGeom prst="rect"/>
                  </pic:spPr>
                </pic:pic>
              </a:graphicData>
            </a:graphic>
          </wp:inline>
        </w:drawing>
      </w:r>
      <w:r>
        <w:t xml:space="preserve">    </w:t>
      </w:r>
      <w:r>
        <w:drawing>
          <wp:inline xmlns:a="http://schemas.openxmlformats.org/drawingml/2006/main" xmlns:pic="http://schemas.openxmlformats.org/drawingml/2006/picture">
            <wp:extent cx="1885150" cy="4206240"/>
            <wp:docPr id="3" name="Picture 3" descr="Bangla field home with an offline operational context."/>
            <wp:cNvGraphicFramePr>
              <a:graphicFrameLocks noChangeAspect="1"/>
            </wp:cNvGraphicFramePr>
            <a:graphic>
              <a:graphicData uri="http://schemas.openxmlformats.org/drawingml/2006/picture">
                <pic:pic>
                  <pic:nvPicPr>
                    <pic:cNvPr id="0" name="android-home-bn.png"/>
                    <pic:cNvPicPr/>
                  </pic:nvPicPr>
                  <pic:blipFill>
                    <a:blip r:embed="rId13"/>
                    <a:stretch>
                      <a:fillRect/>
                    </a:stretch>
                  </pic:blipFill>
                  <pic:spPr>
                    <a:xfrm>
                      <a:off x="0" y="0"/>
                      <a:ext cx="1885150" cy="4206240"/>
                    </a:xfrm>
                    <a:prstGeom prst="rect"/>
                  </pic:spPr>
                </pic:pic>
              </a:graphicData>
            </a:graphic>
          </wp:inline>
        </w:drawing>
      </w:r>
    </w:p>
    <w:p>
      <w:pPr>
        <w:pStyle w:val="Caption"/>
      </w:pPr>
      <w:r>
        <w:t>01  First-run language choice. Both interfaces are bundled.</w:t>
      </w:r>
    </w:p>
    <w:p>
      <w:pPr>
        <w:pStyle w:val="Caption"/>
      </w:pPr>
      <w:r>
        <w:t>02  Bangla field home with an offline operational context.</w:t>
      </w:r>
    </w:p>
    <w:p>
      <w:pPr>
        <w:pStyle w:val="Caption"/>
        <w:spacing w:before="180"/>
      </w:pPr>
      <w:r>
        <w:t>R01, R02, R06. Actual application captures. Human inclusion outcomes remain unmeasured.</w:t>
      </w:r>
    </w:p>
    <w:p>
      <w:r>
        <w:br w:type="page"/>
      </w:r>
    </w:p>
    <w:p>
      <w:pPr>
        <w:pStyle w:val="Caption"/>
      </w:pPr>
      <w:r>
        <w:t>15     /     THE PRODUCT</w:t>
      </w:r>
    </w:p>
    <w:p>
      <w:pPr>
        <w:pStyle w:val="Heading1"/>
      </w:pPr>
      <w:r>
        <w:t>Offline identity and authority</w:t>
      </w:r>
    </w:p>
    <w:p>
      <w:pPr>
        <w:spacing w:after="260"/>
      </w:pPr>
      <w:r>
        <w:rPr>
          <w:color w:val="216E75"/>
          <w:sz w:val="30"/>
        </w:rPr>
        <w:t>A selected profile cannot grant itself permission to act.</w:t>
      </w:r>
    </w:p>
    <w:p>
      <w:pPr>
        <w:pStyle w:val="Heading2"/>
      </w:pPr>
      <w:r>
        <w:t>Trust model</w:t>
      </w:r>
    </w:p>
    <w:p>
      <w:r>
        <w:t>A phone needs an administrator-signed credential bound to its node, role and Keystore keys. Offline PIN unlock controls local access. The app checks authorization again at the action boundary, so hiding a button is not the only defense.</w:t>
      </w:r>
    </w:p>
    <w:p>
      <w:pPr>
        <w:pStyle w:val="Heading2"/>
      </w:pPr>
      <w:r>
        <w:t>Evidence and limit</w:t>
      </w:r>
    </w:p>
    <w:p>
      <w:r>
        <w:t>The screenshots show trusted provisioning and a refused role action. Recorded tests cover invalid role bindings and related trust checks. Physical QR provisioning and hostile-phone exchange still need real-device trials.</w:t>
      </w:r>
    </w:p>
    <w:p>
      <w:pPr>
        <w:spacing w:before="140" w:after="140"/>
        <w:jc w:val="center"/>
      </w:pPr>
      <w:r>
        <w:drawing>
          <wp:inline xmlns:a="http://schemas.openxmlformats.org/drawingml/2006/main" xmlns:pic="http://schemas.openxmlformats.org/drawingml/2006/picture">
            <wp:extent cx="1885150" cy="4206240"/>
            <wp:docPr id="4" name="Picture 4" descr="Bangla provisioning state after trusted credential installation."/>
            <wp:cNvGraphicFramePr>
              <a:graphicFrameLocks noChangeAspect="1"/>
            </wp:cNvGraphicFramePr>
            <a:graphic>
              <a:graphicData uri="http://schemas.openxmlformats.org/drawingml/2006/picture">
                <pic:pic>
                  <pic:nvPicPr>
                    <pic:cNvPr id="0" name="09-field-bn-offline-provisioning-trusted-1280x2856.png"/>
                    <pic:cNvPicPr/>
                  </pic:nvPicPr>
                  <pic:blipFill>
                    <a:blip r:embed="rId14"/>
                    <a:stretch>
                      <a:fillRect/>
                    </a:stretch>
                  </pic:blipFill>
                  <pic:spPr>
                    <a:xfrm>
                      <a:off x="0" y="0"/>
                      <a:ext cx="1885150" cy="4206240"/>
                    </a:xfrm>
                    <a:prstGeom prst="rect"/>
                  </pic:spPr>
                </pic:pic>
              </a:graphicData>
            </a:graphic>
          </wp:inline>
        </w:drawing>
      </w:r>
      <w:r>
        <w:t xml:space="preserve">    </w:t>
      </w:r>
      <w:r>
        <w:drawing>
          <wp:inline xmlns:a="http://schemas.openxmlformats.org/drawingml/2006/main" xmlns:pic="http://schemas.openxmlformats.org/drawingml/2006/picture">
            <wp:extent cx="1885150" cy="4206240"/>
            <wp:docPr id="5" name="Picture 5" descr="English role denial. Unauthorized activity remains blocked."/>
            <wp:cNvGraphicFramePr>
              <a:graphicFrameLocks noChangeAspect="1"/>
            </wp:cNvGraphicFramePr>
            <a:graphic>
              <a:graphicData uri="http://schemas.openxmlformats.org/drawingml/2006/picture">
                <pic:pic>
                  <pic:nvPicPr>
                    <pic:cNvPr id="0" name="02-field-en-role-denied-1280x2856.png"/>
                    <pic:cNvPicPr/>
                  </pic:nvPicPr>
                  <pic:blipFill>
                    <a:blip r:embed="rId15"/>
                    <a:stretch>
                      <a:fillRect/>
                    </a:stretch>
                  </pic:blipFill>
                  <pic:spPr>
                    <a:xfrm>
                      <a:off x="0" y="0"/>
                      <a:ext cx="1885150" cy="4206240"/>
                    </a:xfrm>
                    <a:prstGeom prst="rect"/>
                  </pic:spPr>
                </pic:pic>
              </a:graphicData>
            </a:graphic>
          </wp:inline>
        </w:drawing>
      </w:r>
    </w:p>
    <w:p>
      <w:pPr>
        <w:pStyle w:val="Caption"/>
      </w:pPr>
      <w:r>
        <w:t>01  Bangla provisioning state after trusted credential installation.</w:t>
      </w:r>
    </w:p>
    <w:p>
      <w:pPr>
        <w:pStyle w:val="Caption"/>
      </w:pPr>
      <w:r>
        <w:t>02  English role denial. Unauthorized activity remains blocked.</w:t>
      </w:r>
    </w:p>
    <w:p>
      <w:pPr>
        <w:pStyle w:val="Caption"/>
        <w:spacing w:before="180"/>
      </w:pPr>
      <w:r>
        <w:t>M1. R01, R02, R05, R06, R07.</w:t>
      </w:r>
    </w:p>
    <w:p>
      <w:r>
        <w:br w:type="page"/>
      </w:r>
    </w:p>
    <w:p>
      <w:pPr>
        <w:pStyle w:val="Caption"/>
      </w:pPr>
      <w:r>
        <w:t>16     /     THE PRODUCT</w:t>
      </w:r>
    </w:p>
    <w:p>
      <w:pPr>
        <w:pStyle w:val="Heading1"/>
      </w:pPr>
      <w:r>
        <w:t>An urgent request stored locally</w:t>
      </w:r>
    </w:p>
    <w:p>
      <w:pPr>
        <w:spacing w:after="260"/>
      </w:pPr>
      <w:r>
        <w:rPr>
          <w:color w:val="216E75"/>
          <w:sz w:val="30"/>
        </w:rPr>
        <w:t>The sender commits the request before attempting transfer.</w:t>
      </w:r>
    </w:p>
    <w:p>
      <w:pPr>
        <w:pStyle w:val="Heading2"/>
      </w:pPr>
      <w:r>
        <w:t>What happens</w:t>
      </w:r>
    </w:p>
    <w:p>
      <w:r>
        <w:t>The form becomes a language-neutral Protobuf event. The app encrypts the delivery payload for the intended recipient and atomically stores the operation and envelope in its local outbox. A queued request remains visible when a network transfer cannot proceed.</w:t>
      </w:r>
    </w:p>
    <w:p>
      <w:pPr>
        <w:pStyle w:val="Heading2"/>
      </w:pPr>
      <w:r>
        <w:t>Why it matters</w:t>
      </w:r>
    </w:p>
    <w:p>
      <w:r>
        <w:t>Queued does not mean delivered. The operator needs to distinguish saved, relayed and accepted states. Recipient-only decryption has connected-test evidence. The physical end-to-end radio journey remains an open gate.</w:t>
      </w:r>
    </w:p>
    <w:p>
      <w:pPr>
        <w:spacing w:before="140" w:after="140"/>
        <w:jc w:val="center"/>
      </w:pPr>
      <w:r>
        <w:drawing>
          <wp:inline xmlns:a="http://schemas.openxmlformats.org/drawingml/2006/main" xmlns:pic="http://schemas.openxmlformats.org/drawingml/2006/picture">
            <wp:extent cx="1885150" cy="4206240"/>
            <wp:docPr id="6" name="Picture 6" descr="Bangla urgent request in the field application."/>
            <wp:cNvGraphicFramePr>
              <a:graphicFrameLocks noChangeAspect="1"/>
            </wp:cNvGraphicFramePr>
            <a:graphic>
              <a:graphicData uri="http://schemas.openxmlformats.org/drawingml/2006/picture">
                <pic:pic>
                  <pic:nvPicPr>
                    <pic:cNvPr id="0" name="03-field-bn-p0-request-1280x2856.png"/>
                    <pic:cNvPicPr/>
                  </pic:nvPicPr>
                  <pic:blipFill>
                    <a:blip r:embed="rId16"/>
                    <a:stretch>
                      <a:fillRect/>
                    </a:stretch>
                  </pic:blipFill>
                  <pic:spPr>
                    <a:xfrm>
                      <a:off x="0" y="0"/>
                      <a:ext cx="1885150" cy="4206240"/>
                    </a:xfrm>
                    <a:prstGeom prst="rect"/>
                  </pic:spPr>
                </pic:pic>
              </a:graphicData>
            </a:graphic>
          </wp:inline>
        </w:drawing>
      </w:r>
      <w:r>
        <w:t xml:space="preserve">    </w:t>
      </w:r>
      <w:r>
        <w:drawing>
          <wp:inline xmlns:a="http://schemas.openxmlformats.org/drawingml/2006/main" xmlns:pic="http://schemas.openxmlformats.org/drawingml/2006/picture">
            <wp:extent cx="1885150" cy="4206240"/>
            <wp:docPr id="7" name="Picture 7" descr="Equivalent English request workflow and priority context."/>
            <wp:cNvGraphicFramePr>
              <a:graphicFrameLocks noChangeAspect="1"/>
            </wp:cNvGraphicFramePr>
            <a:graphic>
              <a:graphicData uri="http://schemas.openxmlformats.org/drawingml/2006/picture">
                <pic:pic>
                  <pic:nvPicPr>
                    <pic:cNvPr id="0" name="03-field-en-p0-request-1280x2856.png"/>
                    <pic:cNvPicPr/>
                  </pic:nvPicPr>
                  <pic:blipFill>
                    <a:blip r:embed="rId17"/>
                    <a:stretch>
                      <a:fillRect/>
                    </a:stretch>
                  </pic:blipFill>
                  <pic:spPr>
                    <a:xfrm>
                      <a:off x="0" y="0"/>
                      <a:ext cx="1885150" cy="4206240"/>
                    </a:xfrm>
                    <a:prstGeom prst="rect"/>
                  </pic:spPr>
                </pic:pic>
              </a:graphicData>
            </a:graphic>
          </wp:inline>
        </w:drawing>
      </w:r>
    </w:p>
    <w:p>
      <w:pPr>
        <w:pStyle w:val="Caption"/>
      </w:pPr>
      <w:r>
        <w:t>01  Bangla urgent request in the field application.</w:t>
      </w:r>
    </w:p>
    <w:p>
      <w:pPr>
        <w:pStyle w:val="Caption"/>
      </w:pPr>
      <w:r>
        <w:t>02  Equivalent English request workflow and priority context.</w:t>
      </w:r>
    </w:p>
    <w:p>
      <w:pPr>
        <w:pStyle w:val="Caption"/>
        <w:spacing w:before="180"/>
      </w:pPr>
      <w:r>
        <w:t>M1–M3. R01, R02, R05, R06. Test and demo identities only.</w:t>
      </w:r>
    </w:p>
    <w:p>
      <w:r>
        <w:br w:type="page"/>
      </w:r>
    </w:p>
    <w:p>
      <w:pPr>
        <w:pStyle w:val="Caption"/>
      </w:pPr>
      <w:r>
        <w:t>17     /     THE PRODUCT</w:t>
      </w:r>
    </w:p>
    <w:p>
      <w:pPr>
        <w:pStyle w:val="Heading1"/>
      </w:pPr>
      <w:r>
        <w:t>Nearby encrypted relay</w:t>
      </w:r>
    </w:p>
    <w:p>
      <w:pPr>
        <w:spacing w:after="260"/>
      </w:pPr>
      <w:r>
        <w:rPr>
          <w:color w:val="216E75"/>
          <w:sz w:val="30"/>
        </w:rPr>
        <w:t>Phones store and carry envelopes until another trusted peer becomes reachable.</w:t>
      </w:r>
    </w:p>
    <w:p>
      <w:pPr>
        <w:pStyle w:val="Heading2"/>
      </w:pPr>
      <w:r>
        <w:t>Active relay behavior</w:t>
      </w:r>
    </w:p>
    <w:p>
      <w:r>
        <w:t>Nearby Connections uses a visible Android foreground service for discovery and transfer. Human comparison digits and signed peer challenges establish trust before message acceptance. Durable queues, acknowledgements, expiry, hop limits and duplicate rejection belong to the application layer.</w:t>
      </w:r>
    </w:p>
    <w:p>
      <w:pPr>
        <w:pStyle w:val="Heading2"/>
      </w:pPr>
      <w:r>
        <w:t>Evidence boundary</w:t>
      </w:r>
    </w:p>
    <w:p>
      <w:r>
        <w:t>These captures show the service active on an emulator. They establish UI and single-device lifecycle behavior. They do not establish range or a successful A-to-B-to-C physical radio exchange.</w:t>
      </w:r>
    </w:p>
    <w:p>
      <w:pPr>
        <w:spacing w:before="140" w:after="140"/>
        <w:jc w:val="center"/>
      </w:pPr>
      <w:r>
        <w:drawing>
          <wp:inline xmlns:a="http://schemas.openxmlformats.org/drawingml/2006/main" xmlns:pic="http://schemas.openxmlformats.org/drawingml/2006/picture">
            <wp:extent cx="1885150" cy="4206240"/>
            <wp:docPr id="8" name="Picture 8" descr="Bangla relay session with explicit active-state information."/>
            <wp:cNvGraphicFramePr>
              <a:graphicFrameLocks noChangeAspect="1"/>
            </wp:cNvGraphicFramePr>
            <a:graphic>
              <a:graphicData uri="http://schemas.openxmlformats.org/drawingml/2006/picture">
                <pic:pic>
                  <pic:nvPicPr>
                    <pic:cNvPr id="0" name="10-field-bn-nearby-relay-active-1280x2856.png"/>
                    <pic:cNvPicPr/>
                  </pic:nvPicPr>
                  <pic:blipFill>
                    <a:blip r:embed="rId18"/>
                    <a:stretch>
                      <a:fillRect/>
                    </a:stretch>
                  </pic:blipFill>
                  <pic:spPr>
                    <a:xfrm>
                      <a:off x="0" y="0"/>
                      <a:ext cx="1885150" cy="4206240"/>
                    </a:xfrm>
                    <a:prstGeom prst="rect"/>
                  </pic:spPr>
                </pic:pic>
              </a:graphicData>
            </a:graphic>
          </wp:inline>
        </w:drawing>
      </w:r>
      <w:r>
        <w:t xml:space="preserve">    </w:t>
      </w:r>
      <w:r>
        <w:drawing>
          <wp:inline xmlns:a="http://schemas.openxmlformats.org/drawingml/2006/main" xmlns:pic="http://schemas.openxmlformats.org/drawingml/2006/picture">
            <wp:extent cx="1885150" cy="4206240"/>
            <wp:docPr id="9" name="Picture 9" descr="English relay view from the same evidence family."/>
            <wp:cNvGraphicFramePr>
              <a:graphicFrameLocks noChangeAspect="1"/>
            </wp:cNvGraphicFramePr>
            <a:graphic>
              <a:graphicData uri="http://schemas.openxmlformats.org/drawingml/2006/picture">
                <pic:pic>
                  <pic:nvPicPr>
                    <pic:cNvPr id="0" name="10-field-en-nearby-relay-active-1280x2856.png"/>
                    <pic:cNvPicPr/>
                  </pic:nvPicPr>
                  <pic:blipFill>
                    <a:blip r:embed="rId19"/>
                    <a:stretch>
                      <a:fillRect/>
                    </a:stretch>
                  </pic:blipFill>
                  <pic:spPr>
                    <a:xfrm>
                      <a:off x="0" y="0"/>
                      <a:ext cx="1885150" cy="4206240"/>
                    </a:xfrm>
                    <a:prstGeom prst="rect"/>
                  </pic:spPr>
                </pic:pic>
              </a:graphicData>
            </a:graphic>
          </wp:inline>
        </w:drawing>
      </w:r>
    </w:p>
    <w:p>
      <w:pPr>
        <w:pStyle w:val="Caption"/>
      </w:pPr>
      <w:r>
        <w:t>01  Bangla relay session with explicit active-state information.</w:t>
      </w:r>
    </w:p>
    <w:p>
      <w:pPr>
        <w:pStyle w:val="Caption"/>
      </w:pPr>
      <w:r>
        <w:t>02  English relay view from the same evidence family.</w:t>
      </w:r>
    </w:p>
    <w:p>
      <w:pPr>
        <w:pStyle w:val="Caption"/>
        <w:spacing w:before="180"/>
      </w:pPr>
      <w:r>
        <w:t>M3. R01, R02, R05, R06. Radio distance and real-phone delivery rates are not claimed.</w:t>
      </w:r>
    </w:p>
    <w:p>
      <w:r>
        <w:br w:type="page"/>
      </w:r>
    </w:p>
    <w:p>
      <w:pPr>
        <w:pStyle w:val="Caption"/>
      </w:pPr>
      <w:r>
        <w:t>18     /     THE PRODUCT</w:t>
      </w:r>
    </w:p>
    <w:p>
      <w:pPr>
        <w:pStyle w:val="Heading1"/>
      </w:pPr>
      <w:r>
        <w:t>Conflicts receive a human decision</w:t>
      </w:r>
    </w:p>
    <w:p>
      <w:pPr>
        <w:spacing w:after="260"/>
      </w:pPr>
      <w:r>
        <w:rPr>
          <w:color w:val="216E75"/>
          <w:sz w:val="30"/>
        </w:rPr>
        <w:t>Concurrent safety-sensitive edits remain visible until an authorized coordinator resolves them.</w:t>
      </w:r>
    </w:p>
    <w:p>
      <w:pPr>
        <w:pStyle w:val="Heading2"/>
      </w:pPr>
      <w:r>
        <w:t>Concurrent does not mean latest</w:t>
      </w:r>
    </w:p>
    <w:p>
      <w:r>
        <w:t>Two disconnected devices may change the same destination. Wall-clock time cannot establish which instruction is correct. Vector clocks expose concurrency, while the resolver records the selected value, merged clock, policy version and convergence hash.</w:t>
      </w:r>
    </w:p>
    <w:p>
      <w:pPr>
        <w:pStyle w:val="Heading2"/>
      </w:pPr>
      <w:r>
        <w:t>Safe convergence</w:t>
      </w:r>
    </w:p>
    <w:p>
      <w:r>
        <w:t>The implementation uses different merge rules for sets, inventory counters and unsafe field conflicts. The screenshots show an actual simulated conflict and its resolution. Physical two-phone convergence remains part of acceptance.</w:t>
      </w:r>
    </w:p>
    <w:p>
      <w:pPr>
        <w:spacing w:before="140" w:after="140"/>
        <w:jc w:val="center"/>
      </w:pPr>
      <w:r>
        <w:drawing>
          <wp:inline xmlns:a="http://schemas.openxmlformats.org/drawingml/2006/main" xmlns:pic="http://schemas.openxmlformats.org/drawingml/2006/picture">
            <wp:extent cx="1885150" cy="4206240"/>
            <wp:docPr id="10" name="Picture 10" descr="Two destination versions await a coordinator’s decision."/>
            <wp:cNvGraphicFramePr>
              <a:graphicFrameLocks noChangeAspect="1"/>
            </wp:cNvGraphicFramePr>
            <a:graphic>
              <a:graphicData uri="http://schemas.openxmlformats.org/drawingml/2006/picture">
                <pic:pic>
                  <pic:nvPicPr>
                    <pic:cNvPr id="0" name="11-field-en-conflict-review-1280x2856.png"/>
                    <pic:cNvPicPr/>
                  </pic:nvPicPr>
                  <pic:blipFill>
                    <a:blip r:embed="rId20"/>
                    <a:stretch>
                      <a:fillRect/>
                    </a:stretch>
                  </pic:blipFill>
                  <pic:spPr>
                    <a:xfrm>
                      <a:off x="0" y="0"/>
                      <a:ext cx="1885150" cy="4206240"/>
                    </a:xfrm>
                    <a:prstGeom prst="rect"/>
                  </pic:spPr>
                </pic:pic>
              </a:graphicData>
            </a:graphic>
          </wp:inline>
        </w:drawing>
      </w:r>
      <w:r>
        <w:t xml:space="preserve">    </w:t>
      </w:r>
      <w:r>
        <w:drawing>
          <wp:inline xmlns:a="http://schemas.openxmlformats.org/drawingml/2006/main" xmlns:pic="http://schemas.openxmlformats.org/drawingml/2006/picture">
            <wp:extent cx="1885150" cy="4206240"/>
            <wp:docPr id="11" name="Picture 11" descr="Resolved state records the choice and convergence evidence."/>
            <wp:cNvGraphicFramePr>
              <a:graphicFrameLocks noChangeAspect="1"/>
            </wp:cNvGraphicFramePr>
            <a:graphic>
              <a:graphicData uri="http://schemas.openxmlformats.org/drawingml/2006/picture">
                <pic:pic>
                  <pic:nvPicPr>
                    <pic:cNvPr id="0" name="12-field-en-conflict-resolved-1280x2856.png"/>
                    <pic:cNvPicPr/>
                  </pic:nvPicPr>
                  <pic:blipFill>
                    <a:blip r:embed="rId21"/>
                    <a:stretch>
                      <a:fillRect/>
                    </a:stretch>
                  </pic:blipFill>
                  <pic:spPr>
                    <a:xfrm>
                      <a:off x="0" y="0"/>
                      <a:ext cx="1885150" cy="4206240"/>
                    </a:xfrm>
                    <a:prstGeom prst="rect"/>
                  </pic:spPr>
                </pic:pic>
              </a:graphicData>
            </a:graphic>
          </wp:inline>
        </w:drawing>
      </w:r>
    </w:p>
    <w:p>
      <w:pPr>
        <w:pStyle w:val="Caption"/>
      </w:pPr>
      <w:r>
        <w:t>01  Two destination versions await a coordinator’s decision.</w:t>
      </w:r>
    </w:p>
    <w:p>
      <w:pPr>
        <w:pStyle w:val="Caption"/>
      </w:pPr>
      <w:r>
        <w:t>02  Resolved state records the choice and convergence evidence.</w:t>
      </w:r>
    </w:p>
    <w:p>
      <w:pPr>
        <w:pStyle w:val="Caption"/>
        <w:spacing w:before="180"/>
      </w:pPr>
      <w:r>
        <w:t>M2. R01, R05, R06. The conflict inputs are a labelled disconnected-edit drill.</w:t>
      </w:r>
    </w:p>
    <w:p>
      <w:r>
        <w:br w:type="page"/>
      </w:r>
    </w:p>
    <w:p>
      <w:pPr>
        <w:pStyle w:val="Caption"/>
      </w:pPr>
      <w:r>
        <w:t>19     /     THE PRODUCT</w:t>
      </w:r>
    </w:p>
    <w:p>
      <w:pPr>
        <w:pStyle w:val="Heading1"/>
      </w:pPr>
      <w:r>
        <w:t>Route failure and boat fallback</w:t>
      </w:r>
    </w:p>
    <w:p>
      <w:pPr>
        <w:spacing w:after="260"/>
      </w:pPr>
      <w:r>
        <w:rPr>
          <w:color w:val="216E75"/>
          <w:sz w:val="30"/>
        </w:rPr>
        <w:t>A confirmed failed edge removes the truck path and the phone searches valid alternatives.</w:t>
      </w:r>
    </w:p>
    <w:p>
      <w:pPr>
        <w:pStyle w:val="Heading2"/>
      </w:pPr>
      <w:r>
        <w:t>The seeded route</w:t>
      </w:r>
    </w:p>
    <w:p>
      <w:r>
        <w:t>The initial truck route uses E1 and E3. Simulating an E3 failure causes the routing engine to select the policy-ordered boat alternative E6 and E7. Mode constraints filter the graph before deterministic route search.</w:t>
      </w:r>
    </w:p>
    <w:p>
      <w:pPr>
        <w:pStyle w:val="Heading2"/>
      </w:pPr>
      <w:r>
        <w:t>What the user should understand</w:t>
      </w:r>
    </w:p>
    <w:p>
      <w:r>
        <w:t>A feasible graph path is not proof of physical safety. A real deployment needs maintained map and closure information, a human override and named target-phone latency measurements. The fair route and vehicle movement are simulated.</w:t>
      </w:r>
    </w:p>
    <w:p>
      <w:pPr>
        <w:spacing w:before="140" w:after="140"/>
        <w:jc w:val="center"/>
      </w:pPr>
      <w:r>
        <w:drawing>
          <wp:inline xmlns:a="http://schemas.openxmlformats.org/drawingml/2006/main" xmlns:pic="http://schemas.openxmlformats.org/drawingml/2006/picture">
            <wp:extent cx="1885150" cy="4206240"/>
            <wp:docPr id="12" name="Picture 12" descr="Initial truck route in the Bangla interface."/>
            <wp:cNvGraphicFramePr>
              <a:graphicFrameLocks noChangeAspect="1"/>
            </wp:cNvGraphicFramePr>
            <a:graphic>
              <a:graphicData uri="http://schemas.openxmlformats.org/drawingml/2006/picture">
                <pic:pic>
                  <pic:nvPicPr>
                    <pic:cNvPr id="0" name="13-field-bn-route-initial-1280x2856.png"/>
                    <pic:cNvPicPr/>
                  </pic:nvPicPr>
                  <pic:blipFill>
                    <a:blip r:embed="rId22"/>
                    <a:stretch>
                      <a:fillRect/>
                    </a:stretch>
                  </pic:blipFill>
                  <pic:spPr>
                    <a:xfrm>
                      <a:off x="0" y="0"/>
                      <a:ext cx="1885150" cy="4206240"/>
                    </a:xfrm>
                    <a:prstGeom prst="rect"/>
                  </pic:spPr>
                </pic:pic>
              </a:graphicData>
            </a:graphic>
          </wp:inline>
        </w:drawing>
      </w:r>
      <w:r>
        <w:t xml:space="preserve">    </w:t>
      </w:r>
      <w:r>
        <w:drawing>
          <wp:inline xmlns:a="http://schemas.openxmlformats.org/drawingml/2006/main" xmlns:pic="http://schemas.openxmlformats.org/drawingml/2006/picture">
            <wp:extent cx="1885150" cy="4206240"/>
            <wp:docPr id="13" name="Picture 13" descr="English view after the simulated failure selects a boat route."/>
            <wp:cNvGraphicFramePr>
              <a:graphicFrameLocks noChangeAspect="1"/>
            </wp:cNvGraphicFramePr>
            <a:graphic>
              <a:graphicData uri="http://schemas.openxmlformats.org/drawingml/2006/picture">
                <pic:pic>
                  <pic:nvPicPr>
                    <pic:cNvPr id="0" name="14-field-en-route-rerouted-1280x2856.png"/>
                    <pic:cNvPicPr/>
                  </pic:nvPicPr>
                  <pic:blipFill>
                    <a:blip r:embed="rId23"/>
                    <a:stretch>
                      <a:fillRect/>
                    </a:stretch>
                  </pic:blipFill>
                  <pic:spPr>
                    <a:xfrm>
                      <a:off x="0" y="0"/>
                      <a:ext cx="1885150" cy="4206240"/>
                    </a:xfrm>
                    <a:prstGeom prst="rect"/>
                  </pic:spPr>
                </pic:pic>
              </a:graphicData>
            </a:graphic>
          </wp:inline>
        </w:drawing>
      </w:r>
    </w:p>
    <w:p>
      <w:pPr>
        <w:pStyle w:val="Caption"/>
      </w:pPr>
      <w:r>
        <w:t>01  Initial truck route in the Bangla interface.</w:t>
      </w:r>
    </w:p>
    <w:p>
      <w:pPr>
        <w:pStyle w:val="Caption"/>
      </w:pPr>
      <w:r>
        <w:t>02  English view after the simulated failure selects a boat route.</w:t>
      </w:r>
    </w:p>
    <w:p>
      <w:pPr>
        <w:pStyle w:val="Caption"/>
        <w:spacing w:before="180"/>
      </w:pPr>
      <w:r>
        <w:t>M4. R01, R05, R06. Under-two-second performance remains a target-phone acceptance measurement.</w:t>
      </w:r>
    </w:p>
    <w:p>
      <w:r>
        <w:br w:type="page"/>
      </w:r>
    </w:p>
    <w:p>
      <w:pPr>
        <w:pStyle w:val="Caption"/>
      </w:pPr>
      <w:r>
        <w:t>20     /     THE PRODUCT</w:t>
      </w:r>
    </w:p>
    <w:p>
      <w:pPr>
        <w:pStyle w:val="Heading1"/>
      </w:pPr>
      <w:r>
        <w:t>Priority changes need confirmation</w:t>
      </w:r>
    </w:p>
    <w:p>
      <w:pPr>
        <w:spacing w:after="260"/>
      </w:pPr>
      <w:r>
        <w:rPr>
          <w:color w:val="216E75"/>
          <w:sz w:val="30"/>
        </w:rPr>
        <w:t>The app exposes a predicted deadline breach and records the coordinator’s response.</w:t>
      </w:r>
    </w:p>
    <w:p>
      <w:pPr>
        <w:pStyle w:val="Heading2"/>
      </w:pPr>
      <w:r>
        <w:t>Decision logic</w:t>
      </w:r>
    </w:p>
    <w:p>
      <w:r>
        <w:t>The triage engine considers the cargo SLA, route ETA, a 30 percent slowdown scenario and a safe drop waypoint. In the drill, the longer boat route threatens P0 cargo and prompts a proposal involving P2 cargo. It does not automatically transfer authority or supplies.</w:t>
      </w:r>
    </w:p>
    <w:p>
      <w:pPr>
        <w:pStyle w:val="Heading2"/>
      </w:pPr>
      <w:r>
        <w:t>Guardrails</w:t>
      </w:r>
    </w:p>
    <w:p>
      <w:r>
        <w:t>The policy rejects stale estimates older than five minutes, requires a safe waypoint and records the confirmer, affected cargo and reason. Competing urgent cargo remains visible. The term triage here refers to logistics priority, not diagnosis or clinical decision making.</w:t>
      </w:r>
    </w:p>
    <w:p>
      <w:pPr>
        <w:spacing w:before="140" w:after="140"/>
        <w:jc w:val="center"/>
      </w:pPr>
      <w:r>
        <w:drawing>
          <wp:inline xmlns:a="http://schemas.openxmlformats.org/drawingml/2006/main" xmlns:pic="http://schemas.openxmlformats.org/drawingml/2006/picture">
            <wp:extent cx="1885150" cy="4206240"/>
            <wp:docPr id="14" name="Picture 14" descr="A preemption proposal explains the simulated SLA problem."/>
            <wp:cNvGraphicFramePr>
              <a:graphicFrameLocks noChangeAspect="1"/>
            </wp:cNvGraphicFramePr>
            <a:graphic>
              <a:graphicData uri="http://schemas.openxmlformats.org/drawingml/2006/picture">
                <pic:pic>
                  <pic:nvPicPr>
                    <pic:cNvPr id="0" name="15-field-en-triage-preemption-1280x2856.png"/>
                    <pic:cNvPicPr/>
                  </pic:nvPicPr>
                  <pic:blipFill>
                    <a:blip r:embed="rId24"/>
                    <a:stretch>
                      <a:fillRect/>
                    </a:stretch>
                  </pic:blipFill>
                  <pic:spPr>
                    <a:xfrm>
                      <a:off x="0" y="0"/>
                      <a:ext cx="1885150" cy="4206240"/>
                    </a:xfrm>
                    <a:prstGeom prst="rect"/>
                  </pic:spPr>
                </pic:pic>
              </a:graphicData>
            </a:graphic>
          </wp:inline>
        </w:drawing>
      </w:r>
      <w:r>
        <w:t xml:space="preserve">    </w:t>
      </w:r>
      <w:r>
        <w:drawing>
          <wp:inline xmlns:a="http://schemas.openxmlformats.org/drawingml/2006/main" xmlns:pic="http://schemas.openxmlformats.org/drawingml/2006/picture">
            <wp:extent cx="1885150" cy="4206240"/>
            <wp:docPr id="15" name="Picture 15" descr="Bangla confirmed state retains the decision in the mission."/>
            <wp:cNvGraphicFramePr>
              <a:graphicFrameLocks noChangeAspect="1"/>
            </wp:cNvGraphicFramePr>
            <a:graphic>
              <a:graphicData uri="http://schemas.openxmlformats.org/drawingml/2006/picture">
                <pic:pic>
                  <pic:nvPicPr>
                    <pic:cNvPr id="0" name="16-field-bn-triage-confirmed-1280x2856.png"/>
                    <pic:cNvPicPr/>
                  </pic:nvPicPr>
                  <pic:blipFill>
                    <a:blip r:embed="rId25"/>
                    <a:stretch>
                      <a:fillRect/>
                    </a:stretch>
                  </pic:blipFill>
                  <pic:spPr>
                    <a:xfrm>
                      <a:off x="0" y="0"/>
                      <a:ext cx="1885150" cy="4206240"/>
                    </a:xfrm>
                    <a:prstGeom prst="rect"/>
                  </pic:spPr>
                </pic:pic>
              </a:graphicData>
            </a:graphic>
          </wp:inline>
        </w:drawing>
      </w:r>
    </w:p>
    <w:p>
      <w:pPr>
        <w:pStyle w:val="Caption"/>
      </w:pPr>
      <w:r>
        <w:t>01  A preemption proposal explains the simulated SLA problem.</w:t>
      </w:r>
    </w:p>
    <w:p>
      <w:pPr>
        <w:pStyle w:val="Caption"/>
      </w:pPr>
      <w:r>
        <w:t>02  Bangla confirmed state retains the decision in the mission.</w:t>
      </w:r>
    </w:p>
    <w:p>
      <w:pPr>
        <w:pStyle w:val="Caption"/>
        <w:spacing w:before="180"/>
      </w:pPr>
      <w:r>
        <w:t>M6. R01, R02, R05, R06. Operator confirmation is required.</w:t>
      </w:r>
    </w:p>
    <w:p>
      <w:r>
        <w:br w:type="page"/>
      </w:r>
    </w:p>
    <w:p>
      <w:pPr>
        <w:pStyle w:val="Caption"/>
      </w:pPr>
      <w:r>
        <w:t>21     /     THE PRODUCT</w:t>
      </w:r>
    </w:p>
    <w:p>
      <w:pPr>
        <w:pStyle w:val="Heading1"/>
      </w:pPr>
      <w:r>
        <w:t>On-device route risk</w:t>
      </w:r>
    </w:p>
    <w:p>
      <w:pPr>
        <w:spacing w:after="260"/>
      </w:pPr>
      <w:r>
        <w:rPr>
          <w:color w:val="216E75"/>
          <w:sz w:val="30"/>
        </w:rPr>
        <w:t>A small bundled model demonstrates how a prediction can influence routing offline.</w:t>
      </w:r>
    </w:p>
    <w:p>
      <w:pPr>
        <w:pStyle w:val="Heading2"/>
      </w:pPr>
      <w:r>
        <w:t>Model behavior</w:t>
      </w:r>
    </w:p>
    <w:p>
      <w:r>
        <w:t>The ONNX classifier consumes simulated rainfall, elevation and soil saturation. Crossing its configured probability threshold adds a cost to an edge. A prediction does not become a confirmed closure. The UI exposes the simulated inputs and the resulting route choice.</w:t>
      </w:r>
    </w:p>
    <w:p>
      <w:pPr>
        <w:pStyle w:val="Heading2"/>
      </w:pPr>
      <w:r>
        <w:t>Research boundary</w:t>
      </w:r>
    </w:p>
    <w:p>
      <w:r>
        <w:t>Training and evaluation use deterministic synthetic labels. These screenshots prove the integration path, not Bangladesh flood forecast accuracy. A field model would require real observations, time and location holdouts, calibration and operational review.</w:t>
      </w:r>
    </w:p>
    <w:p>
      <w:pPr>
        <w:spacing w:before="140" w:after="140"/>
        <w:jc w:val="center"/>
      </w:pPr>
      <w:r>
        <w:drawing>
          <wp:inline xmlns:a="http://schemas.openxmlformats.org/drawingml/2006/main" xmlns:pic="http://schemas.openxmlformats.org/drawingml/2006/picture">
            <wp:extent cx="1889434" cy="4206240"/>
            <wp:docPr id="16" name="Picture 16" descr="Bangla model output with visible simulation labelling."/>
            <wp:cNvGraphicFramePr>
              <a:graphicFrameLocks noChangeAspect="1"/>
            </wp:cNvGraphicFramePr>
            <a:graphic>
              <a:graphicData uri="http://schemas.openxmlformats.org/drawingml/2006/picture">
                <pic:pic>
                  <pic:nvPicPr>
                    <pic:cNvPr id="0" name="20-field-bn-onnx-risk-reroute.png"/>
                    <pic:cNvPicPr/>
                  </pic:nvPicPr>
                  <pic:blipFill>
                    <a:blip r:embed="rId26"/>
                    <a:stretch>
                      <a:fillRect/>
                    </a:stretch>
                  </pic:blipFill>
                  <pic:spPr>
                    <a:xfrm>
                      <a:off x="0" y="0"/>
                      <a:ext cx="1889434" cy="4206240"/>
                    </a:xfrm>
                    <a:prstGeom prst="rect"/>
                  </pic:spPr>
                </pic:pic>
              </a:graphicData>
            </a:graphic>
          </wp:inline>
        </w:drawing>
      </w:r>
      <w:r>
        <w:t xml:space="preserve">    </w:t>
      </w:r>
      <w:r>
        <w:drawing>
          <wp:inline xmlns:a="http://schemas.openxmlformats.org/drawingml/2006/main" xmlns:pic="http://schemas.openxmlformats.org/drawingml/2006/picture">
            <wp:extent cx="1889434" cy="4206240"/>
            <wp:docPr id="17" name="Picture 17" descr="English risk interpretation and proactive route result."/>
            <wp:cNvGraphicFramePr>
              <a:graphicFrameLocks noChangeAspect="1"/>
            </wp:cNvGraphicFramePr>
            <a:graphic>
              <a:graphicData uri="http://schemas.openxmlformats.org/drawingml/2006/picture">
                <pic:pic>
                  <pic:nvPicPr>
                    <pic:cNvPr id="0" name="20-field-en-onnx-risk-reroute.png"/>
                    <pic:cNvPicPr/>
                  </pic:nvPicPr>
                  <pic:blipFill>
                    <a:blip r:embed="rId27"/>
                    <a:stretch>
                      <a:fillRect/>
                    </a:stretch>
                  </pic:blipFill>
                  <pic:spPr>
                    <a:xfrm>
                      <a:off x="0" y="0"/>
                      <a:ext cx="1889434" cy="4206240"/>
                    </a:xfrm>
                    <a:prstGeom prst="rect"/>
                  </pic:spPr>
                </pic:pic>
              </a:graphicData>
            </a:graphic>
          </wp:inline>
        </w:drawing>
      </w:r>
    </w:p>
    <w:p>
      <w:pPr>
        <w:pStyle w:val="Caption"/>
      </w:pPr>
      <w:r>
        <w:t>01  Bangla model output with visible simulation labelling.</w:t>
      </w:r>
    </w:p>
    <w:p>
      <w:pPr>
        <w:pStyle w:val="Caption"/>
      </w:pPr>
      <w:r>
        <w:t>02  English risk interpretation and proactive route result.</w:t>
      </w:r>
    </w:p>
    <w:p>
      <w:pPr>
        <w:pStyle w:val="Caption"/>
        <w:spacing w:before="180"/>
      </w:pPr>
      <w:r>
        <w:t>M7. R02, R04, R05, R06. No live sensor feed or live weather service is used.</w:t>
      </w:r>
    </w:p>
    <w:p>
      <w:r>
        <w:br w:type="page"/>
      </w:r>
    </w:p>
    <w:p>
      <w:pPr>
        <w:pStyle w:val="Caption"/>
      </w:pPr>
      <w:r>
        <w:t>22     /     THE PRODUCT</w:t>
      </w:r>
    </w:p>
    <w:p>
      <w:pPr>
        <w:pStyle w:val="Heading1"/>
      </w:pPr>
      <w:r>
        <w:t>Signed proof of delivery</w:t>
      </w:r>
    </w:p>
    <w:p>
      <w:pPr>
        <w:spacing w:after="260"/>
      </w:pPr>
      <w:r>
        <w:rPr>
          <w:color w:val="216E75"/>
          <w:sz w:val="30"/>
        </w:rPr>
        <w:t>The receiver verifies the offer and accepts custody once.</w:t>
      </w:r>
    </w:p>
    <w:p>
      <w:pPr>
        <w:pStyle w:val="Heading2"/>
      </w:pPr>
      <w:r>
        <w:t>Acceptance and rejection</w:t>
      </w:r>
    </w:p>
    <w:p>
      <w:r>
        <w:t>A signed Protobuf QR binds the mission, delivery, sender, recipient, payload hash and nonce. The receiver verifies trust and signatures, atomically claims the nonce and writes a linked two-party receipt. Replaying the offer or altering trusted fields must fail without a second custody change.</w:t>
      </w:r>
    </w:p>
    <w:p>
      <w:pPr>
        <w:pStyle w:val="Heading2"/>
      </w:pPr>
      <w:r>
        <w:t>Evidence boundary</w:t>
      </w:r>
    </w:p>
    <w:p>
      <w:r>
        <w:t>The software uses actual Android Keystore signing and local verification. The pictured cargo and handoff belong to the simulated rehearsal. Real-camera scanning between phones in airplane mode remains an acceptance gate.</w:t>
      </w:r>
    </w:p>
    <w:p>
      <w:pPr>
        <w:spacing w:before="140" w:after="140"/>
        <w:jc w:val="center"/>
      </w:pPr>
      <w:r>
        <w:drawing>
          <wp:inline xmlns:a="http://schemas.openxmlformats.org/drawingml/2006/main" xmlns:pic="http://schemas.openxmlformats.org/drawingml/2006/picture">
            <wp:extent cx="1786747" cy="3977639"/>
            <wp:docPr id="18" name="Picture 18" descr="Signed receipt accepted."/>
            <wp:cNvGraphicFramePr>
              <a:graphicFrameLocks noChangeAspect="1"/>
            </wp:cNvGraphicFramePr>
            <a:graphic>
              <a:graphicData uri="http://schemas.openxmlformats.org/drawingml/2006/picture">
                <pic:pic>
                  <pic:nvPicPr>
                    <pic:cNvPr id="0" name="17-field-en-pod-verified.png"/>
                    <pic:cNvPicPr/>
                  </pic:nvPicPr>
                  <pic:blipFill>
                    <a:blip r:embed="rId28"/>
                    <a:stretch>
                      <a:fillRect/>
                    </a:stretch>
                  </pic:blipFill>
                  <pic:spPr>
                    <a:xfrm>
                      <a:off x="0" y="0"/>
                      <a:ext cx="1786747" cy="3977639"/>
                    </a:xfrm>
                    <a:prstGeom prst="rect"/>
                  </pic:spPr>
                </pic:pic>
              </a:graphicData>
            </a:graphic>
          </wp:inline>
        </w:drawing>
      </w:r>
      <w:r>
        <w:t xml:space="preserve">    </w:t>
      </w:r>
      <w:r>
        <w:drawing>
          <wp:inline xmlns:a="http://schemas.openxmlformats.org/drawingml/2006/main" xmlns:pic="http://schemas.openxmlformats.org/drawingml/2006/picture">
            <wp:extent cx="1786747" cy="3977639"/>
            <wp:docPr id="19" name="Picture 19" descr="Repeated offer rejected."/>
            <wp:cNvGraphicFramePr>
              <a:graphicFrameLocks noChangeAspect="1"/>
            </wp:cNvGraphicFramePr>
            <a:graphic>
              <a:graphicData uri="http://schemas.openxmlformats.org/drawingml/2006/picture">
                <pic:pic>
                  <pic:nvPicPr>
                    <pic:cNvPr id="0" name="18-field-en-pod-replay-rejected.png"/>
                    <pic:cNvPicPr/>
                  </pic:nvPicPr>
                  <pic:blipFill>
                    <a:blip r:embed="rId29"/>
                    <a:stretch>
                      <a:fillRect/>
                    </a:stretch>
                  </pic:blipFill>
                  <pic:spPr>
                    <a:xfrm>
                      <a:off x="0" y="0"/>
                      <a:ext cx="1786747" cy="3977639"/>
                    </a:xfrm>
                    <a:prstGeom prst="rect"/>
                  </pic:spPr>
                </pic:pic>
              </a:graphicData>
            </a:graphic>
          </wp:inline>
        </w:drawing>
      </w:r>
      <w:r>
        <w:t xml:space="preserve">    </w:t>
      </w:r>
      <w:r>
        <w:drawing>
          <wp:inline xmlns:a="http://schemas.openxmlformats.org/drawingml/2006/main" xmlns:pic="http://schemas.openxmlformats.org/drawingml/2006/picture">
            <wp:extent cx="1786747" cy="3977639"/>
            <wp:docPr id="20" name="Picture 20" descr="Altered offer rejected in Bangla."/>
            <wp:cNvGraphicFramePr>
              <a:graphicFrameLocks noChangeAspect="1"/>
            </wp:cNvGraphicFramePr>
            <a:graphic>
              <a:graphicData uri="http://schemas.openxmlformats.org/drawingml/2006/picture">
                <pic:pic>
                  <pic:nvPicPr>
                    <pic:cNvPr id="0" name="19-field-bn-pod-tamper-rejected.png"/>
                    <pic:cNvPicPr/>
                  </pic:nvPicPr>
                  <pic:blipFill>
                    <a:blip r:embed="rId30"/>
                    <a:stretch>
                      <a:fillRect/>
                    </a:stretch>
                  </pic:blipFill>
                  <pic:spPr>
                    <a:xfrm>
                      <a:off x="0" y="0"/>
                      <a:ext cx="1786747" cy="3977639"/>
                    </a:xfrm>
                    <a:prstGeom prst="rect"/>
                  </pic:spPr>
                </pic:pic>
              </a:graphicData>
            </a:graphic>
          </wp:inline>
        </w:drawing>
      </w:r>
    </w:p>
    <w:p>
      <w:pPr>
        <w:pStyle w:val="Caption"/>
      </w:pPr>
      <w:r>
        <w:t>01  Signed receipt accepted.</w:t>
      </w:r>
    </w:p>
    <w:p>
      <w:pPr>
        <w:pStyle w:val="Caption"/>
      </w:pPr>
      <w:r>
        <w:t>02  Repeated offer rejected.</w:t>
      </w:r>
    </w:p>
    <w:p>
      <w:pPr>
        <w:pStyle w:val="Caption"/>
      </w:pPr>
      <w:r>
        <w:t>03  Altered offer rejected in Bangla.</w:t>
      </w:r>
    </w:p>
    <w:p>
      <w:pPr>
        <w:pStyle w:val="Caption"/>
        <w:spacing w:before="180"/>
      </w:pPr>
      <w:r>
        <w:t>M5. R01, R02, R05, R06, R07.</w:t>
      </w:r>
    </w:p>
    <w:p>
      <w:r>
        <w:br w:type="page"/>
      </w:r>
    </w:p>
    <w:p>
      <w:pPr>
        <w:pStyle w:val="Caption"/>
      </w:pPr>
      <w:r>
        <w:t>23     /     THE PRODUCT</w:t>
      </w:r>
    </w:p>
    <w:p>
      <w:pPr>
        <w:pStyle w:val="Heading1"/>
      </w:pPr>
      <w:r>
        <w:t>Hybrid fleet rendezvous</w:t>
      </w:r>
    </w:p>
    <w:p>
      <w:pPr>
        <w:spacing w:after="260"/>
      </w:pPr>
      <w:r>
        <w:rPr>
          <w:color w:val="216E75"/>
          <w:sz w:val="30"/>
        </w:rPr>
        <w:t>A simulated boat delay changes where the next handoff should occur.</w:t>
      </w:r>
    </w:p>
    <w:p>
      <w:pPr>
        <w:pStyle w:val="Heading2"/>
      </w:pPr>
      <w:r>
        <w:t>Rendezvous calculation</w:t>
      </w:r>
    </w:p>
    <w:p>
      <w:r>
        <w:t>The graph marks an air-only destination as drone-required. The engine compares candidate meeting points and enforces a 20 percent battery reserve. In the drill, an 18-minute boat delay causes the plan to move from R3 to R2.</w:t>
      </w:r>
    </w:p>
    <w:p>
      <w:pPr>
        <w:pStyle w:val="Heading2"/>
      </w:pPr>
      <w:r>
        <w:t>Custody remains explicit</w:t>
      </w:r>
    </w:p>
    <w:p>
      <w:r>
        <w:t>The recalculated plan and vehicle state become Protobuf events before the handoff advances. The boat and simulated drone sign a receipt. The demonstration does not operate a drone or include a physical vehicle control interface.</w:t>
      </w:r>
    </w:p>
    <w:p>
      <w:pPr>
        <w:spacing w:before="140" w:after="140"/>
        <w:jc w:val="center"/>
      </w:pPr>
      <w:r>
        <w:drawing>
          <wp:inline xmlns:a="http://schemas.openxmlformats.org/drawingml/2006/main" xmlns:pic="http://schemas.openxmlformats.org/drawingml/2006/picture">
            <wp:extent cx="1885150" cy="4206240"/>
            <wp:docPr id="21" name="Picture 21" descr="Delayed boat state triggers a revised meeting point."/>
            <wp:cNvGraphicFramePr>
              <a:graphicFrameLocks noChangeAspect="1"/>
            </wp:cNvGraphicFramePr>
            <a:graphic>
              <a:graphicData uri="http://schemas.openxmlformats.org/drawingml/2006/picture">
                <pic:pic>
                  <pic:nvPicPr>
                    <pic:cNvPr id="0" name="24-field-en-hybrid-replanned-1280x2856.png"/>
                    <pic:cNvPicPr/>
                  </pic:nvPicPr>
                  <pic:blipFill>
                    <a:blip r:embed="rId31"/>
                    <a:stretch>
                      <a:fillRect/>
                    </a:stretch>
                  </pic:blipFill>
                  <pic:spPr>
                    <a:xfrm>
                      <a:off x="0" y="0"/>
                      <a:ext cx="1885150" cy="4206240"/>
                    </a:xfrm>
                    <a:prstGeom prst="rect"/>
                  </pic:spPr>
                </pic:pic>
              </a:graphicData>
            </a:graphic>
          </wp:inline>
        </w:drawing>
      </w:r>
      <w:r>
        <w:t xml:space="preserve">    </w:t>
      </w:r>
      <w:r>
        <w:drawing>
          <wp:inline xmlns:a="http://schemas.openxmlformats.org/drawingml/2006/main" xmlns:pic="http://schemas.openxmlformats.org/drawingml/2006/picture">
            <wp:extent cx="1889434" cy="4206240"/>
            <wp:docPr id="22" name="Picture 22" descr="Bangla transfer state records linked custody evidence."/>
            <wp:cNvGraphicFramePr>
              <a:graphicFrameLocks noChangeAspect="1"/>
            </wp:cNvGraphicFramePr>
            <a:graphic>
              <a:graphicData uri="http://schemas.openxmlformats.org/drawingml/2006/picture">
                <pic:pic>
                  <pic:nvPicPr>
                    <pic:cNvPr id="0" name="22-field-bn-hybrid-transferred.png"/>
                    <pic:cNvPicPr/>
                  </pic:nvPicPr>
                  <pic:blipFill>
                    <a:blip r:embed="rId32"/>
                    <a:stretch>
                      <a:fillRect/>
                    </a:stretch>
                  </pic:blipFill>
                  <pic:spPr>
                    <a:xfrm>
                      <a:off x="0" y="0"/>
                      <a:ext cx="1889434" cy="4206240"/>
                    </a:xfrm>
                    <a:prstGeom prst="rect"/>
                  </pic:spPr>
                </pic:pic>
              </a:graphicData>
            </a:graphic>
          </wp:inline>
        </w:drawing>
      </w:r>
    </w:p>
    <w:p>
      <w:pPr>
        <w:pStyle w:val="Caption"/>
      </w:pPr>
      <w:r>
        <w:t>01  Delayed boat state triggers a revised meeting point.</w:t>
      </w:r>
    </w:p>
    <w:p>
      <w:pPr>
        <w:pStyle w:val="Caption"/>
      </w:pPr>
      <w:r>
        <w:t>02  Bangla transfer state records linked custody evidence.</w:t>
      </w:r>
    </w:p>
    <w:p>
      <w:pPr>
        <w:pStyle w:val="Caption"/>
        <w:spacing w:before="180"/>
      </w:pPr>
      <w:r>
        <w:t>M8. R01, R02, R05, R06. All vehicles and their telemetry are simulated.</w:t>
      </w:r>
    </w:p>
    <w:p>
      <w:r>
        <w:br w:type="page"/>
      </w:r>
    </w:p>
    <w:p>
      <w:pPr>
        <w:pStyle w:val="Caption"/>
      </w:pPr>
      <w:r>
        <w:t>24     /     THE PRODUCT</w:t>
      </w:r>
    </w:p>
    <w:p>
      <w:pPr>
        <w:pStyle w:val="Heading1"/>
      </w:pPr>
      <w:r>
        <w:t>Geography stays on the device</w:t>
      </w:r>
    </w:p>
    <w:p>
      <w:pPr>
        <w:spacing w:after="260"/>
      </w:pPr>
      <w:r>
        <w:rPr>
          <w:color w:val="216E75"/>
          <w:sz w:val="30"/>
        </w:rPr>
        <w:t>Bundled maps support the display even when commercial map services cannot be reached.</w:t>
      </w:r>
    </w:p>
    <w:p>
      <w:pPr>
        <w:pStyle w:val="Heading2"/>
      </w:pPr>
      <w:r>
        <w:t>Provenance and separation</w:t>
      </w:r>
    </w:p>
    <w:p>
      <w:r>
        <w:t>The Android extract derives from the reviewed OpenStreetMap-based PMTiles archive used by the projector. Checksums pin both assets. Basemap geography and simulated mission overlays remain separate sources, with map attribution visible.</w:t>
      </w:r>
    </w:p>
    <w:p>
      <w:pPr>
        <w:pStyle w:val="Heading2"/>
      </w:pPr>
      <w:r>
        <w:t>Operational limit</w:t>
      </w:r>
    </w:p>
    <w:p>
      <w:r>
        <w:t>An offline map can become stale. A deployment owner must review geography, distribute updates and decide how verified closures enter the graph. The included geography is a demonstration asset, not a guarantee of navigation suitability.</w:t>
      </w:r>
    </w:p>
    <w:p>
      <w:pPr>
        <w:spacing w:before="140" w:after="140"/>
        <w:jc w:val="center"/>
      </w:pPr>
      <w:r>
        <w:drawing>
          <wp:inline xmlns:a="http://schemas.openxmlformats.org/drawingml/2006/main" xmlns:pic="http://schemas.openxmlformats.org/drawingml/2006/picture">
            <wp:extent cx="1885150" cy="4206240"/>
            <wp:docPr id="23" name="Picture 23" descr="Bangla map renderer with local geography and mission overlays."/>
            <wp:cNvGraphicFramePr>
              <a:graphicFrameLocks noChangeAspect="1"/>
            </wp:cNvGraphicFramePr>
            <a:graphic>
              <a:graphicData uri="http://schemas.openxmlformats.org/drawingml/2006/picture">
                <pic:pic>
                  <pic:nvPicPr>
                    <pic:cNvPr id="0" name="23-field-bn-offline-geographic-map-1280x2856.png"/>
                    <pic:cNvPicPr/>
                  </pic:nvPicPr>
                  <pic:blipFill>
                    <a:blip r:embed="rId33"/>
                    <a:stretch>
                      <a:fillRect/>
                    </a:stretch>
                  </pic:blipFill>
                  <pic:spPr>
                    <a:xfrm>
                      <a:off x="0" y="0"/>
                      <a:ext cx="1885150" cy="4206240"/>
                    </a:xfrm>
                    <a:prstGeom prst="rect"/>
                  </pic:spPr>
                </pic:pic>
              </a:graphicData>
            </a:graphic>
          </wp:inline>
        </w:drawing>
      </w:r>
      <w:r>
        <w:t xml:space="preserve">    </w:t>
      </w:r>
      <w:r>
        <w:drawing>
          <wp:inline xmlns:a="http://schemas.openxmlformats.org/drawingml/2006/main" xmlns:pic="http://schemas.openxmlformats.org/drawingml/2006/picture">
            <wp:extent cx="1885150" cy="4206240"/>
            <wp:docPr id="24" name="Picture 24" descr="English renderer using the same offline source boundary."/>
            <wp:cNvGraphicFramePr>
              <a:graphicFrameLocks noChangeAspect="1"/>
            </wp:cNvGraphicFramePr>
            <a:graphic>
              <a:graphicData uri="http://schemas.openxmlformats.org/drawingml/2006/picture">
                <pic:pic>
                  <pic:nvPicPr>
                    <pic:cNvPr id="0" name="23-field-en-offline-geographic-map-1280x2856.png"/>
                    <pic:cNvPicPr/>
                  </pic:nvPicPr>
                  <pic:blipFill>
                    <a:blip r:embed="rId34"/>
                    <a:stretch>
                      <a:fillRect/>
                    </a:stretch>
                  </pic:blipFill>
                  <pic:spPr>
                    <a:xfrm>
                      <a:off x="0" y="0"/>
                      <a:ext cx="1885150" cy="4206240"/>
                    </a:xfrm>
                    <a:prstGeom prst="rect"/>
                  </pic:spPr>
                </pic:pic>
              </a:graphicData>
            </a:graphic>
          </wp:inline>
        </w:drawing>
      </w:r>
    </w:p>
    <w:p>
      <w:pPr>
        <w:pStyle w:val="Caption"/>
      </w:pPr>
      <w:r>
        <w:t>01  Bangla map renderer with local geography and mission overlays.</w:t>
      </w:r>
    </w:p>
    <w:p>
      <w:pPr>
        <w:pStyle w:val="Caption"/>
      </w:pPr>
      <w:r>
        <w:t>02  English renderer using the same offline source boundary.</w:t>
      </w:r>
    </w:p>
    <w:p>
      <w:pPr>
        <w:pStyle w:val="Caption"/>
        <w:spacing w:before="180"/>
      </w:pPr>
      <w:r>
        <w:t>R01, R02, R05, R06. Map attribution belongs to OpenStreetMap contributors.</w:t>
      </w:r>
    </w:p>
    <w:p>
      <w:r>
        <w:br w:type="page"/>
      </w:r>
    </w:p>
    <w:p>
      <w:pPr>
        <w:pStyle w:val="Caption"/>
      </w:pPr>
      <w:r>
        <w:t>25     /     THE PRODUCT</w:t>
      </w:r>
    </w:p>
    <w:p>
      <w:pPr>
        <w:pStyle w:val="Heading1"/>
      </w:pPr>
      <w:r>
        <w:t>Delta Command overview</w:t>
      </w:r>
    </w:p>
    <w:p>
      <w:pPr>
        <w:spacing w:after="260"/>
      </w:pPr>
      <w:r>
        <w:rPr>
          <w:color w:val="216E75"/>
          <w:sz w:val="30"/>
        </w:rPr>
        <w:t>The projector gives observers a shared view without owning field operations.</w:t>
      </w:r>
    </w:p>
    <w:p>
      <w:pPr>
        <w:pStyle w:val="Heading2"/>
      </w:pPr>
      <w:r>
        <w:t>Local observation</w:t>
      </w:r>
    </w:p>
    <w:p>
      <w:r>
        <w:t>The fair laptop runs a Next.js dashboard with a bundled geographic archive. An optional local Go observer stores ordered events and exposes a sanitized browser projection. The screen can show route changes, hazards, deadlines, rendezvous and ledger entries.</w:t>
      </w:r>
    </w:p>
    <w:p>
      <w:pPr>
        <w:pStyle w:val="Heading2"/>
      </w:pPr>
      <w:r>
        <w:t>Simulation remains visible</w:t>
      </w:r>
    </w:p>
    <w:p>
      <w:r>
        <w:t>The pictured mission is a seeded exercise. Vehicle positions, weather and route events are visibly simulated. The public headquarters website is a presentation convenience and cannot authorize field activity.</w:t>
      </w:r>
    </w:p>
    <w:p>
      <w:pPr>
        <w:spacing w:after="140"/>
        <w:jc w:val="center"/>
      </w:pPr>
      <w:r>
        <w:drawing>
          <wp:inline xmlns:a="http://schemas.openxmlformats.org/drawingml/2006/main" xmlns:pic="http://schemas.openxmlformats.org/drawingml/2006/picture">
            <wp:extent cx="6400800" cy="3600450"/>
            <wp:docPr id="25" name="Picture 25" descr="English live-observer dashboard at 1920 × 1080. Original full-frame capture."/>
            <wp:cNvGraphicFramePr>
              <a:graphicFrameLocks noChangeAspect="1"/>
            </wp:cNvGraphicFramePr>
            <a:graphic>
              <a:graphicData uri="http://schemas.openxmlformats.org/drawingml/2006/picture">
                <pic:pic>
                  <pic:nvPicPr>
                    <pic:cNvPr id="0" name="02-command-en-live-overview-1920x1080.png"/>
                    <pic:cNvPicPr/>
                  </pic:nvPicPr>
                  <pic:blipFill>
                    <a:blip r:embed="rId35"/>
                    <a:stretch>
                      <a:fillRect/>
                    </a:stretch>
                  </pic:blipFill>
                  <pic:spPr>
                    <a:xfrm>
                      <a:off x="0" y="0"/>
                      <a:ext cx="6400800" cy="3600450"/>
                    </a:xfrm>
                    <a:prstGeom prst="rect"/>
                  </pic:spPr>
                </pic:pic>
              </a:graphicData>
            </a:graphic>
          </wp:inline>
        </w:drawing>
      </w:r>
    </w:p>
    <w:p>
      <w:pPr>
        <w:pStyle w:val="Caption"/>
      </w:pPr>
      <w:r>
        <w:t>English live-observer dashboard at 1920 × 1080. Original full-frame capture.</w:t>
      </w:r>
    </w:p>
    <w:p>
      <w:pPr>
        <w:pStyle w:val="Caption"/>
        <w:spacing w:before="180"/>
      </w:pPr>
      <w:r>
        <w:t>R01, R02, R06. Public presentation: digital-delta-headquarters.vercel.app.</w:t>
      </w:r>
    </w:p>
    <w:p>
      <w:r>
        <w:br w:type="page"/>
      </w:r>
    </w:p>
    <w:p>
      <w:pPr>
        <w:pStyle w:val="Caption"/>
      </w:pPr>
      <w:r>
        <w:t>26     /     THE PRODUCT</w:t>
      </w:r>
    </w:p>
    <w:p>
      <w:pPr>
        <w:pStyle w:val="Heading1"/>
      </w:pPr>
      <w:r>
        <w:t>Bilingual headquarters and recovery</w:t>
      </w:r>
    </w:p>
    <w:p>
      <w:pPr>
        <w:spacing w:after="260"/>
      </w:pPr>
      <w:r>
        <w:rPr>
          <w:color w:val="216E75"/>
          <w:sz w:val="30"/>
        </w:rPr>
        <w:t>The dashboard can change language and recover a missed event interval.</w:t>
      </w:r>
    </w:p>
    <w:p>
      <w:pPr>
        <w:pStyle w:val="Heading2"/>
      </w:pPr>
      <w:r>
        <w:t>Projection recovery</w:t>
      </w:r>
    </w:p>
    <w:p>
      <w:r>
        <w:t>The recorded local disconnect exercise closed the projector at sequence 7, published events 8 through 14 while it was absent and replayed the gap after reconnection. That demonstrates observer recovery on the laptop. Physical phone continuity with the command laptop powered off still needs its own live proof.</w:t>
      </w:r>
    </w:p>
    <w:p>
      <w:pPr>
        <w:spacing w:after="140"/>
        <w:jc w:val="center"/>
      </w:pPr>
      <w:r>
        <w:drawing>
          <wp:inline xmlns:a="http://schemas.openxmlformats.org/drawingml/2006/main" xmlns:pic="http://schemas.openxmlformats.org/drawingml/2006/picture">
            <wp:extent cx="4754880" cy="2673315"/>
            <wp:docPr id="26" name="Picture 26" descr="Bangla overview at the 1366 × 768 projector target."/>
            <wp:cNvGraphicFramePr>
              <a:graphicFrameLocks noChangeAspect="1"/>
            </wp:cNvGraphicFramePr>
            <a:graphic>
              <a:graphicData uri="http://schemas.openxmlformats.org/drawingml/2006/picture">
                <pic:pic>
                  <pic:nvPicPr>
                    <pic:cNvPr id="0" name="01-command-bn-live-overview-1366x768.png"/>
                    <pic:cNvPicPr/>
                  </pic:nvPicPr>
                  <pic:blipFill>
                    <a:blip r:embed="rId36"/>
                    <a:stretch>
                      <a:fillRect/>
                    </a:stretch>
                  </pic:blipFill>
                  <pic:spPr>
                    <a:xfrm>
                      <a:off x="0" y="0"/>
                      <a:ext cx="4754880" cy="2673315"/>
                    </a:xfrm>
                    <a:prstGeom prst="rect"/>
                  </pic:spPr>
                </pic:pic>
              </a:graphicData>
            </a:graphic>
          </wp:inline>
        </w:drawing>
      </w:r>
    </w:p>
    <w:p>
      <w:pPr>
        <w:pStyle w:val="Caption"/>
      </w:pPr>
      <w:r>
        <w:t>Bangla overview at the 1366 × 768 projector target.</w:t>
      </w:r>
    </w:p>
    <w:p>
      <w:pPr>
        <w:spacing w:after="140"/>
        <w:jc w:val="center"/>
      </w:pPr>
      <w:r>
        <w:drawing>
          <wp:inline xmlns:a="http://schemas.openxmlformats.org/drawingml/2006/main" xmlns:pic="http://schemas.openxmlformats.org/drawingml/2006/picture">
            <wp:extent cx="4754880" cy="2673315"/>
            <wp:docPr id="27" name="Picture 27" descr="Disconnected English observer state explains the connection loss."/>
            <wp:cNvGraphicFramePr>
              <a:graphicFrameLocks noChangeAspect="1"/>
            </wp:cNvGraphicFramePr>
            <a:graphic>
              <a:graphicData uri="http://schemas.openxmlformats.org/drawingml/2006/picture">
                <pic:pic>
                  <pic:nvPicPr>
                    <pic:cNvPr id="0" name="03-command-en-dashboard-disconnected-1366x768.png"/>
                    <pic:cNvPicPr/>
                  </pic:nvPicPr>
                  <pic:blipFill>
                    <a:blip r:embed="rId37"/>
                    <a:stretch>
                      <a:fillRect/>
                    </a:stretch>
                  </pic:blipFill>
                  <pic:spPr>
                    <a:xfrm>
                      <a:off x="0" y="0"/>
                      <a:ext cx="4754880" cy="2673315"/>
                    </a:xfrm>
                    <a:prstGeom prst="rect"/>
                  </pic:spPr>
                </pic:pic>
              </a:graphicData>
            </a:graphic>
          </wp:inline>
        </w:drawing>
      </w:r>
    </w:p>
    <w:p>
      <w:pPr>
        <w:pStyle w:val="Caption"/>
      </w:pPr>
      <w:r>
        <w:t>Disconnected English observer state explains the connection loss.</w:t>
      </w:r>
    </w:p>
    <w:p>
      <w:pPr>
        <w:pStyle w:val="Caption"/>
        <w:spacing w:before="180"/>
      </w:pPr>
      <w:r>
        <w:t>R01, R05, R06 and artifacts/reports/fault-injection/2026-09-04-dashboard-disconnect.md.</w:t>
      </w:r>
    </w:p>
    <w:p>
      <w:r>
        <w:br w:type="page"/>
      </w:r>
    </w:p>
    <w:p>
      <w:pPr>
        <w:pStyle w:val="Caption"/>
      </w:pPr>
      <w:r>
        <w:t>27     /     THE ENGINEERING</w:t>
      </w:r>
    </w:p>
    <w:p>
      <w:pPr>
        <w:pStyle w:val="Heading1"/>
      </w:pPr>
      <w:r>
        <w:t>System architecture</w:t>
      </w:r>
    </w:p>
    <w:p>
      <w:pPr>
        <w:spacing w:after="260"/>
      </w:pPr>
      <w:r>
        <w:rPr>
          <w:color w:val="216E75"/>
          <w:sz w:val="30"/>
        </w:rPr>
        <w:t>The authoritative field path runs between phones. Headquarters receives an optional projection.</w:t>
      </w:r>
    </w:p>
    <w:p>
      <w:pPr>
        <w:spacing w:after="140"/>
        <w:jc w:val="center"/>
      </w:pPr>
      <w:r>
        <w:drawing>
          <wp:inline xmlns:a="http://schemas.openxmlformats.org/drawingml/2006/main" xmlns:pic="http://schemas.openxmlformats.org/drawingml/2006/picture">
            <wp:extent cx="6400800" cy="3090041"/>
            <wp:docPr id="28" name="Picture 28" descr="System architecture architecture diagram"/>
            <wp:cNvGraphicFramePr>
              <a:graphicFrameLocks noChangeAspect="1"/>
            </wp:cNvGraphicFramePr>
            <a:graphic>
              <a:graphicData uri="http://schemas.openxmlformats.org/drawingml/2006/picture">
                <pic:pic>
                  <pic:nvPicPr>
                    <pic:cNvPr id="0" name="context.png"/>
                    <pic:cNvPicPr/>
                  </pic:nvPicPr>
                  <pic:blipFill>
                    <a:blip r:embed="rId38"/>
                    <a:stretch>
                      <a:fillRect/>
                    </a:stretch>
                  </pic:blipFill>
                  <pic:spPr>
                    <a:xfrm>
                      <a:off x="0" y="0"/>
                      <a:ext cx="6400800" cy="3090041"/>
                    </a:xfrm>
                    <a:prstGeom prst="rect"/>
                  </pic:spPr>
                </pic:pic>
              </a:graphicData>
            </a:graphic>
          </wp:inline>
        </w:drawing>
      </w:r>
    </w:p>
    <w:p>
      <w:pPr>
        <w:pStyle w:val="Heading2"/>
      </w:pPr>
      <w:r>
        <w:t>The field boundary</w:t>
      </w:r>
    </w:p>
    <w:p>
      <w:r>
        <w:t>Each Android phone owns its identity checks, Room database, route search, triage and custody verification. Nearby links move encrypted Protobuf envelopes between authenticated peers. A relay forwards encrypted bytes and cannot read the recipient’s domain payload.</w:t>
      </w:r>
    </w:p>
    <w:p>
      <w:pPr>
        <w:pStyle w:val="Heading2"/>
      </w:pPr>
      <w:r>
        <w:t>Optional services</w:t>
      </w:r>
    </w:p>
    <w:p>
      <w:r>
        <w:t>The Go node and local dashboard support observation and engineering exercises. The Vercel presentation and sanitized Cloudflare D1 archive add optional visibility. None sits between the field phones or becomes a source of custody authority.</w:t>
      </w:r>
    </w:p>
    <w:p>
      <w:pPr>
        <w:pStyle w:val="Heading2"/>
      </w:pPr>
      <w:r>
        <w:t>Transport accuracy</w:t>
      </w:r>
    </w:p>
    <w:p>
      <w:r>
        <w:t>gRPC applies to supported IP links. The Android nearby path carries framed Protobuf over the radio adapter. The browser uses an allow-listed SSE JSON presentation object. JSON is excluded from mesh domain payloads.</w:t>
      </w:r>
    </w:p>
    <w:p>
      <w:pPr>
        <w:pStyle w:val="Caption"/>
        <w:spacing w:before="180"/>
      </w:pPr>
      <w:r>
        <w:t>Architecture figure 1. Derived from R01 and docs/ARCHITECTURE.md. Dashed links indicate optional observation.</w:t>
      </w:r>
    </w:p>
    <w:p>
      <w:r>
        <w:br w:type="page"/>
      </w:r>
    </w:p>
    <w:p>
      <w:pPr>
        <w:pStyle w:val="Caption"/>
      </w:pPr>
      <w:r>
        <w:t>28     /     THE ENGINEERING</w:t>
      </w:r>
    </w:p>
    <w:p>
      <w:pPr>
        <w:pStyle w:val="Heading1"/>
      </w:pPr>
      <w:r>
        <w:t>Inside a field phone</w:t>
      </w:r>
    </w:p>
    <w:p>
      <w:pPr>
        <w:spacing w:after="260"/>
      </w:pPr>
      <w:r>
        <w:rPr>
          <w:color w:val="216E75"/>
          <w:sz w:val="30"/>
        </w:rPr>
        <w:t>The interface reads local state while repositories coordinate durable storage and domain rules.</w:t>
      </w:r>
    </w:p>
    <w:p>
      <w:pPr>
        <w:spacing w:after="140"/>
        <w:jc w:val="center"/>
      </w:pPr>
      <w:r>
        <w:drawing>
          <wp:inline xmlns:a="http://schemas.openxmlformats.org/drawingml/2006/main" xmlns:pic="http://schemas.openxmlformats.org/drawingml/2006/picture">
            <wp:extent cx="6400800" cy="3090041"/>
            <wp:docPr id="29" name="Picture 29" descr="Inside a field phone architecture diagram"/>
            <wp:cNvGraphicFramePr>
              <a:graphicFrameLocks noChangeAspect="1"/>
            </wp:cNvGraphicFramePr>
            <a:graphic>
              <a:graphicData uri="http://schemas.openxmlformats.org/drawingml/2006/picture">
                <pic:pic>
                  <pic:nvPicPr>
                    <pic:cNvPr id="0" name="phone.png"/>
                    <pic:cNvPicPr/>
                  </pic:nvPicPr>
                  <pic:blipFill>
                    <a:blip r:embed="rId39"/>
                    <a:stretch>
                      <a:fillRect/>
                    </a:stretch>
                  </pic:blipFill>
                  <pic:spPr>
                    <a:xfrm>
                      <a:off x="0" y="0"/>
                      <a:ext cx="6400800" cy="3090041"/>
                    </a:xfrm>
                    <a:prstGeom prst="rect"/>
                  </pic:spPr>
                </pic:pic>
              </a:graphicData>
            </a:graphic>
          </wp:inline>
        </w:drawing>
      </w:r>
    </w:p>
    <w:p>
      <w:pPr>
        <w:pStyle w:val="Heading2"/>
      </w:pPr>
      <w:r>
        <w:t>Interface and domain separation</w:t>
      </w:r>
    </w:p>
    <w:p>
      <w:r>
        <w:t>Kotlin, Compose and ViewModels present immutable screen state. Language-neutral domain rules handle authorization, conflicts, routing and custody. Repositories coordinate those rules with Room, cryptography and transport so the field workflow can remain local.</w:t>
      </w:r>
    </w:p>
    <w:p>
      <w:pPr>
        <w:pStyle w:val="Heading2"/>
      </w:pPr>
      <w:r>
        <w:t>Storage before transfer</w:t>
      </w:r>
    </w:p>
    <w:p>
      <w:r>
        <w:t>Room stores operation bytes, queues and projections. Proto DataStore stores language and selected device profile. Android Keystore protects non-exportable private keys. Database migrations must preserve event bytes required for signature verification.</w:t>
      </w:r>
    </w:p>
    <w:p>
      <w:pPr>
        <w:pStyle w:val="Heading2"/>
      </w:pPr>
      <w:r>
        <w:t>Service lifetime</w:t>
      </w:r>
    </w:p>
    <w:p>
      <w:r>
        <w:t>An Android foreground service owns active Nearby discovery and relay. WorkManager performs bounded deferred inbox application and maintenance. It does not substitute for a continuously active radio service.</w:t>
      </w:r>
    </w:p>
    <w:p>
      <w:pPr>
        <w:pStyle w:val="Caption"/>
        <w:spacing w:before="180"/>
      </w:pPr>
      <w:r>
        <w:t>Architecture figure 2. R01. Diagram summarizes responsibilities rather than exact source-directory structure.</w:t>
      </w:r>
    </w:p>
    <w:p>
      <w:r>
        <w:br w:type="page"/>
      </w:r>
    </w:p>
    <w:p>
      <w:pPr>
        <w:pStyle w:val="Caption"/>
      </w:pPr>
      <w:r>
        <w:t>29     /     THE ENGINEERING</w:t>
      </w:r>
    </w:p>
    <w:p>
      <w:pPr>
        <w:pStyle w:val="Heading1"/>
      </w:pPr>
      <w:r>
        <w:t>Encrypted message lifecycle</w:t>
      </w:r>
    </w:p>
    <w:p>
      <w:pPr>
        <w:spacing w:after="260"/>
      </w:pPr>
      <w:r>
        <w:rPr>
          <w:color w:val="216E75"/>
          <w:sz w:val="30"/>
        </w:rPr>
        <w:t>A durable relay acknowledgement and final domain acceptance are different events.</w:t>
      </w:r>
    </w:p>
    <w:p>
      <w:pPr>
        <w:spacing w:after="140"/>
        <w:jc w:val="center"/>
      </w:pPr>
      <w:r>
        <w:drawing>
          <wp:inline xmlns:a="http://schemas.openxmlformats.org/drawingml/2006/main" xmlns:pic="http://schemas.openxmlformats.org/drawingml/2006/picture">
            <wp:extent cx="6400800" cy="3090041"/>
            <wp:docPr id="30" name="Picture 30" descr="Encrypted message lifecycle architecture diagram"/>
            <wp:cNvGraphicFramePr>
              <a:graphicFrameLocks noChangeAspect="1"/>
            </wp:cNvGraphicFramePr>
            <a:graphic>
              <a:graphicData uri="http://schemas.openxmlformats.org/drawingml/2006/picture">
                <pic:pic>
                  <pic:nvPicPr>
                    <pic:cNvPr id="0" name="message.png"/>
                    <pic:cNvPicPr/>
                  </pic:nvPicPr>
                  <pic:blipFill>
                    <a:blip r:embed="rId40"/>
                    <a:stretch>
                      <a:fillRect/>
                    </a:stretch>
                  </pic:blipFill>
                  <pic:spPr>
                    <a:xfrm>
                      <a:off x="0" y="0"/>
                      <a:ext cx="6400800" cy="3090041"/>
                    </a:xfrm>
                    <a:prstGeom prst="rect"/>
                  </pic:spPr>
                </pic:pic>
              </a:graphicData>
            </a:graphic>
          </wp:inline>
        </w:drawing>
      </w:r>
    </w:p>
    <w:p>
      <w:pPr>
        <w:pStyle w:val="Heading2"/>
      </w:pPr>
      <w:r>
        <w:t>Sending and receiving</w:t>
      </w:r>
    </w:p>
    <w:p>
      <w:r>
        <w:t>The sender prepares language-neutral Protobuf bytes, signs the appropriate data and encrypts the payload for the intended recipient. Relays can validate routing and integrity fields, persist the envelope and forward it. Only the recipient opens the protected delivery contents and applies accepted events.</w:t>
      </w:r>
    </w:p>
    <w:p>
      <w:pPr>
        <w:pStyle w:val="Heading2"/>
      </w:pPr>
      <w:r>
        <w:t>Cryptographic building blocks</w:t>
      </w:r>
    </w:p>
    <w:p>
      <w:r>
        <w:t>The implementation uses AES-256-GCM payload encryption, RSA-OAEP recipient key wrapping and RSA-2048-PSS signatures through JCA/JCE and Android Keystore. Signed provisioning credentials bind device keys and roles to a trusted administrator.</w:t>
      </w:r>
    </w:p>
    <w:p>
      <w:pPr>
        <w:pStyle w:val="Heading2"/>
      </w:pPr>
      <w:r>
        <w:t>Failure semantics</w:t>
      </w:r>
    </w:p>
    <w:p>
      <w:r>
        <w:t>A lost acknowledgement can trigger a retry, so message IDs and nonces prevent duplicate effects. Expiry and hop limits bound delayed propagation. Acknowledgement validation rejects the wrong node, unknown or revoked keys and altered receipt fields.</w:t>
      </w:r>
    </w:p>
    <w:p>
      <w:pPr>
        <w:pStyle w:val="Caption"/>
        <w:spacing w:before="180"/>
      </w:pPr>
      <w:r>
        <w:t>Architecture figure 3. R01 and R07. Metadata visible for forwarding is not equivalent to payload confidentiality.</w:t>
      </w:r>
    </w:p>
    <w:p>
      <w:r>
        <w:br w:type="page"/>
      </w:r>
    </w:p>
    <w:p>
      <w:pPr>
        <w:pStyle w:val="Caption"/>
      </w:pPr>
      <w:r>
        <w:t>30     /     THE ENGINEERING</w:t>
      </w:r>
    </w:p>
    <w:p>
      <w:pPr>
        <w:pStyle w:val="Heading1"/>
      </w:pPr>
      <w:r>
        <w:t>Event records and conflict policy</w:t>
      </w:r>
    </w:p>
    <w:p>
      <w:pPr>
        <w:spacing w:after="260"/>
      </w:pPr>
      <w:r>
        <w:rPr>
          <w:color w:val="216E75"/>
          <w:sz w:val="30"/>
        </w:rPr>
        <w:t>Devices converge by policy and accepted events rather than by trusting the latest wall-clock timestamp.</w:t>
      </w:r>
    </w:p>
    <w:p>
      <w:pPr>
        <w:spacing w:after="140"/>
        <w:jc w:val="center"/>
      </w:pPr>
      <w:r>
        <w:drawing>
          <wp:inline xmlns:a="http://schemas.openxmlformats.org/drawingml/2006/main" xmlns:pic="http://schemas.openxmlformats.org/drawingml/2006/picture">
            <wp:extent cx="6400800" cy="3090041"/>
            <wp:docPr id="31" name="Picture 31" descr="Event records and conflict policy architecture diagram"/>
            <wp:cNvGraphicFramePr>
              <a:graphicFrameLocks noChangeAspect="1"/>
            </wp:cNvGraphicFramePr>
            <a:graphic>
              <a:graphicData uri="http://schemas.openxmlformats.org/drawingml/2006/picture">
                <pic:pic>
                  <pic:nvPicPr>
                    <pic:cNvPr id="0" name="events.png"/>
                    <pic:cNvPicPr/>
                  </pic:nvPicPr>
                  <pic:blipFill>
                    <a:blip r:embed="rId41"/>
                    <a:stretch>
                      <a:fillRect/>
                    </a:stretch>
                  </pic:blipFill>
                  <pic:spPr>
                    <a:xfrm>
                      <a:off x="0" y="0"/>
                      <a:ext cx="6400800" cy="3090041"/>
                    </a:xfrm>
                    <a:prstGeom prst="rect"/>
                  </pic:spPr>
                </pic:pic>
              </a:graphicData>
            </a:graphic>
          </wp:inline>
        </w:drawing>
      </w:r>
    </w:p>
    <w:p>
      <w:pPr>
        <w:pStyle w:val="Heading2"/>
      </w:pPr>
      <w:r>
        <w:t>Policy by data type</w:t>
      </w:r>
    </w:p>
    <w:p>
      <w:r>
        <w:t>Grow-only sets suit receipt and audit identifiers. Inventory uses per-replica counters. Assignment removal needs observed operation tags and tombstones. Safety-sensitive destination, priority and medical-quantity conflicts require a human resolution.</w:t>
      </w:r>
    </w:p>
    <w:p>
      <w:pPr>
        <w:pStyle w:val="Heading2"/>
      </w:pPr>
      <w:r>
        <w:t>Rebuildable views</w:t>
      </w:r>
    </w:p>
    <w:p>
      <w:r>
        <w:t>An append-only operation log feeds local projections. Equal accepted event sets and policy versions should produce equal convergence hashes. Restart and out-of-order delivery must not cause a previously removed assignment to return unexpectedly.</w:t>
      </w:r>
    </w:p>
    <w:p>
      <w:pPr>
        <w:pStyle w:val="Heading2"/>
      </w:pPr>
      <w:r>
        <w:t>Important boundary</w:t>
      </w:r>
    </w:p>
    <w:p>
      <w:r>
        <w:t>The repository includes tests and emulator evidence for the conflict drill. Real multi-phone convergence and full operational assignment behavior still require the documented physical acceptance work. This diagram describes the intended invariant and implemented test seams.</w:t>
      </w:r>
    </w:p>
    <w:p>
      <w:pPr>
        <w:pStyle w:val="Caption"/>
        <w:spacing w:before="180"/>
      </w:pPr>
      <w:r>
        <w:t>Architecture figure 4. R01 and R05. The event log remains distinct from the disposable headquarters projection.</w:t>
      </w:r>
    </w:p>
    <w:p>
      <w:r>
        <w:br w:type="page"/>
      </w:r>
    </w:p>
    <w:p>
      <w:pPr>
        <w:pStyle w:val="Caption"/>
      </w:pPr>
      <w:r>
        <w:t>31     /     THE ENGINEERING</w:t>
      </w:r>
    </w:p>
    <w:p>
      <w:pPr>
        <w:pStyle w:val="Heading1"/>
      </w:pPr>
      <w:r>
        <w:t>Routing risk and priority decisions</w:t>
      </w:r>
    </w:p>
    <w:p>
      <w:pPr>
        <w:spacing w:after="260"/>
      </w:pPr>
      <w:r>
        <w:rPr>
          <w:color w:val="216E75"/>
          <w:sz w:val="30"/>
        </w:rPr>
        <w:t>Confirmed closures constrain the graph. Predictions influence cost. People confirm cargo changes.</w:t>
      </w:r>
    </w:p>
    <w:p>
      <w:pPr>
        <w:spacing w:after="140"/>
        <w:jc w:val="center"/>
      </w:pPr>
      <w:r>
        <w:drawing>
          <wp:inline xmlns:a="http://schemas.openxmlformats.org/drawingml/2006/main" xmlns:pic="http://schemas.openxmlformats.org/drawingml/2006/picture">
            <wp:extent cx="6400800" cy="3090041"/>
            <wp:docPr id="32" name="Picture 32" descr="Routing risk and priority decisions architecture diagram"/>
            <wp:cNvGraphicFramePr>
              <a:graphicFrameLocks noChangeAspect="1"/>
            </wp:cNvGraphicFramePr>
            <a:graphic>
              <a:graphicData uri="http://schemas.openxmlformats.org/drawingml/2006/picture">
                <pic:pic>
                  <pic:nvPicPr>
                    <pic:cNvPr id="0" name="routing.png"/>
                    <pic:cNvPicPr/>
                  </pic:nvPicPr>
                  <pic:blipFill>
                    <a:blip r:embed="rId42"/>
                    <a:stretch>
                      <a:fillRect/>
                    </a:stretch>
                  </pic:blipFill>
                  <pic:spPr>
                    <a:xfrm>
                      <a:off x="0" y="0"/>
                      <a:ext cx="6400800" cy="3090041"/>
                    </a:xfrm>
                    <a:prstGeom prst="rect"/>
                  </pic:spPr>
                </pic:pic>
              </a:graphicData>
            </a:graphic>
          </wp:inline>
        </w:drawing>
      </w:r>
    </w:p>
    <w:p>
      <w:pPr>
        <w:pStyle w:val="Heading2"/>
      </w:pPr>
      <w:r>
        <w:t>Route policy</w:t>
      </w:r>
    </w:p>
    <w:p>
      <w:r>
        <w:t>The deterministic graph search filters edges by truck, boat or simulated drone capability. A confirmed failed edge becomes unavailable. Advisory model risk adds a cost rather than silently changing the edge into a closure.</w:t>
      </w:r>
    </w:p>
    <w:p>
      <w:pPr>
        <w:pStyle w:val="Heading2"/>
      </w:pPr>
      <w:r>
        <w:t>Priority policy</w:t>
      </w:r>
    </w:p>
    <w:p>
      <w:r>
        <w:t>The resulting ETA feeds the SLA engine, including a 30 percent slowdown case. The policy validates estimate age, cargo priority and safe waypoint availability before proposing a change. Confirmation records a durable reason and assignment update.</w:t>
      </w:r>
    </w:p>
    <w:p>
      <w:pPr>
        <w:pStyle w:val="Heading2"/>
      </w:pPr>
      <w:r>
        <w:t>Tradeoff</w:t>
      </w:r>
    </w:p>
    <w:p>
      <w:r>
        <w:t>Combining routing and priority makes the demonstration coherent, but it can amplify stale inputs. The interface must expose why the route changed and allow an authorized person to reject the recommendation. Real-world route quality is not established by a correct graph algorithm alone.</w:t>
      </w:r>
    </w:p>
    <w:p>
      <w:pPr>
        <w:pStyle w:val="Caption"/>
        <w:spacing w:before="180"/>
      </w:pPr>
      <w:r>
        <w:t>Architecture figure 5. M4, M6 and M7. R01, R04, R05. Simulated environmental and vehicle inputs only.</w:t>
      </w:r>
    </w:p>
    <w:p>
      <w:r>
        <w:br w:type="page"/>
      </w:r>
    </w:p>
    <w:p>
      <w:pPr>
        <w:pStyle w:val="Caption"/>
      </w:pPr>
      <w:r>
        <w:t>32     /     THE ENGINEERING</w:t>
      </w:r>
    </w:p>
    <w:p>
      <w:pPr>
        <w:pStyle w:val="Heading1"/>
      </w:pPr>
      <w:r>
        <w:t>Model evaluation and limitations</w:t>
      </w:r>
    </w:p>
    <w:p>
      <w:pPr>
        <w:spacing w:after="260"/>
      </w:pPr>
      <w:r>
        <w:rPr>
          <w:color w:val="216E75"/>
          <w:sz w:val="30"/>
        </w:rPr>
        <w:t>The model demonstrates offline integration and a measurable recall tradeoff on synthetic data.</w:t>
      </w:r>
    </w:p>
    <w:p>
      <w:pPr>
        <w:pStyle w:val="Heading2"/>
      </w:pPr>
      <w:r>
        <w:t>Experiment design</w:t>
      </w:r>
    </w:p>
    <w:p>
      <w:r>
        <w:t>The dataset contains 6,000 synthetic examples: 4,200 training, 900 validation and 900 held-out test rows. A standardized logistic regression exports to ONNX. The 0.285 decision threshold was selected on validation data, then the held-out split measured performance.</w:t>
      </w:r>
    </w:p>
    <w:p>
      <w:pPr>
        <w:pStyle w:val="Heading2"/>
      </w:pPr>
      <w:r>
        <w:t>Interpretation</w:t>
      </w:r>
    </w:p>
    <w:p>
      <w:r>
        <w:t>The model identifies more synthetic positive cases than the simple rule baseline, at the cost of additional false positives. The test confusion matrix contains 374 true negatives, 182 false positives, 56 false negatives and 288 true positives. False alarms can produce unnecessary reroutes.</w:t>
      </w:r>
    </w:p>
    <w:p>
      <w:pPr>
        <w:pStyle w:val="Heading2"/>
      </w:pPr>
      <w:r>
        <w:t>Next research step</w:t>
      </w:r>
    </w:p>
    <w:p>
      <w:r>
        <w:t>Collect properly governed observations of route status, timing and environmental conditions. Use time and location holdouts, report calibration and assess false-negative costs with domain experts. Until then, the output is a synthetic demonstration signal.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816"/>
      </w:tblGrid>
      <w:tr>
        <w:trPr>
          <w:cantSplit/>
          <w:tblHeader/>
        </w:trPr>
        <w:tc>
          <w:tcPr>
            <w:tcW w:type="dxa" w:w="2664"/>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Held-out test metric</w:t>
            </w:r>
          </w:p>
        </w:tc>
        <w:tc>
          <w:tcPr>
            <w:tcW w:type="dxa" w:w="360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Model</w:t>
            </w:r>
          </w:p>
        </w:tc>
        <w:tc>
          <w:tcPr>
            <w:tcW w:type="dxa" w:w="3816"/>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Rule baseline</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Precision</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0.612766</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0.954545</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Recall</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0.837209</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0.061047</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F1</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0.707617</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0.114754</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ONNX parity maximum error</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8.94 × 10⁻⁸</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Not applicable</w:t>
            </w:r>
          </w:p>
        </w:tc>
      </w:tr>
    </w:tbl>
    <w:p>
      <w:pPr>
        <w:spacing w:after="20"/>
      </w:pPr>
    </w:p>
    <w:p>
      <w:pPr>
        <w:pStyle w:val="Caption"/>
        <w:spacing w:before="180"/>
      </w:pPr>
      <w:r>
        <w:t>R02 and R04. These are not real flood prediction accuracy figures. All 900 held-out labels are synthetic.</w:t>
      </w:r>
    </w:p>
    <w:p>
      <w:r>
        <w:br w:type="page"/>
      </w:r>
    </w:p>
    <w:p>
      <w:pPr>
        <w:pStyle w:val="Caption"/>
      </w:pPr>
      <w:r>
        <w:t>33     /     THE ENGINEERING</w:t>
      </w:r>
    </w:p>
    <w:p>
      <w:pPr>
        <w:pStyle w:val="Heading1"/>
      </w:pPr>
      <w:r>
        <w:t>Verification results and open gates</w:t>
      </w:r>
    </w:p>
    <w:p>
      <w:pPr>
        <w:spacing w:after="260"/>
      </w:pPr>
      <w:r>
        <w:rPr>
          <w:color w:val="216E75"/>
          <w:sz w:val="30"/>
        </w:rPr>
        <w:t>The local evidence supports software behavior while leaving real-device performance explicit.</w:t>
      </w:r>
    </w:p>
    <w:p>
      <w:pPr>
        <w:pStyle w:val="Heading2"/>
      </w:pPr>
      <w:r>
        <w:t>Recorded software gate</w:t>
      </w:r>
    </w:p>
    <w:p>
      <w:r>
        <w:t>The 4 September 2026 report records scripts/verify-local.sh --connected passing Android builds and tests, schema checks, model parity, map integrity, Go checks, dashboard build/tests and archive validation. The same 60 connected journeys passed on each of two Android emulators.</w:t>
      </w:r>
    </w:p>
    <w:p>
      <w:pPr>
        <w:pStyle w:val="Heading2"/>
      </w:pPr>
      <w:r>
        <w:t>Load result in context</w:t>
      </w:r>
    </w:p>
    <w:p>
      <w:r>
        <w:t>The local Go harness retained 10,000 independent acknowledged streams on loopback. Its p95 acknowledgement latency was 57.645 seconds and peak server RSS was approximately 1.19 GiB. This is connection-capacity evidence. It does not establish handset mesh throughput or acceptable operational latency.</w:t>
      </w:r>
    </w:p>
    <w:p>
      <w:pPr>
        <w:pStyle w:val="Heading2"/>
      </w:pPr>
      <w:r>
        <w:t>What the fair package still needs</w:t>
      </w:r>
    </w:p>
    <w:p>
      <w:r>
        <w:t>Three physical phones must demonstrate relay interruption and recovery, camera scanning in airplane mode and continued field work with the laptop off. Target-phone battery, memory and latency, human accessibility review and repeated rehearsals remain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816"/>
      </w:tblGrid>
      <w:tr>
        <w:trPr>
          <w:cantSplit/>
          <w:tblHeader/>
        </w:trPr>
        <w:tc>
          <w:tcPr>
            <w:tcW w:type="dxa" w:w="2664"/>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Result</w:t>
            </w:r>
          </w:p>
        </w:tc>
        <w:tc>
          <w:tcPr>
            <w:tcW w:type="dxa" w:w="360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Recorded evidence</w:t>
            </w:r>
          </w:p>
        </w:tc>
        <w:tc>
          <w:tcPr>
            <w:tcW w:type="dxa" w:w="3816"/>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Boundary</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60 journeys per emulator</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Android 15 and Android 16 passed</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Virtual devices</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10,000 streams</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Loopback durable acknowledgements</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No lossy radio or encryption load</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17 dashboard tests</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Next.js local gate</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Browser software behavior</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3 archive tests</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Sanitized ingestion validation</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Optional public archive</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Physical readiness</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Open acceptance sheet</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Not yet verified</w:t>
            </w:r>
          </w:p>
        </w:tc>
      </w:tr>
    </w:tbl>
    <w:p>
      <w:pPr>
        <w:spacing w:after="20"/>
      </w:pPr>
    </w:p>
    <w:p>
      <w:pPr>
        <w:pStyle w:val="Caption"/>
        <w:spacing w:before="180"/>
      </w:pPr>
      <w:r>
        <w:t>R02, R03 and R05. Results are cited from existing dated evidence; this report does not claim a new test run.</w:t>
      </w:r>
    </w:p>
    <w:p>
      <w:r>
        <w:br w:type="page"/>
      </w:r>
    </w:p>
    <w:p>
      <w:pPr>
        <w:pStyle w:val="Caption"/>
      </w:pPr>
      <w:r>
        <w:t>34     /     THE ENGINEERING</w:t>
      </w:r>
    </w:p>
    <w:p>
      <w:pPr>
        <w:pStyle w:val="Heading1"/>
      </w:pPr>
      <w:r>
        <w:t>Security and operational risk</w:t>
      </w:r>
    </w:p>
    <w:p>
      <w:pPr>
        <w:spacing w:after="260"/>
      </w:pPr>
      <w:r>
        <w:rPr>
          <w:color w:val="216E75"/>
          <w:sz w:val="30"/>
        </w:rPr>
        <w:t>The most important risks cross software, people and deployment ownership.</w:t>
      </w:r>
    </w:p>
    <w:p>
      <w:pPr>
        <w:pStyle w:val="Heading2"/>
      </w:pPr>
      <w:r>
        <w:t>Design posture</w:t>
      </w:r>
    </w:p>
    <w:p>
      <w:r>
        <w:t>Encryption protects delivery contents in transit. Credentials and role checks limit who can act. Replay defenses protect custody transitions. These mechanisms reduce specific risks but do not establish that the whole system has passed an independent security audit.</w:t>
      </w:r>
    </w:p>
    <w:p>
      <w:pPr>
        <w:pStyle w:val="Heading2"/>
      </w:pPr>
      <w:r>
        <w:t>Operational accountability</w:t>
      </w:r>
    </w:p>
    <w:p>
      <w:r>
        <w:t>A pilot must define how lost phones are reported, who revokes credentials, how long records remain available and who can export summaries. Offline revocation propagates only when contact occurs, so stale trust is an operational risk that needs an agreed response.</w:t>
      </w:r>
    </w:p>
    <w:p>
      <w:pPr>
        <w:pStyle w:val="Heading2"/>
      </w:pPr>
      <w:r>
        <w:t>Sensitive data</w:t>
      </w:r>
    </w:p>
    <w:p>
      <w:r>
        <w:t>Use synthetic or minimized data during demonstrations and research. A production data plan must specify lawful authority, consent where appropriate, access, retention, incident response and deletion. The proposed public archive accepts only sanitized presentation metadata.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816"/>
      </w:tblGrid>
      <w:tr>
        <w:trPr>
          <w:cantSplit/>
          <w:tblHeader/>
        </w:trPr>
        <w:tc>
          <w:tcPr>
            <w:tcW w:type="dxa" w:w="2664"/>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Risk</w:t>
            </w:r>
          </w:p>
        </w:tc>
        <w:tc>
          <w:tcPr>
            <w:tcW w:type="dxa" w:w="360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Current mitigation</w:t>
            </w:r>
          </w:p>
        </w:tc>
        <w:tc>
          <w:tcPr>
            <w:tcW w:type="dxa" w:w="3816"/>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Next evidence</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Lost or compromised phone</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PIN, Keystore, signed roles</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Recovery and revocation drill</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Malicious or replayed message</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Peer proof, nonce and signature checks</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Hostile physical peer tests</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Long disconnected interval</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Durable queue, TTL and expiry</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Radio and battery measurements</w:t>
            </w:r>
          </w:p>
        </w:tc>
      </w:tr>
      <w:tr>
        <w:trPr>
          <w:cantSplit/>
        </w:trPr>
        <w:tc>
          <w:tcPr>
            <w:tcW w:type="dxa" w:w="2664"/>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Unsafe route suggestion</w:t>
            </w:r>
          </w:p>
        </w:tc>
        <w:tc>
          <w:tcPr>
            <w:tcW w:type="dxa" w:w="36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Mode rules and human confirmation</w:t>
            </w:r>
          </w:p>
        </w:tc>
        <w:tc>
          <w:tcPr>
            <w:tcW w:type="dxa" w:w="3816"/>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Domain review with real data</w:t>
            </w:r>
          </w:p>
        </w:tc>
      </w:tr>
      <w:tr>
        <w:trPr>
          <w:cantSplit/>
        </w:trPr>
        <w:tc>
          <w:tcPr>
            <w:tcW w:type="dxa" w:w="2664"/>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Single maintainer dependence</w:t>
            </w:r>
          </w:p>
        </w:tc>
        <w:tc>
          <w:tcPr>
            <w:tcW w:type="dxa" w:w="36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Source and runbooks</w:t>
            </w:r>
          </w:p>
        </w:tc>
        <w:tc>
          <w:tcPr>
            <w:tcW w:type="dxa" w:w="3816"/>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Support and succession owner</w:t>
            </w:r>
          </w:p>
        </w:tc>
      </w:tr>
    </w:tbl>
    <w:p>
      <w:pPr>
        <w:spacing w:after="20"/>
      </w:pPr>
    </w:p>
    <w:p>
      <w:pPr>
        <w:pStyle w:val="Caption"/>
        <w:spacing w:before="180"/>
      </w:pPr>
      <w:r>
        <w:t>R01, R05, R07. Risk register is an engineering assessment, not legal advice or certification.</w:t>
      </w:r>
    </w:p>
    <w:p>
      <w:r>
        <w:br w:type="page"/>
      </w:r>
    </w:p>
    <w:p>
      <w:pPr>
        <w:pStyle w:val="Caption"/>
      </w:pPr>
      <w:r>
        <w:t>35     /     THE DEPLOYMENT</w:t>
      </w:r>
    </w:p>
    <w:p>
      <w:pPr>
        <w:pStyle w:val="Heading1"/>
      </w:pPr>
      <w:r>
        <w:t>Proposed twelve week pilot</w:t>
      </w:r>
    </w:p>
    <w:p>
      <w:pPr>
        <w:spacing w:after="260"/>
      </w:pPr>
      <w:r>
        <w:rPr>
          <w:color w:val="216E75"/>
          <w:sz w:val="30"/>
        </w:rPr>
        <w:t>A staged exercise should earn permission to expand through observable results.</w:t>
      </w:r>
    </w:p>
    <w:p>
      <w:pPr>
        <w:pStyle w:val="Heading2"/>
      </w:pPr>
      <w:r>
        <w:t>Weeks 1 to 2</w:t>
      </w:r>
    </w:p>
    <w:p>
      <w:r>
        <w:t>Agree the sponsor, workflow and data owner. Select the test phones and participants. Document the existing procedure, define stop conditions and obtain any necessary organizational approval for the controlled exercise.</w:t>
      </w:r>
    </w:p>
    <w:p>
      <w:pPr>
        <w:pStyle w:val="Heading2"/>
      </w:pPr>
      <w:r>
        <w:t>Weeks 3 to 5</w:t>
      </w:r>
    </w:p>
    <w:p>
      <w:r>
        <w:t>Provision devices, test offline maps and measure the physical radio and camera paths. Run interruption, restart, duplicate and revocation cases. Publish the tested-device list and fix failures before inviting broader use.</w:t>
      </w:r>
    </w:p>
    <w:p>
      <w:pPr>
        <w:pStyle w:val="Heading2"/>
      </w:pPr>
      <w:r>
        <w:t>Weeks 6 to 8</w:t>
      </w:r>
    </w:p>
    <w:p>
      <w:r>
        <w:t>Observe bilingual task completion and accessibility with participants. Rehearse on the intended devices, power setup and venue. Compare the digital event trail with a paper or radio baseline using synthetic cargo.</w:t>
      </w:r>
    </w:p>
    <w:p>
      <w:pPr>
        <w:pStyle w:val="Heading2"/>
      </w:pPr>
      <w:r>
        <w:t>Weeks 9 to 12</w:t>
      </w:r>
    </w:p>
    <w:p>
      <w:r>
        <w:t>Conduct a supervised shadow exercise, review incidents and support effort, then make a go, revise or stop decision. Discuss a maintenance agreement only if the sponsor accepts the evidence and has an operational owner.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Gate</w:t>
            </w:r>
          </w:p>
        </w:tc>
        <w:tc>
          <w:tcPr>
            <w:tcW w:type="dxa" w:w="720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Required decision evidence</w:t>
            </w:r>
          </w:p>
        </w:tc>
      </w:tr>
      <w:tr>
        <w:trPr>
          <w:cantSplit/>
        </w:trPr>
        <w:tc>
          <w:tcPr>
            <w:tcW w:type="dxa" w:w="288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Technical acceptance</w:t>
            </w:r>
          </w:p>
        </w:tc>
        <w:tc>
          <w:tcPr>
            <w:tcW w:type="dxa" w:w="72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Physical relay, camera, recovery and battery records</w:t>
            </w:r>
          </w:p>
        </w:tc>
      </w:tr>
      <w:tr>
        <w:trPr>
          <w:cantSplit/>
        </w:trPr>
        <w:tc>
          <w:tcPr>
            <w:tcW w:type="dxa" w:w="288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Human acceptance</w:t>
            </w:r>
          </w:p>
        </w:tc>
        <w:tc>
          <w:tcPr>
            <w:tcW w:type="dxa" w:w="72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Task success, critical errors and accessibility review</w:t>
            </w:r>
          </w:p>
        </w:tc>
      </w:tr>
      <w:tr>
        <w:trPr>
          <w:cantSplit/>
        </w:trPr>
        <w:tc>
          <w:tcPr>
            <w:tcW w:type="dxa" w:w="288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Governance acceptance</w:t>
            </w:r>
          </w:p>
        </w:tc>
        <w:tc>
          <w:tcPr>
            <w:tcW w:type="dxa" w:w="72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Named owners, retention rules and support plan</w:t>
            </w:r>
          </w:p>
        </w:tc>
      </w:tr>
      <w:tr>
        <w:trPr>
          <w:cantSplit/>
        </w:trPr>
        <w:tc>
          <w:tcPr>
            <w:tcW w:type="dxa" w:w="288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Adoption review</w:t>
            </w:r>
          </w:p>
        </w:tc>
        <w:tc>
          <w:tcPr>
            <w:tcW w:type="dxa" w:w="72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Benefit compared with baseline and approved cost</w:t>
            </w:r>
          </w:p>
        </w:tc>
      </w:tr>
    </w:tbl>
    <w:p>
      <w:pPr>
        <w:spacing w:after="20"/>
      </w:pPr>
    </w:p>
    <w:p>
      <w:pPr>
        <w:pStyle w:val="Caption"/>
        <w:spacing w:before="180"/>
      </w:pPr>
      <w:r>
        <w:t>Proposed duration and activities. This schedule is not an organizer requirement or committed customer project.</w:t>
      </w:r>
    </w:p>
    <w:p>
      <w:r>
        <w:br w:type="page"/>
      </w:r>
    </w:p>
    <w:p>
      <w:pPr>
        <w:pStyle w:val="Caption"/>
      </w:pPr>
      <w:r>
        <w:t>36     /     THE DEPLOYMENT</w:t>
      </w:r>
    </w:p>
    <w:p>
      <w:pPr>
        <w:pStyle w:val="Heading1"/>
      </w:pPr>
      <w:r>
        <w:t>Impact and inclusion measurement</w:t>
      </w:r>
    </w:p>
    <w:p>
      <w:pPr>
        <w:spacing w:after="260"/>
      </w:pPr>
      <w:r>
        <w:rPr>
          <w:color w:val="216E75"/>
          <w:sz w:val="30"/>
        </w:rPr>
        <w:t>A credible impact claim starts with a measured change in the delivery workflow.</w:t>
      </w:r>
    </w:p>
    <w:p>
      <w:pPr>
        <w:pStyle w:val="Heading2"/>
      </w:pPr>
      <w:r>
        <w:t>What to measure</w:t>
      </w:r>
    </w:p>
    <w:p>
      <w:r>
        <w:t>Compare time from request creation to assignment and verified receipt. Track missing requests, duplicate effects, unresolved conflicts and incomplete custody chains. Record human overrides and whether participants understand the difference between queued and accepted states.</w:t>
      </w:r>
    </w:p>
    <w:p>
      <w:pPr>
        <w:pStyle w:val="Heading2"/>
      </w:pPr>
      <w:r>
        <w:t>Operational denominators</w:t>
      </w:r>
    </w:p>
    <w:p>
      <w:r>
        <w:t>Report successful handoffs as a fraction of attempted handoffs. Separate planned disconnections from unexpected failures. Break task results down by device model, language and participant experience. Do not present a mean alone when a small number of severe failures determine usability.</w:t>
      </w:r>
    </w:p>
    <w:p>
      <w:pPr>
        <w:pStyle w:val="Heading2"/>
      </w:pPr>
      <w:r>
        <w:t>Inclusion</w:t>
      </w:r>
    </w:p>
    <w:p>
      <w:r>
        <w:t>Bundled Bangla and English remove one download and language barrier. They do not establish accessibility by themselves. Include people with disabilities, older responders and participants with limited smartphone experience in a consented study, and adapt the interface to observed problems.</w:t>
      </w:r>
    </w:p>
    <w:p>
      <w:pPr>
        <w:pStyle w:val="Heading2"/>
      </w:pPr>
      <w:r>
        <w:t>Longer-term contribution</w:t>
      </w:r>
    </w:p>
    <w:p>
      <w:r>
        <w:t>Reliable coordination could support health logistics, disaster preparedness and accountable delivery, connecting the project to SDGs 3, 9, 11, 13 and 16. Lives saved, carbon savings and cost reductions remain unmeasured and must not be claimed from the prototype.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Outcome</w:t>
            </w:r>
          </w:p>
        </w:tc>
        <w:tc>
          <w:tcPr>
            <w:tcW w:type="dxa" w:w="720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Pilot measure</w:t>
            </w:r>
          </w:p>
        </w:tc>
      </w:tr>
      <w:tr>
        <w:trPr>
          <w:cantSplit/>
        </w:trPr>
        <w:tc>
          <w:tcPr>
            <w:tcW w:type="dxa" w:w="288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Record continuity</w:t>
            </w:r>
          </w:p>
        </w:tc>
        <w:tc>
          <w:tcPr>
            <w:tcW w:type="dxa" w:w="72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Requests recovered after restart / requests created</w:t>
            </w:r>
          </w:p>
        </w:tc>
      </w:tr>
      <w:tr>
        <w:trPr>
          <w:cantSplit/>
        </w:trPr>
        <w:tc>
          <w:tcPr>
            <w:tcW w:type="dxa" w:w="288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Delivery accountability</w:t>
            </w:r>
          </w:p>
        </w:tc>
        <w:tc>
          <w:tcPr>
            <w:tcW w:type="dxa" w:w="72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Complete receipt chains / attempted handoffs</w:t>
            </w:r>
          </w:p>
        </w:tc>
      </w:tr>
      <w:tr>
        <w:trPr>
          <w:cantSplit/>
        </w:trPr>
        <w:tc>
          <w:tcPr>
            <w:tcW w:type="dxa" w:w="288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Usability</w:t>
            </w:r>
          </w:p>
        </w:tc>
        <w:tc>
          <w:tcPr>
            <w:tcW w:type="dxa" w:w="72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Unassisted task success and critical-error count</w:t>
            </w:r>
          </w:p>
        </w:tc>
      </w:tr>
      <w:tr>
        <w:trPr>
          <w:cantSplit/>
        </w:trPr>
        <w:tc>
          <w:tcPr>
            <w:tcW w:type="dxa" w:w="288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Reliability</w:t>
            </w:r>
          </w:p>
        </w:tc>
        <w:tc>
          <w:tcPr>
            <w:tcW w:type="dxa" w:w="72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Median and p95 latency by tested device</w:t>
            </w:r>
          </w:p>
        </w:tc>
      </w:tr>
      <w:tr>
        <w:trPr>
          <w:cantSplit/>
        </w:trPr>
        <w:tc>
          <w:tcPr>
            <w:tcW w:type="dxa" w:w="288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Support burden</w:t>
            </w:r>
          </w:p>
        </w:tc>
        <w:tc>
          <w:tcPr>
            <w:tcW w:type="dxa" w:w="72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Staff hours per exercise and incident</w:t>
            </w:r>
          </w:p>
        </w:tc>
      </w:tr>
    </w:tbl>
    <w:p>
      <w:pPr>
        <w:spacing w:after="20"/>
      </w:pPr>
    </w:p>
    <w:p>
      <w:pPr>
        <w:pStyle w:val="Caption"/>
        <w:spacing w:before="180"/>
      </w:pPr>
      <w:r>
        <w:t>Proposed evaluation framework. No field impact results are reported.</w:t>
      </w:r>
    </w:p>
    <w:p>
      <w:r>
        <w:br w:type="page"/>
      </w:r>
    </w:p>
    <w:p>
      <w:pPr>
        <w:pStyle w:val="Caption"/>
      </w:pPr>
      <w:r>
        <w:t>37     /     THE DEPLOYMENT</w:t>
      </w:r>
    </w:p>
    <w:p>
      <w:pPr>
        <w:pStyle w:val="Heading1"/>
      </w:pPr>
      <w:r>
        <w:t>Innovation fair demonstration</w:t>
      </w:r>
    </w:p>
    <w:p>
      <w:pPr>
        <w:spacing w:after="260"/>
      </w:pPr>
      <w:r>
        <w:rPr>
          <w:color w:val="216E75"/>
          <w:sz w:val="30"/>
        </w:rPr>
        <w:t>A short connected story can show the product and its limits clearly.</w:t>
      </w:r>
    </w:p>
    <w:p>
      <w:pPr>
        <w:pStyle w:val="Heading2"/>
      </w:pPr>
      <w:r>
        <w:t>Opening minute</w:t>
      </w:r>
    </w:p>
    <w:p>
      <w:r>
        <w:t>Show that the field app has bundled languages and offline state. Explain the clinic-to-hospital mission and identify every simulated environmental and vehicle input. Present a saved urgent request and its local queue.</w:t>
      </w:r>
    </w:p>
    <w:p>
      <w:pPr>
        <w:pStyle w:val="Heading2"/>
      </w:pPr>
      <w:r>
        <w:t>Middle sequence</w:t>
      </w:r>
    </w:p>
    <w:p>
      <w:r>
        <w:t>Show a role denial, route failure, boat fallback and a priority proposal. Explain one architectural point: the phone owns the record and can calculate locally. Use the projector as an observer, then demonstrate its disconnect recovery with the appropriate evidence boundary.</w:t>
      </w:r>
    </w:p>
    <w:p>
      <w:pPr>
        <w:pStyle w:val="Heading2"/>
      </w:pPr>
      <w:r>
        <w:t>Closing proof</w:t>
      </w:r>
    </w:p>
    <w:p>
      <w:r>
        <w:t>Accept a signed handoff once, reject its replay and show a tampered offer failing. Summarize the physical gates still ahead and ask the audience for a sponsored controlled exercise. Deeper technical slides can answer questions after the core pitch.</w:t>
      </w:r>
    </w:p>
    <w:p>
      <w:pPr>
        <w:pStyle w:val="Heading2"/>
      </w:pPr>
      <w:r>
        <w:t>Booth preparation</w:t>
      </w:r>
    </w:p>
    <w:p>
      <w:r>
        <w:t>Use the documented reset and deterministic seed. Prepare the exact phones, local power, projector, offline assets and backup demonstration material. Organizer confirmation of stall, schedule and equipment remains separate from software readiness.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Suggested core pitch</w:t>
            </w:r>
          </w:p>
        </w:tc>
        <w:tc>
          <w:tcPr>
            <w:tcW w:type="dxa" w:w="720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Focus</w:t>
            </w:r>
          </w:p>
        </w:tc>
      </w:tr>
      <w:tr>
        <w:trPr>
          <w:cantSplit/>
        </w:trPr>
        <w:tc>
          <w:tcPr>
            <w:tcW w:type="dxa" w:w="288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0:00–1:00</w:t>
            </w:r>
          </w:p>
        </w:tc>
        <w:tc>
          <w:tcPr>
            <w:tcW w:type="dxa" w:w="72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Problem and offline request</w:t>
            </w:r>
          </w:p>
        </w:tc>
      </w:tr>
      <w:tr>
        <w:trPr>
          <w:cantSplit/>
        </w:trPr>
        <w:tc>
          <w:tcPr>
            <w:tcW w:type="dxa" w:w="288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1:00–3:00</w:t>
            </w:r>
          </w:p>
        </w:tc>
        <w:tc>
          <w:tcPr>
            <w:tcW w:type="dxa" w:w="72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Route failure and human priority decision</w:t>
            </w:r>
          </w:p>
        </w:tc>
      </w:tr>
      <w:tr>
        <w:trPr>
          <w:cantSplit/>
        </w:trPr>
        <w:tc>
          <w:tcPr>
            <w:tcW w:type="dxa" w:w="288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3:00–4:00</w:t>
            </w:r>
          </w:p>
        </w:tc>
        <w:tc>
          <w:tcPr>
            <w:tcW w:type="dxa" w:w="72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Signed delivery and rejection proof</w:t>
            </w:r>
          </w:p>
        </w:tc>
      </w:tr>
      <w:tr>
        <w:trPr>
          <w:cantSplit/>
        </w:trPr>
        <w:tc>
          <w:tcPr>
            <w:tcW w:type="dxa" w:w="288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4:00–5:00</w:t>
            </w:r>
          </w:p>
        </w:tc>
        <w:tc>
          <w:tcPr>
            <w:tcW w:type="dxa" w:w="72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Evidence limits and pilot request</w:t>
            </w:r>
          </w:p>
        </w:tc>
      </w:tr>
    </w:tbl>
    <w:p>
      <w:pPr>
        <w:spacing w:after="20"/>
      </w:pPr>
    </w:p>
    <w:p>
      <w:pPr>
        <w:pStyle w:val="Caption"/>
        <w:spacing w:before="180"/>
      </w:pPr>
      <w:r>
        <w:t>Suggested five-minute narrative. Actual speaking time and booth requirements require organizer confirmation [S05, R08].</w:t>
      </w:r>
    </w:p>
    <w:p>
      <w:r>
        <w:br w:type="page"/>
      </w:r>
    </w:p>
    <w:p>
      <w:pPr>
        <w:pStyle w:val="Caption"/>
      </w:pPr>
      <w:r>
        <w:t>38     /     THE DEPLOYMENT</w:t>
      </w:r>
    </w:p>
    <w:p>
      <w:pPr>
        <w:pStyle w:val="Heading1"/>
      </w:pPr>
      <w:r>
        <w:t>Team and partnership request</w:t>
      </w:r>
    </w:p>
    <w:p>
      <w:pPr>
        <w:spacing w:after="260"/>
      </w:pPr>
      <w:r>
        <w:rPr>
          <w:color w:val="216E75"/>
          <w:sz w:val="30"/>
        </w:rPr>
        <w:t>The next milestone is a jointly owned exercise with real operators and phones.</w:t>
      </w:r>
    </w:p>
    <w:p>
      <w:pPr>
        <w:pStyle w:val="Heading2"/>
      </w:pPr>
      <w:r>
        <w:t>Project lead</w:t>
      </w:r>
    </w:p>
    <w:p>
      <w:r>
        <w:t>Touhidul Alam Seyam of BGC Trust University Bangladesh leads the individual project. The repository describes work across Android, Go services, the command interface, cryptographic integration, routing, model integration and evidence capture. No additional team member is recorded for the exhibition.</w:t>
      </w:r>
    </w:p>
    <w:p>
      <w:pPr>
        <w:pStyle w:val="Heading2"/>
      </w:pPr>
      <w:r>
        <w:t>What a partner can contribute</w:t>
      </w:r>
    </w:p>
    <w:p>
      <w:r>
        <w:t>An operational sponsor can identify one meaningful supply workflow and the person authorized to own it. A logistics partner can provide experienced operators and a baseline procedure. A technical or academic reviewer can challenge the security, data, accessibility and evaluation design.</w:t>
      </w:r>
    </w:p>
    <w:p>
      <w:pPr>
        <w:pStyle w:val="Heading2"/>
      </w:pPr>
      <w:r>
        <w:t>What Digital Delta brings</w:t>
      </w:r>
    </w:p>
    <w:p>
      <w:r>
        <w:t>The current package includes implemented field workflows, an optional command dashboard, local verification scripts, synthetic scenarios, paired screenshots and documented open gates. It provides a concrete starting point for a controlled exercise.</w:t>
      </w:r>
    </w:p>
    <w:p>
      <w:pPr>
        <w:pStyle w:val="Heading2"/>
      </w:pPr>
      <w:r>
        <w:t>The request</w:t>
      </w:r>
    </w:p>
    <w:p>
      <w:r>
        <w:t>Agree a discovery meeting and nominate an operational owner. Define a supervised three-phone test before discussing wider deployment. Market readiness will depend on measured reliability, training burden and sustained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Project resource</w:t>
            </w:r>
          </w:p>
        </w:tc>
        <w:tc>
          <w:tcPr>
            <w:tcW w:type="dxa" w:w="7200"/>
            <w:vAlign w:val="center"/>
            <w:shd w:fill="153D4D"/>
            <w:tcMar>
              <w:top w:w="75" w:type="dxa"/>
              <w:bottom w:w="75" w:type="dxa"/>
              <w:start w:w="75" w:type="dxa"/>
              <w:end w:w="75" w:type="dxa"/>
            </w:tcMar>
          </w:tcPr>
          <w:p>
            <w:pPr>
              <w:spacing w:after="40" w:before="40" w:line="252" w:lineRule="auto"/>
            </w:pPr>
            <w:r>
              <w:rPr>
                <w:rFonts w:ascii="Arial" w:hAnsi="Arial"/>
                <w:b/>
                <w:color w:val="FFFFFF"/>
                <w:sz w:val="20"/>
              </w:rPr>
              <w:t>Location</w:t>
            </w:r>
          </w:p>
        </w:tc>
      </w:tr>
      <w:tr>
        <w:trPr>
          <w:cantSplit/>
        </w:trPr>
        <w:tc>
          <w:tcPr>
            <w:tcW w:type="dxa" w:w="288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Source repository</w:t>
            </w:r>
          </w:p>
        </w:tc>
        <w:tc>
          <w:tcPr>
            <w:tcW w:type="dxa" w:w="72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github.com/Seyamalam/digital-delta</w:t>
            </w:r>
          </w:p>
        </w:tc>
      </w:tr>
      <w:tr>
        <w:trPr>
          <w:cantSplit/>
        </w:trPr>
        <w:tc>
          <w:tcPr>
            <w:tcW w:type="dxa" w:w="288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Optional public headquarters</w:t>
            </w:r>
          </w:p>
        </w:tc>
        <w:tc>
          <w:tcPr>
            <w:tcW w:type="dxa" w:w="72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digital-delta-headquarters.vercel.app</w:t>
            </w:r>
          </w:p>
        </w:tc>
      </w:tr>
      <w:tr>
        <w:trPr>
          <w:cantSplit/>
        </w:trPr>
        <w:tc>
          <w:tcPr>
            <w:tcW w:type="dxa" w:w="288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Local verification</w:t>
            </w:r>
          </w:p>
        </w:tc>
        <w:tc>
          <w:tcPr>
            <w:tcW w:type="dxa" w:w="7200"/>
            <w:vAlign w:val="center"/>
            <w:shd w:fill="FFFFFF"/>
            <w:tcMar>
              <w:top w:w="75" w:type="dxa"/>
              <w:bottom w:w="75" w:type="dxa"/>
              <w:start w:w="75" w:type="dxa"/>
              <w:end w:w="75" w:type="dxa"/>
            </w:tcMar>
          </w:tcPr>
          <w:p>
            <w:pPr>
              <w:spacing w:after="40" w:before="40" w:line="252" w:lineRule="auto"/>
            </w:pPr>
            <w:r>
              <w:rPr>
                <w:rFonts w:ascii="Arial" w:hAnsi="Arial"/>
                <w:b w:val="0"/>
                <w:color w:val="182E2C"/>
                <w:sz w:val="20"/>
              </w:rPr>
              <w:t>scripts/verify-local.sh</w:t>
            </w:r>
          </w:p>
        </w:tc>
      </w:tr>
      <w:tr>
        <w:trPr>
          <w:cantSplit/>
        </w:trPr>
        <w:tc>
          <w:tcPr>
            <w:tcW w:type="dxa" w:w="288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Physical acceptance plan</w:t>
            </w:r>
          </w:p>
        </w:tc>
        <w:tc>
          <w:tcPr>
            <w:tcW w:type="dxa" w:w="7200"/>
            <w:vAlign w:val="center"/>
            <w:shd w:fill="F2F5F5"/>
            <w:tcMar>
              <w:top w:w="75" w:type="dxa"/>
              <w:bottom w:w="75" w:type="dxa"/>
              <w:start w:w="75" w:type="dxa"/>
              <w:end w:w="75" w:type="dxa"/>
            </w:tcMar>
          </w:tcPr>
          <w:p>
            <w:pPr>
              <w:spacing w:after="40" w:before="40" w:line="252" w:lineRule="auto"/>
            </w:pPr>
            <w:r>
              <w:rPr>
                <w:rFonts w:ascii="Arial" w:hAnsi="Arial"/>
                <w:b w:val="0"/>
                <w:color w:val="182E2C"/>
                <w:sz w:val="20"/>
              </w:rPr>
              <w:t>docs/PHYSICAL_DEVICE_TEST.md</w:t>
            </w:r>
          </w:p>
        </w:tc>
      </w:tr>
    </w:tbl>
    <w:p>
      <w:pPr>
        <w:spacing w:after="20"/>
      </w:pPr>
    </w:p>
    <w:p>
      <w:pPr>
        <w:pStyle w:val="Caption"/>
        <w:spacing w:before="180"/>
      </w:pPr>
      <w:r>
        <w:t>R01 and R08. No customer, institutional endorsement, award or funding commitment is claimed.</w:t>
      </w:r>
    </w:p>
    <w:p>
      <w:r>
        <w:br w:type="page"/>
      </w:r>
    </w:p>
    <w:p>
      <w:pPr>
        <w:pStyle w:val="Caption"/>
      </w:pPr>
      <w:r>
        <w:t>39     /     SOURCES AND EVIDENCE</w:t>
      </w:r>
    </w:p>
    <w:p>
      <w:pPr>
        <w:pStyle w:val="Heading1"/>
      </w:pPr>
      <w:r>
        <w:t>Research source register</w:t>
      </w:r>
    </w:p>
    <w:p>
      <w:pPr>
        <w:spacing w:after="260"/>
      </w:pPr>
      <w:r>
        <w:rPr>
          <w:color w:val="216E75"/>
          <w:sz w:val="30"/>
        </w:rPr>
        <w:t>Primary sources support the problem framing and product comparison.</w:t>
      </w:r>
    </w:p>
    <w:p>
      <w:pPr>
        <w:spacing w:after="40"/>
      </w:pPr>
      <w:r>
        <w:rPr>
          <w:b/>
          <w:sz w:val="21"/>
        </w:rPr>
        <w:t>S01  United Nations Bangladesh</w:t>
      </w:r>
    </w:p>
    <w:p>
      <w:pPr>
        <w:pStyle w:val="Caption"/>
        <w:spacing w:after="40"/>
      </w:pPr>
      <w:r>
        <w:t>Flash Floods Humanitarian Response Plan 2022</w:t>
      </w:r>
      <w:hyperlink r:id="rId43">
        <w:r>
          <w:rPr>
            <w:color w:val="216E75"/>
          </w:rPr>
          <w:t xml:space="preserve">  Open source</w:t>
        </w:r>
      </w:hyperlink>
    </w:p>
    <w:p>
      <w:pPr>
        <w:pStyle w:val="Caption"/>
      </w:pPr>
      <w:r>
        <w:t>27 June 2022</w:t>
      </w:r>
    </w:p>
    <w:p>
      <w:pPr>
        <w:spacing w:after="40"/>
      </w:pPr>
      <w:r>
        <w:rPr>
          <w:b/>
          <w:sz w:val="21"/>
        </w:rPr>
        <w:t>S02  UN Resident Coordinator Bangladesh</w:t>
      </w:r>
    </w:p>
    <w:p>
      <w:pPr>
        <w:pStyle w:val="Caption"/>
        <w:spacing w:after="40"/>
      </w:pPr>
      <w:r>
        <w:t>Severe Flash Floods Situation Update 1</w:t>
      </w:r>
      <w:hyperlink r:id="rId44">
        <w:r>
          <w:rPr>
            <w:color w:val="216E75"/>
          </w:rPr>
          <w:t xml:space="preserve">  Open source</w:t>
        </w:r>
      </w:hyperlink>
    </w:p>
    <w:p>
      <w:pPr>
        <w:pStyle w:val="Caption"/>
      </w:pPr>
      <w:r>
        <w:t>19 June 2022</w:t>
      </w:r>
    </w:p>
    <w:p>
      <w:pPr>
        <w:spacing w:after="40"/>
      </w:pPr>
      <w:r>
        <w:rPr>
          <w:b/>
          <w:sz w:val="21"/>
        </w:rPr>
        <w:t>S03  Needs Assessment Working Group</w:t>
      </w:r>
    </w:p>
    <w:p>
      <w:pPr>
        <w:pStyle w:val="Caption"/>
        <w:spacing w:after="40"/>
      </w:pPr>
      <w:r>
        <w:t>Rapid Assessment of Northeastern Flood 2024</w:t>
      </w:r>
      <w:hyperlink r:id="rId45">
        <w:r>
          <w:rPr>
            <w:color w:val="216E75"/>
          </w:rPr>
          <w:t xml:space="preserve">  Open source</w:t>
        </w:r>
      </w:hyperlink>
    </w:p>
    <w:p>
      <w:pPr>
        <w:pStyle w:val="Caption"/>
      </w:pPr>
      <w:r>
        <w:t>28 June 2024</w:t>
      </w:r>
    </w:p>
    <w:p>
      <w:pPr>
        <w:spacing w:after="40"/>
      </w:pPr>
      <w:r>
        <w:rPr>
          <w:b/>
          <w:sz w:val="21"/>
        </w:rPr>
        <w:t>S04  World Bank</w:t>
      </w:r>
    </w:p>
    <w:p>
      <w:pPr>
        <w:pStyle w:val="Caption"/>
        <w:spacing w:after="40"/>
      </w:pPr>
      <w:r>
        <w:t>Bangladesh flood risk reduction and recovery financing</w:t>
      </w:r>
      <w:hyperlink r:id="rId46">
        <w:r>
          <w:rPr>
            <w:color w:val="216E75"/>
          </w:rPr>
          <w:t xml:space="preserve">  Open source</w:t>
        </w:r>
      </w:hyperlink>
    </w:p>
    <w:p>
      <w:pPr>
        <w:pStyle w:val="Caption"/>
      </w:pPr>
      <w:r>
        <w:t>14 May 2025</w:t>
      </w:r>
    </w:p>
    <w:p>
      <w:pPr>
        <w:spacing w:after="40"/>
      </w:pPr>
      <w:r>
        <w:rPr>
          <w:b/>
          <w:sz w:val="21"/>
        </w:rPr>
        <w:t>S05  Bangladesh Innovation Fair</w:t>
      </w:r>
    </w:p>
    <w:p>
      <w:pPr>
        <w:pStyle w:val="Caption"/>
        <w:spacing w:after="40"/>
      </w:pPr>
      <w:r>
        <w:t>Innovate to Market and exhibitor information</w:t>
      </w:r>
      <w:hyperlink r:id="rId47">
        <w:r>
          <w:rPr>
            <w:color w:val="216E75"/>
          </w:rPr>
          <w:t xml:space="preserve">  Open source</w:t>
        </w:r>
      </w:hyperlink>
    </w:p>
    <w:p>
      <w:pPr>
        <w:pStyle w:val="Caption"/>
      </w:pPr>
      <w:r>
        <w:t>Accessed 4 September 2026</w:t>
      </w:r>
    </w:p>
    <w:p>
      <w:pPr>
        <w:spacing w:after="40"/>
      </w:pPr>
      <w:r>
        <w:rPr>
          <w:b/>
          <w:sz w:val="21"/>
        </w:rPr>
        <w:t>S06  Sahana Software Foundation</w:t>
      </w:r>
    </w:p>
    <w:p>
      <w:pPr>
        <w:pStyle w:val="Caption"/>
        <w:spacing w:after="40"/>
      </w:pPr>
      <w:r>
        <w:t>Eden Legacy Archive and documented capabilities</w:t>
      </w:r>
      <w:hyperlink r:id="rId48">
        <w:r>
          <w:rPr>
            <w:color w:val="216E75"/>
          </w:rPr>
          <w:t xml:space="preserve">  Open source</w:t>
        </w:r>
      </w:hyperlink>
    </w:p>
    <w:p>
      <w:pPr>
        <w:pStyle w:val="Caption"/>
      </w:pPr>
      <w:r>
        <w:t>Accessed 4 September 2026</w:t>
      </w:r>
    </w:p>
    <w:p>
      <w:pPr>
        <w:spacing w:after="40"/>
      </w:pPr>
      <w:r>
        <w:rPr>
          <w:b/>
          <w:sz w:val="21"/>
        </w:rPr>
        <w:t>S07  KoboToolbox</w:t>
      </w:r>
    </w:p>
    <w:p>
      <w:pPr>
        <w:pStyle w:val="Caption"/>
        <w:spacing w:after="40"/>
      </w:pPr>
      <w:r>
        <w:t>Collecting data using KoboCollect</w:t>
      </w:r>
      <w:hyperlink r:id="rId49">
        <w:r>
          <w:rPr>
            <w:color w:val="216E75"/>
          </w:rPr>
          <w:t xml:space="preserve">  Open source</w:t>
        </w:r>
      </w:hyperlink>
    </w:p>
    <w:p>
      <w:pPr>
        <w:pStyle w:val="Caption"/>
      </w:pPr>
      <w:r>
        <w:t>Updated 17 July 2026</w:t>
      </w:r>
    </w:p>
    <w:p>
      <w:pPr>
        <w:spacing w:after="40"/>
      </w:pPr>
      <w:r>
        <w:rPr>
          <w:b/>
          <w:sz w:val="21"/>
        </w:rPr>
        <w:t>S08  Ushahidi</w:t>
      </w:r>
    </w:p>
    <w:p>
      <w:pPr>
        <w:pStyle w:val="Caption"/>
        <w:spacing w:after="40"/>
      </w:pPr>
      <w:r>
        <w:t>Platform features and enterprise deployments</w:t>
      </w:r>
      <w:hyperlink r:id="rId50">
        <w:r>
          <w:rPr>
            <w:color w:val="216E75"/>
          </w:rPr>
          <w:t xml:space="preserve">  Open source</w:t>
        </w:r>
      </w:hyperlink>
    </w:p>
    <w:p>
      <w:pPr>
        <w:pStyle w:val="Caption"/>
      </w:pPr>
      <w:r>
        <w:t>Accessed 4 September 2026</w:t>
      </w:r>
    </w:p>
    <w:p>
      <w:pPr>
        <w:spacing w:after="40"/>
      </w:pPr>
      <w:r>
        <w:rPr>
          <w:b/>
          <w:sz w:val="21"/>
        </w:rPr>
        <w:t>S09  Briar Project</w:t>
      </w:r>
    </w:p>
    <w:p>
      <w:pPr>
        <w:pStyle w:val="Caption"/>
        <w:spacing w:after="40"/>
      </w:pPr>
      <w:r>
        <w:t>How it works</w:t>
      </w:r>
      <w:hyperlink r:id="rId51">
        <w:r>
          <w:rPr>
            <w:color w:val="216E75"/>
          </w:rPr>
          <w:t xml:space="preserve">  Open source</w:t>
        </w:r>
      </w:hyperlink>
    </w:p>
    <w:p>
      <w:pPr>
        <w:pStyle w:val="Caption"/>
      </w:pPr>
      <w:r>
        <w:t>Accessed 4 September 2026</w:t>
      </w:r>
    </w:p>
    <w:p>
      <w:pPr>
        <w:spacing w:after="40"/>
      </w:pPr>
      <w:r>
        <w:rPr>
          <w:b/>
          <w:sz w:val="21"/>
        </w:rPr>
        <w:t>S10  Meshtastic</w:t>
      </w:r>
    </w:p>
    <w:p>
      <w:pPr>
        <w:pStyle w:val="Caption"/>
        <w:spacing w:after="40"/>
      </w:pPr>
      <w:r>
        <w:t>Introduction to off grid mesh communication</w:t>
      </w:r>
      <w:hyperlink r:id="rId52">
        <w:r>
          <w:rPr>
            <w:color w:val="216E75"/>
          </w:rPr>
          <w:t xml:space="preserve">  Open source</w:t>
        </w:r>
      </w:hyperlink>
    </w:p>
    <w:p>
      <w:pPr>
        <w:pStyle w:val="Caption"/>
      </w:pPr>
      <w:r>
        <w:t>Accessed 4 September 2026</w:t>
      </w:r>
    </w:p>
    <w:p>
      <w:r>
        <w:br w:type="page"/>
      </w:r>
    </w:p>
    <w:p>
      <w:pPr>
        <w:pStyle w:val="Caption"/>
      </w:pPr>
      <w:r>
        <w:t>40     /     SOURCES AND EVIDENCE</w:t>
      </w:r>
    </w:p>
    <w:p>
      <w:pPr>
        <w:pStyle w:val="Heading1"/>
      </w:pPr>
      <w:r>
        <w:t>Evidence and illustration register</w:t>
      </w:r>
    </w:p>
    <w:p>
      <w:pPr>
        <w:spacing w:after="260"/>
      </w:pPr>
      <w:r>
        <w:rPr>
          <w:color w:val="216E75"/>
          <w:sz w:val="30"/>
        </w:rPr>
        <w:t>Repository evidence supports implementation claims and identifies the remaining release work.</w:t>
      </w:r>
    </w:p>
    <w:p>
      <w:pPr>
        <w:spacing w:after="40"/>
      </w:pPr>
      <w:r>
        <w:rPr>
          <w:b/>
          <w:sz w:val="21"/>
        </w:rPr>
        <w:t>R01  Digital Delta</w:t>
      </w:r>
    </w:p>
    <w:p>
      <w:pPr>
        <w:pStyle w:val="Caption"/>
        <w:spacing w:after="40"/>
      </w:pPr>
      <w:r>
        <w:t>README and technical architecture</w:t>
      </w:r>
      <w:hyperlink r:id="rId53">
        <w:r>
          <w:rPr>
            <w:color w:val="216E75"/>
          </w:rPr>
          <w:t xml:space="preserve">  Open source</w:t>
        </w:r>
      </w:hyperlink>
    </w:p>
    <w:p>
      <w:pPr>
        <w:pStyle w:val="Caption"/>
      </w:pPr>
      <w:r>
        <w:t>Repository evidence reviewed 4 September 2026</w:t>
      </w:r>
    </w:p>
    <w:p>
      <w:pPr>
        <w:spacing w:after="40"/>
      </w:pPr>
      <w:r>
        <w:rPr>
          <w:b/>
          <w:sz w:val="21"/>
        </w:rPr>
        <w:t>R02  Digital Delta</w:t>
      </w:r>
    </w:p>
    <w:p>
      <w:pPr>
        <w:pStyle w:val="Caption"/>
        <w:spacing w:after="40"/>
      </w:pPr>
      <w:r>
        <w:t>Final local verification gate</w:t>
      </w:r>
    </w:p>
    <w:p>
      <w:pPr>
        <w:pStyle w:val="Caption"/>
      </w:pPr>
      <w:r>
        <w:t>artifacts/reports/verification/2026-09-04-final-local-gate.md</w:t>
      </w:r>
    </w:p>
    <w:p>
      <w:pPr>
        <w:spacing w:after="40"/>
      </w:pPr>
      <w:r>
        <w:rPr>
          <w:b/>
          <w:sz w:val="21"/>
        </w:rPr>
        <w:t>R03  Digital Delta</w:t>
      </w:r>
    </w:p>
    <w:p>
      <w:pPr>
        <w:pStyle w:val="Caption"/>
        <w:spacing w:after="40"/>
      </w:pPr>
      <w:r>
        <w:t>Go 10000 connection load evidence</w:t>
      </w:r>
    </w:p>
    <w:p>
      <w:pPr>
        <w:pStyle w:val="Caption"/>
      </w:pPr>
      <w:r>
        <w:t>artifacts/reports/load/2026-09-04-go-10000.md</w:t>
      </w:r>
    </w:p>
    <w:p>
      <w:pPr>
        <w:spacing w:after="40"/>
      </w:pPr>
      <w:r>
        <w:rPr>
          <w:b/>
          <w:sz w:val="21"/>
        </w:rPr>
        <w:t>R04  Digital Delta</w:t>
      </w:r>
    </w:p>
    <w:p>
      <w:pPr>
        <w:pStyle w:val="Caption"/>
        <w:spacing w:after="40"/>
      </w:pPr>
      <w:r>
        <w:t>Route risk model card</w:t>
      </w:r>
    </w:p>
    <w:p>
      <w:pPr>
        <w:pStyle w:val="Caption"/>
      </w:pPr>
      <w:r>
        <w:t>models/route-decay/MODEL_CARD.md</w:t>
      </w:r>
    </w:p>
    <w:p>
      <w:pPr>
        <w:spacing w:after="40"/>
      </w:pPr>
      <w:r>
        <w:rPr>
          <w:b/>
          <w:sz w:val="21"/>
        </w:rPr>
        <w:t>R05  Digital Delta</w:t>
      </w:r>
    </w:p>
    <w:p>
      <w:pPr>
        <w:pStyle w:val="Caption"/>
        <w:spacing w:after="40"/>
      </w:pPr>
      <w:r>
        <w:t>Testing strategy and physical device gates</w:t>
      </w:r>
    </w:p>
    <w:p>
      <w:pPr>
        <w:pStyle w:val="Caption"/>
      </w:pPr>
      <w:r>
        <w:t>docs/TESTING.md and docs/PHYSICAL_DEVICE_TEST.md</w:t>
      </w:r>
    </w:p>
    <w:p>
      <w:pPr>
        <w:spacing w:after="40"/>
      </w:pPr>
      <w:r>
        <w:rPr>
          <w:b/>
          <w:sz w:val="21"/>
        </w:rPr>
        <w:t>R06  Digital Delta</w:t>
      </w:r>
    </w:p>
    <w:p>
      <w:pPr>
        <w:pStyle w:val="Caption"/>
        <w:spacing w:after="40"/>
      </w:pPr>
      <w:r>
        <w:t>Bilingual screenshot evidence</w:t>
      </w:r>
    </w:p>
    <w:p>
      <w:pPr>
        <w:pStyle w:val="Caption"/>
      </w:pPr>
      <w:r>
        <w:t>artifacts/screenshots/field-bn, field-en, command-bn, command-en</w:t>
      </w:r>
    </w:p>
    <w:p>
      <w:pPr>
        <w:spacing w:after="40"/>
      </w:pPr>
      <w:r>
        <w:rPr>
          <w:b/>
          <w:sz w:val="21"/>
        </w:rPr>
        <w:t>R07  Digital Delta</w:t>
      </w:r>
    </w:p>
    <w:p>
      <w:pPr>
        <w:pStyle w:val="Caption"/>
        <w:spacing w:after="40"/>
      </w:pPr>
      <w:r>
        <w:t>Security model and public claim audit</w:t>
      </w:r>
    </w:p>
    <w:p>
      <w:pPr>
        <w:pStyle w:val="Caption"/>
      </w:pPr>
      <w:r>
        <w:t>docs/SECURITY.md and artifacts/reports/claim-audit/2026-09-04.md</w:t>
      </w:r>
    </w:p>
    <w:p>
      <w:pPr>
        <w:spacing w:after="40"/>
      </w:pPr>
      <w:r>
        <w:rPr>
          <w:b/>
          <w:sz w:val="21"/>
        </w:rPr>
        <w:t>R08  Digital Delta</w:t>
      </w:r>
    </w:p>
    <w:p>
      <w:pPr>
        <w:pStyle w:val="Caption"/>
        <w:spacing w:after="40"/>
      </w:pPr>
      <w:r>
        <w:t>Product requirements and fair research</w:t>
      </w:r>
    </w:p>
    <w:p>
      <w:pPr>
        <w:pStyle w:val="Caption"/>
      </w:pPr>
      <w:r>
        <w:t>docs/PRD.md and research/innovation-fair-fit.md</w:t>
      </w:r>
    </w:p>
    <w:p>
      <w:pPr>
        <w:pStyle w:val="Heading2"/>
      </w:pPr>
      <w:r>
        <w:t>Illustration and diagram provenance</w:t>
      </w:r>
    </w:p>
    <w:p>
      <w:pPr>
        <w:pStyle w:val="Caption"/>
      </w:pPr>
      <w:r>
        <w:t>Cover artwork: AI-generated conceptual illustration created for this report. All product images: unaltered application screenshots from the repository. Architecture figures: original explanatory drawings derived from repository documentation. The matching PowerPoint includes editable diagrams. Basemap credit: OpenStreetMap contributors.</w:t>
      </w:r>
    </w:p>
    <w:p>
      <w:pPr>
        <w:pStyle w:val="Heading2"/>
      </w:pPr>
      <w:r>
        <w:t>Evidence reading order</w:t>
      </w:r>
    </w:p>
    <w:p>
      <w:pPr>
        <w:pStyle w:val="Caption"/>
      </w:pPr>
      <w:r>
        <w:t>Prefer the dated final verification and claim-audit reports for current status. Older runbooks can describe earlier gate counts or planned work. No new automated or physical acceptance run was performed solely to produce these documents.</w:t>
      </w:r>
    </w:p>
    <w:sectPr w:rsidR="00FC693F" w:rsidRPr="0006063C" w:rsidSect="00034616">
      <w:headerReference w:type="default" r:id="rId9"/>
      <w:footerReference w:type="default" r:id="rId10"/>
      <w:pgSz w:w="12240" w:h="15840"/>
      <w:pgMar w:top="936" w:right="1080" w:bottom="936" w:left="1080" w:header="360" w:footer="38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76B6D"/>
        <w:sz w:val="16"/>
      </w:rPr>
      <w:t xml:space="preserve">INNOVATE TO MARKET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DIGITAL DELTA     /     INNOVATION AND MARKET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eastAsia="Arial" w:cs="Kohinoor Bangla"/>
      <w:color w:val="182E2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Georgia" w:hAnsi="Georgia" w:eastAsia="Arial" w:cs="Kohinoor Bangla"/>
      <w:b w:val="0"/>
      <w:bCs/>
      <w:color w:val="000000"/>
      <w:sz w:val="5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Arial" w:hAnsi="Arial" w:eastAsia="Arial" w:cs="Kohinoor Bangla"/>
      <w:b/>
      <w:bCs/>
      <w:color w:val="123D3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Kohinoor Bangla"/>
      <w:b/>
      <w:bCs/>
      <w:color w:val="182E2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Georgia" w:hAnsi="Georgia" w:eastAsia="Arial" w:cs="Kohinoor Bangla"/>
      <w:color w:val="000000"/>
      <w:spacing w:val="5"/>
      <w:kern w:val="28"/>
      <w:sz w:val="8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Kohinoor Bangla"/>
      <w:i w:val="0"/>
      <w:iCs/>
      <w:color w:val="216E75"/>
      <w:spacing w:val="15"/>
      <w:sz w:val="3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cs="Kohinoor Bangla"/>
      <w:color w:val="182E2C"/>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eastAsia="Arial" w:cs="Kohinoor Bangla"/>
      <w:b w:val="0"/>
      <w:bCs/>
      <w:i w:val="0"/>
      <w:color w:val="576B6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hyperlink" Target="https://bangladesh.un.org/en/188010-flash-floods-humanitarian-response-plan-2022-united-nations-bangladesh-coordinated-appeal" TargetMode="External"/><Relationship Id="rId44" Type="http://schemas.openxmlformats.org/officeDocument/2006/relationships/hyperlink" Target="https://bangladesh.un.org/sites/default/files/2022-06/situation_overview_flash_flood_final_draft_.pdf" TargetMode="External"/><Relationship Id="rId45" Type="http://schemas.openxmlformats.org/officeDocument/2006/relationships/hyperlink" Target="https://bangladesh.un.org/bn/download/163651/272834" TargetMode="External"/><Relationship Id="rId46" Type="http://schemas.openxmlformats.org/officeDocument/2006/relationships/hyperlink" Target="https://www.worldbank.org/en/news/press-release/2025/05/14/world-bank-supports-bangladesh-in-flood-risk-reduction-and-recovery" TargetMode="External"/><Relationship Id="rId47" Type="http://schemas.openxmlformats.org/officeDocument/2006/relationships/hyperlink" Target="https://www.innovationfairbd.org/" TargetMode="External"/><Relationship Id="rId48" Type="http://schemas.openxmlformats.org/officeDocument/2006/relationships/hyperlink" Target="https://sahanafoundation.org/products/eden/" TargetMode="External"/><Relationship Id="rId49" Type="http://schemas.openxmlformats.org/officeDocument/2006/relationships/hyperlink" Target="https://support.kobotoolbox.org/data_collection_kobocollect.html" TargetMode="External"/><Relationship Id="rId50" Type="http://schemas.openxmlformats.org/officeDocument/2006/relationships/hyperlink" Target="https://www.ushahidi.com/features/" TargetMode="External"/><Relationship Id="rId51" Type="http://schemas.openxmlformats.org/officeDocument/2006/relationships/hyperlink" Target="https://briarproject.org/how-it-works/" TargetMode="External"/><Relationship Id="rId52" Type="http://schemas.openxmlformats.org/officeDocument/2006/relationships/hyperlink" Target="https://meshtastic.org/docs/introduction/" TargetMode="External"/><Relationship Id="rId53" Type="http://schemas.openxmlformats.org/officeDocument/2006/relationships/hyperlink" Target="https://github.com/Seyamalam/digital-del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Delta Innovation and Market Report</dc:title>
  <dc:subject>Bangladesh Innovation Fair project, architecture, evidence and commercialization</dc:subject>
  <dc:creator>Touhidul Alam Seyam</dc:creator>
  <cp:keywords>Digital Delta, Innovation Fair, offline logistics, Bangladesh</cp:keywords>
  <dc:description>generated by python-docx</dc:description>
  <cp:lastModifiedBy/>
  <cp:revision>1</cp:revision>
  <dcterms:created xsi:type="dcterms:W3CDTF">2013-12-23T23:15:00Z</dcterms:created>
  <dcterms:modified xsi:type="dcterms:W3CDTF">2013-12-23T23:15:00Z</dcterms:modified>
  <cp:category/>
</cp:coreProperties>
</file>