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5F"/>
          <w:sz w:val="56"/>
          <w:szCs w:val="56"/>
        </w:rPr>
        <w:t xml:space="preserve">Cahier des charges</w:t>
      </w:r>
    </w:p>
    <w:p>
      <w:pPr>
        <w:spacing w:before="200"/>
        <w:jc w:val="center"/>
      </w:pPr>
      <w:r>
        <w:rPr>
          <w:color w:val="444444"/>
          <w:sz w:val="32"/>
          <w:szCs w:val="32"/>
        </w:rPr>
        <w:t xml:space="preserve">Backend — Plateforme domotique</w:t>
      </w:r>
    </w:p>
    <w:p>
      <w:pPr>
        <w:spacing w:before="100"/>
        <w:jc w:val="center"/>
      </w:pPr>
      <w:r>
        <w:rPr>
          <w:i/>
          <w:iCs/>
          <w:color w:val="666666"/>
          <w:sz w:val="22"/>
          <w:szCs w:val="22"/>
        </w:rPr>
        <w:t xml:space="preserve">Client léger React Native + intégrations centralisées côté serveur</w:t>
      </w:r>
    </w:p>
    <w:p>
      <w:pPr>
        <w:spacing w:before="800"/>
        <w:jc w:val="center"/>
      </w:pPr>
      <w:r>
        <w:rPr>
          <w:color w:val="888888"/>
          <w:sz w:val="20"/>
          <w:szCs w:val="20"/>
        </w:rPr>
        <w:t xml:space="preserve">Version 1.1 — Août 2026 (révisée après relecture)</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Contexte et principe directeur</w:t>
      </w:r>
    </w:p>
    <w:p>
      <w:pPr>
        <w:spacing w:after="120"/>
      </w:pPr>
      <w:r>
        <w:t xml:space="preserve">Ce document spécifie le backend de la plateforme domotique. Le principe directeur retenu, validé au fil des décisions précédentes, est le suivant :</w:t>
      </w:r>
    </w:p>
    <w:p>
      <w:pPr>
        <w:pStyle w:val="ListParagraph"/>
        <w:numPr>
          <w:ilvl w:val="0"/>
          <w:numId w:val="2"/>
        </w:numPr>
        <w:spacing w:after="60"/>
      </w:pPr>
      <w:r>
        <w:t xml:space="preserve">l'application mobile (React Native) est un client léger : elle n'appelle que l'API de ce backend, jamais directement une API tierce (Tuya, Hue…) ni un appareil ;</w:t>
      </w:r>
    </w:p>
    <w:p>
      <w:pPr>
        <w:pStyle w:val="ListParagraph"/>
        <w:numPr>
          <w:ilvl w:val="0"/>
          <w:numId w:val="2"/>
        </w:numPr>
        <w:spacing w:after="60"/>
      </w:pPr>
      <w:r>
        <w:t xml:space="preserve">toute la logique d'intégration — authentification aux clouds tiers, signature des requêtes, traduction des protocoles, gestion des boîtiers Zigbee — est centralisée côté serveur ;</w:t>
      </w:r>
    </w:p>
    <w:p>
      <w:pPr>
        <w:pStyle w:val="ListParagraph"/>
        <w:numPr>
          <w:ilvl w:val="0"/>
          <w:numId w:val="2"/>
        </w:numPr>
        <w:spacing w:after="60"/>
      </w:pPr>
      <w:r>
        <w:t xml:space="preserve">ce choix évite toute dépendance à un SDK natif tiers dans l'app (les bridges React Native pour Tuya sont soit abandonnés soit non officiels) et garde le backend comme unique point de vérité, remplaçable et évolutif indépendamment du frontend.</w:t>
      </w:r>
    </w:p>
    <w:p>
      <w:pPr>
        <w:pStyle w:val="Heading1"/>
        <w:spacing w:after="200" w:before="400"/>
      </w:pPr>
      <w:r>
        <w:t xml:space="preserve">2. Architecture générale du backend</w:t>
      </w:r>
    </w:p>
    <w:p>
      <w:pPr>
        <w:spacing w:after="120"/>
      </w:pPr>
      <w:r>
        <w:t xml:space="preserve">Un seul transport pour les boîtiers, pas deux : toute communication boîtier ↔ cloud passe par le broker MQTT/TLS (EMQX). Le backend applicatif n'ouvre et ne tient aucune connexion persistante avec les boîtiers — il est un simple souscripteur/publieur MQTT, ce qui le garde réellement stateless et redéployable sans déconnecter la flotte. Le WebSocket n'existe qu'entre l'app et le backend (cf. §5).</w:t>
      </w:r>
    </w:p>
    <w:p>
      <w:pPr>
        <w:shd w:fill="F0F0F0" w:color="auto" w:val="clear"/>
        <w:spacing w:after="200" w:before="100"/>
      </w:pPr>
      <w:r>
        <w:rPr>
          <w:rFonts w:ascii="Courier New" w:cs="Courier New" w:eastAsia="Courier New" w:hAnsi="Courier New"/>
          <w:sz w:val="18"/>
          <w:szCs w:val="18"/>
        </w:rPr>
        <w:t xml:space="preserve">React Native (iOS/Android)</w:t>
      </w:r>
      <w:r>
        <w:rPr>
          <w:rFonts w:ascii="Courier New" w:cs="Courier New" w:eastAsia="Courier New" w:hAnsi="Courier New"/>
          <w:sz w:val="18"/>
          <w:szCs w:val="18"/>
        </w:rPr>
        <w:br/>
        <w:t xml:space="preserve">        |  REST/GraphQL + WebSocket (auth JWT)</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   API Gateway / Backend applicatif (stateless, N instances)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Auth Service (comptes utilisateurs, JWT, sessions)</w:t>
      </w:r>
      <w:r>
        <w:rPr>
          <w:rFonts w:ascii="Courier New" w:cs="Courier New" w:eastAsia="Courier New" w:hAnsi="Courier New"/>
          <w:sz w:val="18"/>
          <w:szCs w:val="18"/>
        </w:rPr>
        <w:br/>
        <w:t xml:space="preserve">        +-- Device Service (abstraction Device + Capability)</w:t>
      </w:r>
      <w:r>
        <w:rPr>
          <w:rFonts w:ascii="Courier New" w:cs="Courier New" w:eastAsia="Courier New" w:hAnsi="Courier New"/>
          <w:sz w:val="18"/>
          <w:szCs w:val="18"/>
        </w:rPr>
        <w:br/>
        <w:t xml:space="preserve">        |        +-- Connector Zigbee   -&gt; souscripteur MQTT (broker EMQX)</w:t>
      </w:r>
      <w:r>
        <w:rPr>
          <w:rFonts w:ascii="Courier New" w:cs="Courier New" w:eastAsia="Courier New" w:hAnsi="Courier New"/>
          <w:sz w:val="18"/>
          <w:szCs w:val="18"/>
        </w:rPr>
        <w:br/>
        <w:t xml:space="preserve">        |        +-- Connector Tuya      -&gt; Tuya Cloud API (SDK Node)</w:t>
      </w:r>
      <w:r>
        <w:rPr>
          <w:rFonts w:ascii="Courier New" w:cs="Courier New" w:eastAsia="Courier New" w:hAnsi="Courier New"/>
          <w:sz w:val="18"/>
          <w:szCs w:val="18"/>
        </w:rPr>
        <w:br/>
        <w:t xml:space="preserve">        |        +-- Connector Hue/Tapo  -&gt; (V2)</w:t>
      </w:r>
      <w:r>
        <w:rPr>
          <w:rFonts w:ascii="Courier New" w:cs="Courier New" w:eastAsia="Courier New" w:hAnsi="Courier New"/>
          <w:sz w:val="18"/>
          <w:szCs w:val="18"/>
        </w:rPr>
        <w:br/>
        <w:t xml:space="preserve">        +-- Automation Service (scénarios/scènes, déclencheurs, exécution)</w:t>
      </w:r>
      <w:r>
        <w:rPr>
          <w:rFonts w:ascii="Courier New" w:cs="Courier New" w:eastAsia="Courier New" w:hAnsi="Courier New"/>
          <w:sz w:val="18"/>
          <w:szCs w:val="18"/>
        </w:rPr>
        <w:br/>
        <w:t xml:space="preserve">        +-- Notification Service (push, historique d'alertes)</w:t>
      </w:r>
      <w:r>
        <w:rPr>
          <w:rFonts w:ascii="Courier New" w:cs="Courier New" w:eastAsia="Courier New" w:hAnsi="Courier New"/>
          <w:sz w:val="18"/>
          <w:szCs w:val="18"/>
        </w:rPr>
        <w:br/>
        <w:t xml:space="preserve">        +-- Provisioning Service (claim boîtier, pairing Zigbee)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   PostgreSQL (schéma + historique) + Redis (état chaud + pub/sub)</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Boîtier --MQTT/TLS (mTLS)--&gt; EMQX &lt;-- souscription --&gt; backend</w:t>
      </w:r>
      <w:r>
        <w:rPr>
          <w:rFonts w:ascii="Courier New" w:cs="Courier New" w:eastAsia="Courier New" w:hAnsi="Courier New"/>
          <w:sz w:val="18"/>
          <w:szCs w:val="18"/>
        </w:rPr>
        <w:br/>
        <w:t xml:space="preserve">   ACL par certificat : homes/&lt;home_id&gt;/units/&lt;unit_id&gt;/# uniquement</w:t>
      </w:r>
    </w:p>
    <w:p>
      <w:pPr>
        <w:pStyle w:val="Heading1"/>
        <w:spacing w:after="200" w:before="400"/>
      </w:pPr>
      <w:r>
        <w:t xml:space="preserve">3. Stack technique recommandée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shd w:fill="1F4E5F" w:color="auto" w:val="clear"/>
          </w:tcPr>
          <w:p>
            <w:r>
              <w:rPr>
                <w:b/>
                <w:bCs/>
                <w:color w:val="FFFFFF"/>
                <w:sz w:val="20"/>
                <w:szCs w:val="20"/>
              </w:rPr>
              <w:t xml:space="preserve">Composant</w:t>
            </w:r>
          </w:p>
        </w:tc>
        <w:tc>
          <w:tcPr>
            <w:tcW w:type="dxa" w:w="3000"/>
            <w:shd w:fill="1F4E5F" w:color="auto" w:val="clear"/>
          </w:tcPr>
          <w:p>
            <w:r>
              <w:rPr>
                <w:b/>
                <w:bCs/>
                <w:color w:val="FFFFFF"/>
                <w:sz w:val="20"/>
                <w:szCs w:val="20"/>
              </w:rPr>
              <w:t xml:space="preserve">Choix recommandé</w:t>
            </w:r>
          </w:p>
        </w:tc>
        <w:tc>
          <w:tcPr>
            <w:tcW w:type="dxa" w:w="3800"/>
            <w:shd w:fill="1F4E5F" w:color="auto" w:val="clear"/>
          </w:tcPr>
          <w:p>
            <w:r>
              <w:rPr>
                <w:b/>
                <w:bCs/>
                <w:color w:val="FFFFFF"/>
                <w:sz w:val="20"/>
                <w:szCs w:val="20"/>
              </w:rPr>
              <w:t xml:space="preserve">Justification</w:t>
            </w:r>
          </w:p>
        </w:tc>
      </w:tr>
      <w:tr>
        <w:tc>
          <w:tcPr>
            <w:tcW w:type="dxa" w:w="2200"/>
          </w:tcPr>
          <w:p>
            <w:r>
              <w:rPr>
                <w:b w:val="false"/>
                <w:bCs w:val="false"/>
                <w:sz w:val="20"/>
                <w:szCs w:val="20"/>
              </w:rPr>
              <w:t xml:space="preserve">Langage / runtime backend</w:t>
            </w:r>
          </w:p>
        </w:tc>
        <w:tc>
          <w:tcPr>
            <w:tcW w:type="dxa" w:w="3000"/>
          </w:tcPr>
          <w:p>
            <w:r>
              <w:rPr>
                <w:b w:val="false"/>
                <w:bCs w:val="false"/>
                <w:sz w:val="20"/>
                <w:szCs w:val="20"/>
              </w:rPr>
              <w:t xml:space="preserve">Node.js (TypeScript)</w:t>
            </w:r>
          </w:p>
        </w:tc>
        <w:tc>
          <w:tcPr>
            <w:tcW w:type="dxa" w:w="3800"/>
          </w:tcPr>
          <w:p>
            <w:r>
              <w:rPr>
                <w:b w:val="false"/>
                <w:bCs w:val="false"/>
                <w:sz w:val="20"/>
                <w:szCs w:val="20"/>
              </w:rPr>
              <w:t xml:space="preserve">Cohérence avec React Native (TypeScript partagé), SDK officiel Tuya disponible en Node</w:t>
            </w:r>
          </w:p>
        </w:tc>
      </w:tr>
      <w:tr>
        <w:tc>
          <w:tcPr>
            <w:tcW w:type="dxa" w:w="2200"/>
          </w:tcPr>
          <w:p>
            <w:r>
              <w:rPr>
                <w:b w:val="false"/>
                <w:bCs w:val="false"/>
                <w:sz w:val="20"/>
                <w:szCs w:val="20"/>
              </w:rPr>
              <w:t xml:space="preserve">Framework API</w:t>
            </w:r>
          </w:p>
        </w:tc>
        <w:tc>
          <w:tcPr>
            <w:tcW w:type="dxa" w:w="3000"/>
          </w:tcPr>
          <w:p>
            <w:r>
              <w:rPr>
                <w:b w:val="false"/>
                <w:bCs w:val="false"/>
                <w:sz w:val="20"/>
                <w:szCs w:val="20"/>
              </w:rPr>
              <w:t xml:space="preserve">NestJS ou Express + structuration modulaire</w:t>
            </w:r>
          </w:p>
        </w:tc>
        <w:tc>
          <w:tcPr>
            <w:tcW w:type="dxa" w:w="3800"/>
          </w:tcPr>
          <w:p>
            <w:r>
              <w:rPr>
                <w:b w:val="false"/>
                <w:bCs w:val="false"/>
                <w:sz w:val="20"/>
                <w:szCs w:val="20"/>
              </w:rPr>
              <w:t xml:space="preserve">NestJS apporte une architecture modulaire proche du pattern DeviceConnector déjà défini</w:t>
            </w:r>
          </w:p>
        </w:tc>
      </w:tr>
      <w:tr>
        <w:tc>
          <w:tcPr>
            <w:tcW w:type="dxa" w:w="2200"/>
          </w:tcPr>
          <w:p>
            <w:r>
              <w:rPr>
                <w:b w:val="false"/>
                <w:bCs w:val="false"/>
                <w:sz w:val="20"/>
                <w:szCs w:val="20"/>
              </w:rPr>
              <w:t xml:space="preserve">Base de données</w:t>
            </w:r>
          </w:p>
        </w:tc>
        <w:tc>
          <w:tcPr>
            <w:tcW w:type="dxa" w:w="3000"/>
          </w:tcPr>
          <w:p>
            <w:r>
              <w:rPr>
                <w:b w:val="false"/>
                <w:bCs w:val="false"/>
                <w:sz w:val="20"/>
                <w:szCs w:val="20"/>
              </w:rPr>
              <w:t xml:space="preserve">PostgreSQL</w:t>
            </w:r>
          </w:p>
        </w:tc>
        <w:tc>
          <w:tcPr>
            <w:tcW w:type="dxa" w:w="3800"/>
          </w:tcPr>
          <w:p>
            <w:r>
              <w:rPr>
                <w:b w:val="false"/>
                <w:bCs w:val="false"/>
                <w:sz w:val="20"/>
                <w:szCs w:val="20"/>
              </w:rPr>
              <w:t xml:space="preserve">Modèle relationnel adapté à User → Home → Device Unit → Devices</w:t>
            </w:r>
          </w:p>
        </w:tc>
      </w:tr>
      <w:tr>
        <w:tc>
          <w:tcPr>
            <w:tcW w:type="dxa" w:w="2200"/>
          </w:tcPr>
          <w:p>
            <w:r>
              <w:rPr>
                <w:b w:val="false"/>
                <w:bCs w:val="false"/>
                <w:sz w:val="20"/>
                <w:szCs w:val="20"/>
              </w:rPr>
              <w:t xml:space="preserve">Cache / Pub-Sub interne</w:t>
            </w:r>
          </w:p>
        </w:tc>
        <w:tc>
          <w:tcPr>
            <w:tcW w:type="dxa" w:w="3000"/>
          </w:tcPr>
          <w:p>
            <w:r>
              <w:rPr>
                <w:b w:val="false"/>
                <w:bCs w:val="false"/>
                <w:sz w:val="20"/>
                <w:szCs w:val="20"/>
              </w:rPr>
              <w:t xml:space="preserve">Redis</w:t>
            </w:r>
          </w:p>
        </w:tc>
        <w:tc>
          <w:tcPr>
            <w:tcW w:type="dxa" w:w="3800"/>
          </w:tcPr>
          <w:p>
            <w:r>
              <w:rPr>
                <w:b w:val="false"/>
                <w:bCs w:val="false"/>
                <w:sz w:val="20"/>
                <w:szCs w:val="20"/>
              </w:rPr>
              <w:t xml:space="preserve">Diffusion des changements d'état en temps réel vers les WebSockets clients</w:t>
            </w:r>
          </w:p>
        </w:tc>
      </w:tr>
      <w:tr>
        <w:tc>
          <w:tcPr>
            <w:tcW w:type="dxa" w:w="2200"/>
          </w:tcPr>
          <w:p>
            <w:r>
              <w:rPr>
                <w:b w:val="false"/>
                <w:bCs w:val="false"/>
                <w:sz w:val="20"/>
                <w:szCs w:val="20"/>
              </w:rPr>
              <w:t xml:space="preserve">Broker MQTT cloud (boîtiers)</w:t>
            </w:r>
          </w:p>
        </w:tc>
        <w:tc>
          <w:tcPr>
            <w:tcW w:type="dxa" w:w="3000"/>
          </w:tcPr>
          <w:p>
            <w:r>
              <w:rPr>
                <w:b w:val="false"/>
                <w:bCs w:val="false"/>
                <w:sz w:val="20"/>
                <w:szCs w:val="20"/>
              </w:rPr>
              <w:t xml:space="preserve">EMQX ou AWS IoT Core</w:t>
            </w:r>
          </w:p>
        </w:tc>
        <w:tc>
          <w:tcPr>
            <w:tcW w:type="dxa" w:w="3800"/>
          </w:tcPr>
          <w:p>
            <w:r>
              <w:rPr>
                <w:b w:val="false"/>
                <w:bCs w:val="false"/>
                <w:sz w:val="20"/>
                <w:szCs w:val="20"/>
              </w:rPr>
              <w:t xml:space="preserve">Scalable à des milliers de connexions persistantes, ACL par device</w:t>
            </w:r>
          </w:p>
        </w:tc>
      </w:tr>
      <w:tr>
        <w:tc>
          <w:tcPr>
            <w:tcW w:type="dxa" w:w="2200"/>
          </w:tcPr>
          <w:p>
            <w:r>
              <w:rPr>
                <w:b w:val="false"/>
                <w:bCs w:val="false"/>
                <w:sz w:val="20"/>
                <w:szCs w:val="20"/>
              </w:rPr>
              <w:t xml:space="preserve">Authentification</w:t>
            </w:r>
          </w:p>
        </w:tc>
        <w:tc>
          <w:tcPr>
            <w:tcW w:type="dxa" w:w="3000"/>
          </w:tcPr>
          <w:p>
            <w:r>
              <w:rPr>
                <w:b w:val="false"/>
                <w:bCs w:val="false"/>
                <w:sz w:val="20"/>
                <w:szCs w:val="20"/>
              </w:rPr>
              <w:t xml:space="preserve">JWT (access + refresh token)</w:t>
            </w:r>
          </w:p>
        </w:tc>
        <w:tc>
          <w:tcPr>
            <w:tcW w:type="dxa" w:w="3800"/>
          </w:tcPr>
          <w:p>
            <w:r>
              <w:rPr>
                <w:b w:val="false"/>
                <w:bCs w:val="false"/>
                <w:sz w:val="20"/>
                <w:szCs w:val="20"/>
              </w:rPr>
              <w:t xml:space="preserve">Standard, stateless, compatible mobile</w:t>
            </w:r>
          </w:p>
        </w:tc>
      </w:tr>
      <w:tr>
        <w:tc>
          <w:tcPr>
            <w:tcW w:type="dxa" w:w="2200"/>
          </w:tcPr>
          <w:p>
            <w:r>
              <w:rPr>
                <w:b w:val="false"/>
                <w:bCs w:val="false"/>
                <w:sz w:val="20"/>
                <w:szCs w:val="20"/>
              </w:rPr>
              <w:t xml:space="preserve">SDK Tuya</w:t>
            </w:r>
          </w:p>
        </w:tc>
        <w:tc>
          <w:tcPr>
            <w:tcW w:type="dxa" w:w="3000"/>
          </w:tcPr>
          <w:p>
            <w:r>
              <w:rPr>
                <w:b w:val="false"/>
                <w:bCs w:val="false"/>
                <w:sz w:val="20"/>
                <w:szCs w:val="20"/>
              </w:rPr>
              <w:t xml:space="preserve">@tuya/tuya-connector-nodejs</w:t>
            </w:r>
          </w:p>
        </w:tc>
        <w:tc>
          <w:tcPr>
            <w:tcW w:type="dxa" w:w="3800"/>
          </w:tcPr>
          <w:p>
            <w:r>
              <w:rPr>
                <w:b w:val="false"/>
                <w:bCs w:val="false"/>
                <w:sz w:val="20"/>
                <w:szCs w:val="20"/>
              </w:rPr>
              <w:t xml:space="preserve">SDK officiel, gère la signature HMAC-SHA256 des requêtes</w:t>
            </w:r>
          </w:p>
        </w:tc>
      </w:tr>
      <w:tr>
        <w:tc>
          <w:tcPr>
            <w:tcW w:type="dxa" w:w="2200"/>
          </w:tcPr>
          <w:p>
            <w:r>
              <w:rPr>
                <w:b w:val="false"/>
                <w:bCs w:val="false"/>
                <w:sz w:val="20"/>
                <w:szCs w:val="20"/>
              </w:rPr>
              <w:t xml:space="preserve">Infrastructure (V1)</w:t>
            </w:r>
          </w:p>
        </w:tc>
        <w:tc>
          <w:tcPr>
            <w:tcW w:type="dxa" w:w="3000"/>
          </w:tcPr>
          <w:p>
            <w:r>
              <w:rPr>
                <w:b w:val="false"/>
                <w:bCs w:val="false"/>
                <w:sz w:val="20"/>
                <w:szCs w:val="20"/>
              </w:rPr>
              <w:t xml:space="preserve">Plateforme de conteneurs managée (ex. Fly.io, Railway, Render, ECS) plutôt que Kubernetes</w:t>
            </w:r>
          </w:p>
        </w:tc>
        <w:tc>
          <w:tcPr>
            <w:tcW w:type="dxa" w:w="3800"/>
          </w:tcPr>
          <w:p>
            <w:r>
              <w:rPr>
                <w:b w:val="false"/>
                <w:bCs w:val="false"/>
                <w:sz w:val="20"/>
                <w:szCs w:val="20"/>
              </w:rPr>
              <w:t xml:space="preserve">Kubernetes est surdimensionné avant plusieurs milliers d'utilisateurs ; à réévaluer seulement face à un besoin réel</w:t>
            </w:r>
          </w:p>
        </w:tc>
      </w:tr>
    </w:tbl>
    <w:p>
      <w:pPr>
        <w:spacing w:after="120"/>
      </w:pPr>
      <w:r>
        <w:rPr>
          <w:i/>
          <w:iCs/>
        </w:rPr>
        <w:t xml:space="preserve">Point d'attention Prisma : si la base est hébergée derrière un pooler de connexions (ex. Neon), Prisma Migrate nécessite une variable de connexion directe (DIRECT_URL) distincte de l'URL poolée utilisée par l'application au runtime.</w:t>
      </w:r>
    </w:p>
    <w:p>
      <w:pPr>
        <w:pStyle w:val="Heading1"/>
        <w:spacing w:after="200" w:before="400"/>
      </w:pPr>
      <w:r>
        <w:t xml:space="preserve">4. Modèle de données</w:t>
      </w:r>
    </w:p>
    <w:p>
      <w:pPr>
        <w:spacing w:after="120"/>
      </w:pPr>
      <w:r>
        <w:t xml:space="preserve">Révision : le modèle sépare désormais ce qui est structurel (écrit rarement, en PostgreSQL) de ce qui est un état chaud (change en continu, tenu en Redis). Cinq entités absentes de la version précédente sont ajoutées ci-dessous car des écrans déjà spécifiés dans le design system en dépendent directement.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1F4E5F" w:color="auto" w:val="clear"/>
          </w:tcPr>
          <w:p>
            <w:r>
              <w:rPr>
                <w:b/>
                <w:bCs/>
                <w:color w:val="FFFFFF"/>
                <w:sz w:val="20"/>
                <w:szCs w:val="20"/>
              </w:rPr>
              <w:t xml:space="preserve">Entité</w:t>
            </w:r>
          </w:p>
        </w:tc>
        <w:tc>
          <w:tcPr>
            <w:tcW w:type="dxa" w:w="4200"/>
            <w:shd w:fill="1F4E5F" w:color="auto" w:val="clear"/>
          </w:tcPr>
          <w:p>
            <w:r>
              <w:rPr>
                <w:b/>
                <w:bCs/>
                <w:color w:val="FFFFFF"/>
                <w:sz w:val="20"/>
                <w:szCs w:val="20"/>
              </w:rPr>
              <w:t xml:space="preserve">Champs clés</w:t>
            </w:r>
          </w:p>
        </w:tc>
        <w:tc>
          <w:tcPr>
            <w:tcW w:type="dxa" w:w="3000"/>
            <w:shd w:fill="1F4E5F" w:color="auto" w:val="clear"/>
          </w:tcPr>
          <w:p>
            <w:r>
              <w:rPr>
                <w:b/>
                <w:bCs/>
                <w:color w:val="FFFFFF"/>
                <w:sz w:val="20"/>
                <w:szCs w:val="20"/>
              </w:rPr>
              <w:t xml:space="preserve">Notes</w:t>
            </w:r>
          </w:p>
        </w:tc>
      </w:tr>
      <w:tr>
        <w:tc>
          <w:tcPr>
            <w:tcW w:type="dxa" w:w="1800"/>
          </w:tcPr>
          <w:p>
            <w:r>
              <w:rPr>
                <w:b w:val="false"/>
                <w:bCs w:val="false"/>
                <w:sz w:val="20"/>
                <w:szCs w:val="20"/>
              </w:rPr>
              <w:t xml:space="preserve">User</w:t>
            </w:r>
          </w:p>
        </w:tc>
        <w:tc>
          <w:tcPr>
            <w:tcW w:type="dxa" w:w="4200"/>
          </w:tcPr>
          <w:p>
            <w:r>
              <w:rPr>
                <w:b w:val="false"/>
                <w:bCs w:val="false"/>
                <w:sz w:val="20"/>
                <w:szCs w:val="20"/>
              </w:rPr>
              <w:t xml:space="preserve">id, email, mot de passe (hash), créé le</w:t>
            </w:r>
          </w:p>
        </w:tc>
        <w:tc>
          <w:tcPr>
            <w:tcW w:type="dxa" w:w="3000"/>
          </w:tcPr>
          <w:p>
            <w:r>
              <w:rPr>
                <w:b w:val="false"/>
                <w:bCs w:val="false"/>
                <w:sz w:val="20"/>
                <w:szCs w:val="20"/>
              </w:rPr>
              <w:t xml:space="preserve">Un compte peut appartenir à plusieurs foyers</w:t>
            </w:r>
          </w:p>
        </w:tc>
      </w:tr>
      <w:tr>
        <w:tc>
          <w:tcPr>
            <w:tcW w:type="dxa" w:w="1800"/>
          </w:tcPr>
          <w:p>
            <w:r>
              <w:rPr>
                <w:b w:val="false"/>
                <w:bCs w:val="false"/>
                <w:sz w:val="20"/>
                <w:szCs w:val="20"/>
              </w:rPr>
              <w:t xml:space="preserve">Home</w:t>
            </w:r>
          </w:p>
        </w:tc>
        <w:tc>
          <w:tcPr>
            <w:tcW w:type="dxa" w:w="4200"/>
          </w:tcPr>
          <w:p>
            <w:r>
              <w:rPr>
                <w:b w:val="false"/>
                <w:bCs w:val="false"/>
                <w:sz w:val="20"/>
                <w:szCs w:val="20"/>
              </w:rPr>
              <w:t xml:space="preserve">id, nom, adresse</w:t>
            </w:r>
          </w:p>
        </w:tc>
        <w:tc>
          <w:tcPr>
            <w:tcW w:type="dxa" w:w="3000"/>
          </w:tcPr>
          <w:p>
            <w:r>
              <w:rPr>
                <w:b w:val="false"/>
                <w:bCs w:val="false"/>
                <w:sz w:val="20"/>
                <w:szCs w:val="20"/>
              </w:rPr>
              <w:t xml:space="preserve">Le propriétaire et les membres sont portés par HomeMember, pas par une colonne ici</w:t>
            </w:r>
          </w:p>
        </w:tc>
      </w:tr>
      <w:tr>
        <w:tc>
          <w:tcPr>
            <w:tcW w:type="dxa" w:w="1800"/>
          </w:tcPr>
          <w:p>
            <w:r>
              <w:rPr>
                <w:b w:val="false"/>
                <w:bCs w:val="false"/>
                <w:sz w:val="20"/>
                <w:szCs w:val="20"/>
              </w:rPr>
              <w:t xml:space="preserve">HomeMember</w:t>
            </w:r>
          </w:p>
        </w:tc>
        <w:tc>
          <w:tcPr>
            <w:tcW w:type="dxa" w:w="4200"/>
          </w:tcPr>
          <w:p>
            <w:r>
              <w:rPr>
                <w:b w:val="false"/>
                <w:bCs w:val="false"/>
                <w:sz w:val="20"/>
                <w:szCs w:val="20"/>
              </w:rPr>
              <w:t xml:space="preserve">home_id, user_id, role, invited_at</w:t>
            </w:r>
          </w:p>
        </w:tc>
        <w:tc>
          <w:tcPr>
            <w:tcW w:type="dxa" w:w="3000"/>
          </w:tcPr>
          <w:p>
            <w:r>
              <w:rPr>
                <w:b w:val="false"/>
                <w:bCs w:val="false"/>
                <w:sz w:val="20"/>
                <w:szCs w:val="20"/>
              </w:rPr>
              <w:t xml:space="preserve">Relation N-N avec rôle — alimente l'écran « membres invités et permissions »</w:t>
            </w:r>
          </w:p>
        </w:tc>
      </w:tr>
      <w:tr>
        <w:tc>
          <w:tcPr>
            <w:tcW w:type="dxa" w:w="1800"/>
          </w:tcPr>
          <w:p>
            <w:r>
              <w:rPr>
                <w:b w:val="false"/>
                <w:bCs w:val="false"/>
                <w:sz w:val="20"/>
                <w:szCs w:val="20"/>
              </w:rPr>
              <w:t xml:space="preserve">Room</w:t>
            </w:r>
          </w:p>
        </w:tc>
        <w:tc>
          <w:tcPr>
            <w:tcW w:type="dxa" w:w="4200"/>
          </w:tcPr>
          <w:p>
            <w:r>
              <w:rPr>
                <w:b w:val="false"/>
                <w:bCs w:val="false"/>
                <w:sz w:val="20"/>
                <w:szCs w:val="20"/>
              </w:rPr>
              <w:t xml:space="preserve">id, home_id, name, icon, sort_order</w:t>
            </w:r>
          </w:p>
        </w:tc>
        <w:tc>
          <w:tcPr>
            <w:tcW w:type="dxa" w:w="3000"/>
          </w:tcPr>
          <w:p>
            <w:r>
              <w:rPr>
                <w:b w:val="false"/>
                <w:bCs w:val="false"/>
                <w:sz w:val="20"/>
                <w:szCs w:val="20"/>
              </w:rPr>
              <w:t xml:space="preserve">Entité à part entière — alimente la création de pièce et le glisser-déposer du tableau de bord</w:t>
            </w:r>
          </w:p>
        </w:tc>
      </w:tr>
      <w:tr>
        <w:tc>
          <w:tcPr>
            <w:tcW w:type="dxa" w:w="1800"/>
          </w:tcPr>
          <w:p>
            <w:r>
              <w:rPr>
                <w:b w:val="false"/>
                <w:bCs w:val="false"/>
                <w:sz w:val="20"/>
                <w:szCs w:val="20"/>
              </w:rPr>
              <w:t xml:space="preserve">DeviceUnit (boîtier)</w:t>
            </w:r>
          </w:p>
        </w:tc>
        <w:tc>
          <w:tcPr>
            <w:tcW w:type="dxa" w:w="4200"/>
          </w:tcPr>
          <w:p>
            <w:r>
              <w:rPr>
                <w:b w:val="false"/>
                <w:bCs w:val="false"/>
                <w:sz w:val="20"/>
                <w:szCs w:val="20"/>
              </w:rPr>
              <w:t xml:space="preserve">id, home_id, device_id unique, certificat mTLS (empreinte), statut en ligne, last_heartbeat</w:t>
            </w:r>
          </w:p>
        </w:tc>
        <w:tc>
          <w:tcPr>
            <w:tcW w:type="dxa" w:w="3000"/>
          </w:tcPr>
          <w:p>
            <w:r>
              <w:rPr>
                <w:b w:val="false"/>
                <w:bCs w:val="false"/>
                <w:sz w:val="20"/>
                <w:szCs w:val="20"/>
              </w:rPr>
              <w:t xml:space="preserve">Une unité physique par boîtier déployé ; authentification par certificat, pas par secret partagé (cf. §6.1)</w:t>
            </w:r>
          </w:p>
        </w:tc>
      </w:tr>
      <w:tr>
        <w:tc>
          <w:tcPr>
            <w:tcW w:type="dxa" w:w="1800"/>
          </w:tcPr>
          <w:p>
            <w:r>
              <w:rPr>
                <w:b w:val="false"/>
                <w:bCs w:val="false"/>
                <w:sz w:val="20"/>
                <w:szCs w:val="20"/>
              </w:rPr>
              <w:t xml:space="preserve">Device</w:t>
            </w:r>
          </w:p>
        </w:tc>
        <w:tc>
          <w:tcPr>
            <w:tcW w:type="dxa" w:w="4200"/>
          </w:tcPr>
          <w:p>
            <w:r>
              <w:rPr>
                <w:b w:val="false"/>
                <w:bCs w:val="false"/>
                <w:sz w:val="20"/>
                <w:szCs w:val="20"/>
              </w:rPr>
              <w:t xml:space="preserve">id, home_id, room_id, device_unit_id (nullable si cloud tiers), name, source, online, last_seen</w:t>
            </w:r>
          </w:p>
        </w:tc>
        <w:tc>
          <w:tcPr>
            <w:tcW w:type="dxa" w:w="3000"/>
          </w:tcPr>
          <w:p>
            <w:r>
              <w:rPr>
                <w:b w:val="false"/>
                <w:bCs w:val="false"/>
                <w:sz w:val="20"/>
                <w:szCs w:val="20"/>
              </w:rPr>
              <w:t xml:space="preserve">Modèle unifié ; le schéma des capacités est distinct de leur valeur (ligne suivante)</w:t>
            </w:r>
          </w:p>
        </w:tc>
      </w:tr>
      <w:tr>
        <w:tc>
          <w:tcPr>
            <w:tcW w:type="dxa" w:w="1800"/>
          </w:tcPr>
          <w:p>
            <w:r>
              <w:rPr>
                <w:b w:val="false"/>
                <w:bCs w:val="false"/>
                <w:sz w:val="20"/>
                <w:szCs w:val="20"/>
              </w:rPr>
              <w:t xml:space="preserve">Capability (schéma)</w:t>
            </w:r>
          </w:p>
        </w:tc>
        <w:tc>
          <w:tcPr>
            <w:tcW w:type="dxa" w:w="4200"/>
          </w:tcPr>
          <w:p>
            <w:r>
              <w:rPr>
                <w:b w:val="false"/>
                <w:bCs w:val="false"/>
                <w:sz w:val="20"/>
                <w:szCs w:val="20"/>
              </w:rPr>
              <w:t xml:space="preserve">device_id, type, min, max, unit, writable</w:t>
            </w:r>
          </w:p>
        </w:tc>
        <w:tc>
          <w:tcPr>
            <w:tcW w:type="dxa" w:w="3000"/>
          </w:tcPr>
          <w:p>
            <w:r>
              <w:rPr>
                <w:b w:val="false"/>
                <w:bCs w:val="false"/>
                <w:sz w:val="20"/>
                <w:szCs w:val="20"/>
              </w:rPr>
              <w:t xml:space="preserve">Statique, écrit au pairing — reste en PostgreSQL</w:t>
            </w:r>
          </w:p>
        </w:tc>
      </w:tr>
      <w:tr>
        <w:tc>
          <w:tcPr>
            <w:tcW w:type="dxa" w:w="1800"/>
          </w:tcPr>
          <w:p>
            <w:r>
              <w:rPr>
                <w:b w:val="false"/>
                <w:bCs w:val="false"/>
                <w:sz w:val="20"/>
                <w:szCs w:val="20"/>
              </w:rPr>
              <w:t xml:space="preserve">Capability (valeur)</w:t>
            </w:r>
          </w:p>
        </w:tc>
        <w:tc>
          <w:tcPr>
            <w:tcW w:type="dxa" w:w="4200"/>
          </w:tcPr>
          <w:p>
            <w:r>
              <w:rPr>
                <w:b w:val="false"/>
                <w:bCs w:val="false"/>
                <w:sz w:val="20"/>
                <w:szCs w:val="20"/>
              </w:rPr>
              <w:t xml:space="preserve">device_id:type → value, updated_at</w:t>
            </w:r>
          </w:p>
        </w:tc>
        <w:tc>
          <w:tcPr>
            <w:tcW w:type="dxa" w:w="3000"/>
          </w:tcPr>
          <w:p>
            <w:r>
              <w:rPr>
                <w:b w:val="false"/>
                <w:bCs w:val="false"/>
                <w:sz w:val="20"/>
                <w:szCs w:val="20"/>
              </w:rPr>
              <w:t xml:space="preserve">État chaud — vit en Redis (TTL), pas en base relationnelle ; voir §6.4</w:t>
            </w:r>
          </w:p>
        </w:tc>
      </w:tr>
      <w:tr>
        <w:tc>
          <w:tcPr>
            <w:tcW w:type="dxa" w:w="1800"/>
          </w:tcPr>
          <w:p>
            <w:r>
              <w:rPr>
                <w:b w:val="false"/>
                <w:bCs w:val="false"/>
                <w:sz w:val="20"/>
                <w:szCs w:val="20"/>
              </w:rPr>
              <w:t xml:space="preserve">Command</w:t>
            </w:r>
          </w:p>
        </w:tc>
        <w:tc>
          <w:tcPr>
            <w:tcW w:type="dxa" w:w="4200"/>
          </w:tcPr>
          <w:p>
            <w:r>
              <w:rPr>
                <w:b w:val="false"/>
                <w:bCs w:val="false"/>
                <w:sz w:val="20"/>
                <w:szCs w:val="20"/>
              </w:rPr>
              <w:t xml:space="preserve">id (uuid généré côté app), device_id, payload, status (pending→sent→acked|timeout|failed), issued_at, acked_at</w:t>
            </w:r>
          </w:p>
        </w:tc>
        <w:tc>
          <w:tcPr>
            <w:tcW w:type="dxa" w:w="3000"/>
          </w:tcPr>
          <w:p>
            <w:r>
              <w:rPr>
                <w:b w:val="false"/>
                <w:bCs w:val="false"/>
                <w:sz w:val="20"/>
                <w:szCs w:val="20"/>
              </w:rPr>
              <w:t xml:space="preserve">Permet un rejeu sûr après perte réseau et alimente l'état « en cours » du contrôle côté app</w:t>
            </w:r>
          </w:p>
        </w:tc>
      </w:tr>
      <w:tr>
        <w:tc>
          <w:tcPr>
            <w:tcW w:type="dxa" w:w="1800"/>
          </w:tcPr>
          <w:p>
            <w:r>
              <w:rPr>
                <w:b w:val="false"/>
                <w:bCs w:val="false"/>
                <w:sz w:val="20"/>
                <w:szCs w:val="20"/>
              </w:rPr>
              <w:t xml:space="preserve">ThirdPartyAccount</w:t>
            </w:r>
          </w:p>
        </w:tc>
        <w:tc>
          <w:tcPr>
            <w:tcW w:type="dxa" w:w="4200"/>
          </w:tcPr>
          <w:p>
            <w:r>
              <w:rPr>
                <w:b w:val="false"/>
                <w:bCs w:val="false"/>
                <w:sz w:val="20"/>
                <w:szCs w:val="20"/>
              </w:rPr>
              <w:t xml:space="preserve">id, home_id, linked_by_user_id, provider, access_token, refresh_token, expires_at</w:t>
            </w:r>
          </w:p>
        </w:tc>
        <w:tc>
          <w:tcPr>
            <w:tcW w:type="dxa" w:w="3000"/>
          </w:tcPr>
          <w:p>
            <w:r>
              <w:rPr>
                <w:b w:val="false"/>
                <w:bCs w:val="false"/>
                <w:sz w:val="20"/>
                <w:szCs w:val="20"/>
              </w:rPr>
              <w:t xml:space="preserve">Rattaché au foyer, pas à l'utilisateur — un compte lié reste actif si celui qui l'a lié quitte le foyer</w:t>
            </w:r>
          </w:p>
        </w:tc>
      </w:tr>
      <w:tr>
        <w:tc>
          <w:tcPr>
            <w:tcW w:type="dxa" w:w="1800"/>
          </w:tcPr>
          <w:p>
            <w:r>
              <w:rPr>
                <w:b w:val="false"/>
                <w:bCs w:val="false"/>
                <w:sz w:val="20"/>
                <w:szCs w:val="20"/>
              </w:rPr>
              <w:t xml:space="preserve">Automation</w:t>
            </w:r>
          </w:p>
        </w:tc>
        <w:tc>
          <w:tcPr>
            <w:tcW w:type="dxa" w:w="4200"/>
          </w:tcPr>
          <w:p>
            <w:r>
              <w:rPr>
                <w:b w:val="false"/>
                <w:bCs w:val="false"/>
                <w:sz w:val="20"/>
                <w:szCs w:val="20"/>
              </w:rPr>
              <w:t xml:space="preserve">id, home_id, nom, trigger_type (schedule/sensor/presence/manual), conditions, actions, actif</w:t>
            </w:r>
          </w:p>
        </w:tc>
        <w:tc>
          <w:tcPr>
            <w:tcW w:type="dxa" w:w="3000"/>
          </w:tcPr>
          <w:p>
            <w:r>
              <w:rPr>
                <w:b w:val="false"/>
                <w:bCs w:val="false"/>
                <w:sz w:val="20"/>
                <w:szCs w:val="20"/>
              </w:rPr>
              <w:t xml:space="preserve">Couvre à la fois les « scénarios » et les « scènes » du design system : une scène est une automatisation à trigger_type='manual'</w:t>
            </w:r>
          </w:p>
        </w:tc>
      </w:tr>
      <w:tr>
        <w:tc>
          <w:tcPr>
            <w:tcW w:type="dxa" w:w="1800"/>
          </w:tcPr>
          <w:p>
            <w:r>
              <w:rPr>
                <w:b w:val="false"/>
                <w:bCs w:val="false"/>
                <w:sz w:val="20"/>
                <w:szCs w:val="20"/>
              </w:rPr>
              <w:t xml:space="preserve">AutomationRun</w:t>
            </w:r>
          </w:p>
        </w:tc>
        <w:tc>
          <w:tcPr>
            <w:tcW w:type="dxa" w:w="4200"/>
          </w:tcPr>
          <w:p>
            <w:r>
              <w:rPr>
                <w:b w:val="false"/>
                <w:bCs w:val="false"/>
                <w:sz w:val="20"/>
                <w:szCs w:val="20"/>
              </w:rPr>
              <w:t xml:space="preserve">id, automation_id, started_at, status, failed_device_ids[]</w:t>
            </w:r>
          </w:p>
        </w:tc>
        <w:tc>
          <w:tcPr>
            <w:tcW w:type="dxa" w:w="3000"/>
          </w:tcPr>
          <w:p>
            <w:r>
              <w:rPr>
                <w:b w:val="false"/>
                <w:bCs w:val="false"/>
                <w:sz w:val="20"/>
                <w:szCs w:val="20"/>
              </w:rPr>
              <w:t xml:space="preserve">Historique d'exécution, requis par l'écran 3.6 et le résumé de l'écran 1.4</w:t>
            </w:r>
          </w:p>
        </w:tc>
      </w:tr>
      <w:tr>
        <w:tc>
          <w:tcPr>
            <w:tcW w:type="dxa" w:w="1800"/>
          </w:tcPr>
          <w:p>
            <w:r>
              <w:rPr>
                <w:b w:val="false"/>
                <w:bCs w:val="false"/>
                <w:sz w:val="20"/>
                <w:szCs w:val="20"/>
              </w:rPr>
              <w:t xml:space="preserve">Alert</w:t>
            </w:r>
          </w:p>
        </w:tc>
        <w:tc>
          <w:tcPr>
            <w:tcW w:type="dxa" w:w="4200"/>
          </w:tcPr>
          <w:p>
            <w:r>
              <w:rPr>
                <w:b w:val="false"/>
                <w:bCs w:val="false"/>
                <w:sz w:val="20"/>
                <w:szCs w:val="20"/>
              </w:rPr>
              <w:t xml:space="preserve">id, home_id, device_id, type, message, créé le, lu</w:t>
            </w:r>
          </w:p>
        </w:tc>
        <w:tc>
          <w:tcPr>
            <w:tcW w:type="dxa" w:w="3000"/>
          </w:tcPr>
          <w:p>
            <w:r>
              <w:rPr>
                <w:b w:val="false"/>
                <w:bCs w:val="false"/>
                <w:sz w:val="20"/>
                <w:szCs w:val="20"/>
              </w:rPr>
              <w:t xml:space="preserve">Historique des événements de sécurité/notifications</w:t>
            </w:r>
          </w:p>
        </w:tc>
      </w:tr>
      <w:tr>
        <w:tc>
          <w:tcPr>
            <w:tcW w:type="dxa" w:w="1800"/>
          </w:tcPr>
          <w:p>
            <w:r>
              <w:rPr>
                <w:b w:val="false"/>
                <w:bCs w:val="false"/>
                <w:sz w:val="20"/>
                <w:szCs w:val="20"/>
              </w:rPr>
              <w:t xml:space="preserve">PushToken</w:t>
            </w:r>
          </w:p>
        </w:tc>
        <w:tc>
          <w:tcPr>
            <w:tcW w:type="dxa" w:w="4200"/>
          </w:tcPr>
          <w:p>
            <w:r>
              <w:rPr>
                <w:b w:val="false"/>
                <w:bCs w:val="false"/>
                <w:sz w:val="20"/>
                <w:szCs w:val="20"/>
              </w:rPr>
              <w:t xml:space="preserve">user_id, platform, token, last_seen</w:t>
            </w:r>
          </w:p>
        </w:tc>
        <w:tc>
          <w:tcPr>
            <w:tcW w:type="dxa" w:w="3000"/>
          </w:tcPr>
          <w:p>
            <w:r>
              <w:rPr>
                <w:b w:val="false"/>
                <w:bCs w:val="false"/>
                <w:sz w:val="20"/>
                <w:szCs w:val="20"/>
              </w:rPr>
              <w:t xml:space="preserve">Requis pour toute notification hors premier plan (iOS coupe le WebSocket en arrière-plan)</w:t>
            </w:r>
          </w:p>
        </w:tc>
      </w:tr>
    </w:tbl>
    <w:p>
      <w:pPr>
        <w:pStyle w:val="Heading1"/>
        <w:spacing w:after="200" w:before="400"/>
      </w:pPr>
      <w:r>
        <w:t xml:space="preserve">5. API exposée à l'application (contrat client léger)</w:t>
      </w:r>
    </w:p>
    <w:p>
      <w:pPr>
        <w:spacing w:after="120"/>
      </w:pPr>
      <w:r>
        <w:t xml:space="preserve">L'app React Native ne consomme que les endpoints suivants — aucun identifiant ou logique Tuya/Zigbee ne transite jamais côté 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1F4E5F" w:color="auto" w:val="clear"/>
          </w:tcPr>
          <w:p>
            <w:r>
              <w:rPr>
                <w:b/>
                <w:bCs/>
                <w:color w:val="FFFFFF"/>
                <w:sz w:val="20"/>
                <w:szCs w:val="20"/>
              </w:rPr>
              <w:t xml:space="preserve">Domaine</w:t>
            </w:r>
          </w:p>
        </w:tc>
        <w:tc>
          <w:tcPr>
            <w:tcW w:type="dxa" w:w="4200"/>
            <w:shd w:fill="1F4E5F" w:color="auto" w:val="clear"/>
          </w:tcPr>
          <w:p>
            <w:r>
              <w:rPr>
                <w:b/>
                <w:bCs/>
                <w:color w:val="FFFFFF"/>
                <w:sz w:val="20"/>
                <w:szCs w:val="20"/>
              </w:rPr>
              <w:t xml:space="preserve">Endpoints (exemples)</w:t>
            </w:r>
          </w:p>
        </w:tc>
        <w:tc>
          <w:tcPr>
            <w:tcW w:type="dxa" w:w="3000"/>
            <w:shd w:fill="1F4E5F" w:color="auto" w:val="clear"/>
          </w:tcPr>
          <w:p>
            <w:r>
              <w:rPr>
                <w:b/>
                <w:bCs/>
                <w:color w:val="FFFFFF"/>
                <w:sz w:val="20"/>
                <w:szCs w:val="20"/>
              </w:rPr>
              <w:t xml:space="preserve">Description</w:t>
            </w:r>
          </w:p>
        </w:tc>
      </w:tr>
      <w:tr>
        <w:tc>
          <w:tcPr>
            <w:tcW w:type="dxa" w:w="1800"/>
          </w:tcPr>
          <w:p>
            <w:r>
              <w:rPr>
                <w:b w:val="false"/>
                <w:bCs w:val="false"/>
                <w:sz w:val="20"/>
                <w:szCs w:val="20"/>
              </w:rPr>
              <w:t xml:space="preserve">Authentification</w:t>
            </w:r>
          </w:p>
        </w:tc>
        <w:tc>
          <w:tcPr>
            <w:tcW w:type="dxa" w:w="4200"/>
          </w:tcPr>
          <w:p>
            <w:r>
              <w:rPr>
                <w:b w:val="false"/>
                <w:bCs w:val="false"/>
                <w:sz w:val="20"/>
                <w:szCs w:val="20"/>
              </w:rPr>
              <w:t xml:space="preserve">POST /auth/login, POST /auth/refresh, POST /auth/signup</w:t>
            </w:r>
          </w:p>
        </w:tc>
        <w:tc>
          <w:tcPr>
            <w:tcW w:type="dxa" w:w="3000"/>
          </w:tcPr>
          <w:p>
            <w:r>
              <w:rPr>
                <w:b w:val="false"/>
                <w:bCs w:val="false"/>
                <w:sz w:val="20"/>
                <w:szCs w:val="20"/>
              </w:rPr>
              <w:t xml:space="preserve">Émission et renouvellement des JWT</w:t>
            </w:r>
          </w:p>
        </w:tc>
      </w:tr>
      <w:tr>
        <w:tc>
          <w:tcPr>
            <w:tcW w:type="dxa" w:w="1800"/>
          </w:tcPr>
          <w:p>
            <w:r>
              <w:rPr>
                <w:b w:val="false"/>
                <w:bCs w:val="false"/>
                <w:sz w:val="20"/>
                <w:szCs w:val="20"/>
              </w:rPr>
              <w:t xml:space="preserve">Foyers</w:t>
            </w:r>
          </w:p>
        </w:tc>
        <w:tc>
          <w:tcPr>
            <w:tcW w:type="dxa" w:w="4200"/>
          </w:tcPr>
          <w:p>
            <w:r>
              <w:rPr>
                <w:b w:val="false"/>
                <w:bCs w:val="false"/>
                <w:sz w:val="20"/>
                <w:szCs w:val="20"/>
              </w:rPr>
              <w:t xml:space="preserve">GET /homes, POST /homes, POST /homes/:id/members</w:t>
            </w:r>
          </w:p>
        </w:tc>
        <w:tc>
          <w:tcPr>
            <w:tcW w:type="dxa" w:w="3000"/>
          </w:tcPr>
          <w:p>
            <w:r>
              <w:rPr>
                <w:b w:val="false"/>
                <w:bCs w:val="false"/>
                <w:sz w:val="20"/>
                <w:szCs w:val="20"/>
              </w:rPr>
              <w:t xml:space="preserve">Gestion des foyers et des membres invités</w:t>
            </w:r>
          </w:p>
        </w:tc>
      </w:tr>
      <w:tr>
        <w:tc>
          <w:tcPr>
            <w:tcW w:type="dxa" w:w="1800"/>
          </w:tcPr>
          <w:p>
            <w:r>
              <w:rPr>
                <w:b w:val="false"/>
                <w:bCs w:val="false"/>
                <w:sz w:val="20"/>
                <w:szCs w:val="20"/>
              </w:rPr>
              <w:t xml:space="preserve">Boîtiers</w:t>
            </w:r>
          </w:p>
        </w:tc>
        <w:tc>
          <w:tcPr>
            <w:tcW w:type="dxa" w:w="4200"/>
          </w:tcPr>
          <w:p>
            <w:r>
              <w:rPr>
                <w:b w:val="false"/>
                <w:bCs w:val="false"/>
                <w:sz w:val="20"/>
                <w:szCs w:val="20"/>
              </w:rPr>
              <w:t xml:space="preserve">POST /devices/claim, GET /units, GET /units/:id/status</w:t>
            </w:r>
          </w:p>
        </w:tc>
        <w:tc>
          <w:tcPr>
            <w:tcW w:type="dxa" w:w="3000"/>
          </w:tcPr>
          <w:p>
            <w:r>
              <w:rPr>
                <w:b w:val="false"/>
                <w:bCs w:val="false"/>
                <w:sz w:val="20"/>
                <w:szCs w:val="20"/>
              </w:rPr>
              <w:t xml:space="preserve">Association et supervision des unités locales</w:t>
            </w:r>
          </w:p>
        </w:tc>
      </w:tr>
      <w:tr>
        <w:tc>
          <w:tcPr>
            <w:tcW w:type="dxa" w:w="1800"/>
          </w:tcPr>
          <w:p>
            <w:r>
              <w:rPr>
                <w:b w:val="false"/>
                <w:bCs w:val="false"/>
                <w:sz w:val="20"/>
                <w:szCs w:val="20"/>
              </w:rPr>
              <w:t xml:space="preserve">Appareils</w:t>
            </w:r>
          </w:p>
        </w:tc>
        <w:tc>
          <w:tcPr>
            <w:tcW w:type="dxa" w:w="4200"/>
          </w:tcPr>
          <w:p>
            <w:r>
              <w:rPr>
                <w:b w:val="false"/>
                <w:bCs w:val="false"/>
                <w:sz w:val="20"/>
                <w:szCs w:val="20"/>
              </w:rPr>
              <w:t xml:space="preserve">GET /devices, GET /devices/:id, POST /devices/:id/command, PATCH /devices/:id</w:t>
            </w:r>
          </w:p>
        </w:tc>
        <w:tc>
          <w:tcPr>
            <w:tcW w:type="dxa" w:w="3000"/>
          </w:tcPr>
          <w:p>
            <w:r>
              <w:rPr>
                <w:b w:val="false"/>
                <w:bCs w:val="false"/>
                <w:sz w:val="20"/>
                <w:szCs w:val="20"/>
              </w:rPr>
              <w:t xml:space="preserve">Lecture, contrôle et renommage — quel que soit le protocole réel</w:t>
            </w:r>
          </w:p>
        </w:tc>
      </w:tr>
      <w:tr>
        <w:tc>
          <w:tcPr>
            <w:tcW w:type="dxa" w:w="1800"/>
          </w:tcPr>
          <w:p>
            <w:r>
              <w:rPr>
                <w:b w:val="false"/>
                <w:bCs w:val="false"/>
                <w:sz w:val="20"/>
                <w:szCs w:val="20"/>
              </w:rPr>
              <w:t xml:space="preserve">Ajout d'appareil</w:t>
            </w:r>
          </w:p>
        </w:tc>
        <w:tc>
          <w:tcPr>
            <w:tcW w:type="dxa" w:w="4200"/>
          </w:tcPr>
          <w:p>
            <w:r>
              <w:rPr>
                <w:b w:val="false"/>
                <w:bCs w:val="false"/>
                <w:sz w:val="20"/>
                <w:szCs w:val="20"/>
              </w:rPr>
              <w:t xml:space="preserve">POST /devices/pairing/start (Zigbee), GET /integrations/tuya/oauth-url, POST /integrations/tuya/callback</w:t>
            </w:r>
          </w:p>
        </w:tc>
        <w:tc>
          <w:tcPr>
            <w:tcW w:type="dxa" w:w="3000"/>
          </w:tcPr>
          <w:p>
            <w:r>
              <w:rPr>
                <w:b w:val="false"/>
                <w:bCs w:val="false"/>
                <w:sz w:val="20"/>
                <w:szCs w:val="20"/>
              </w:rPr>
              <w:t xml:space="preserve">Démarre le pairing local ou le lien de compte cloud</w:t>
            </w:r>
          </w:p>
        </w:tc>
      </w:tr>
      <w:tr>
        <w:tc>
          <w:tcPr>
            <w:tcW w:type="dxa" w:w="1800"/>
          </w:tcPr>
          <w:p>
            <w:r>
              <w:rPr>
                <w:b w:val="false"/>
                <w:bCs w:val="false"/>
                <w:sz w:val="20"/>
                <w:szCs w:val="20"/>
              </w:rPr>
              <w:t xml:space="preserve">Scénarios</w:t>
            </w:r>
          </w:p>
        </w:tc>
        <w:tc>
          <w:tcPr>
            <w:tcW w:type="dxa" w:w="4200"/>
          </w:tcPr>
          <w:p>
            <w:r>
              <w:rPr>
                <w:b w:val="false"/>
                <w:bCs w:val="false"/>
                <w:sz w:val="20"/>
                <w:szCs w:val="20"/>
              </w:rPr>
              <w:t xml:space="preserve">GET /automations, POST /automations, PATCH /automations/:id, GET /automations/:id/history</w:t>
            </w:r>
          </w:p>
        </w:tc>
        <w:tc>
          <w:tcPr>
            <w:tcW w:type="dxa" w:w="3000"/>
          </w:tcPr>
          <w:p>
            <w:r>
              <w:rPr>
                <w:b w:val="false"/>
                <w:bCs w:val="false"/>
                <w:sz w:val="20"/>
                <w:szCs w:val="20"/>
              </w:rPr>
              <w:t xml:space="preserve">Création et suivi des automatisations</w:t>
            </w:r>
          </w:p>
        </w:tc>
      </w:tr>
      <w:tr>
        <w:tc>
          <w:tcPr>
            <w:tcW w:type="dxa" w:w="1800"/>
          </w:tcPr>
          <w:p>
            <w:r>
              <w:rPr>
                <w:b w:val="false"/>
                <w:bCs w:val="false"/>
                <w:sz w:val="20"/>
                <w:szCs w:val="20"/>
              </w:rPr>
              <w:t xml:space="preserve">Alertes</w:t>
            </w:r>
          </w:p>
        </w:tc>
        <w:tc>
          <w:tcPr>
            <w:tcW w:type="dxa" w:w="4200"/>
          </w:tcPr>
          <w:p>
            <w:r>
              <w:rPr>
                <w:b w:val="false"/>
                <w:bCs w:val="false"/>
                <w:sz w:val="20"/>
                <w:szCs w:val="20"/>
              </w:rPr>
              <w:t xml:space="preserve">GET /alerts, PATCH /alerts/:id/read, PATCH /notifications/settings</w:t>
            </w:r>
          </w:p>
        </w:tc>
        <w:tc>
          <w:tcPr>
            <w:tcW w:type="dxa" w:w="3000"/>
          </w:tcPr>
          <w:p>
            <w:r>
              <w:rPr>
                <w:b w:val="false"/>
                <w:bCs w:val="false"/>
                <w:sz w:val="20"/>
                <w:szCs w:val="20"/>
              </w:rPr>
              <w:t xml:space="preserve">Fil d'événements et préférences</w:t>
            </w:r>
          </w:p>
        </w:tc>
      </w:tr>
      <w:tr>
        <w:tc>
          <w:tcPr>
            <w:tcW w:type="dxa" w:w="1800"/>
          </w:tcPr>
          <w:p>
            <w:r>
              <w:rPr>
                <w:b w:val="false"/>
                <w:bCs w:val="false"/>
                <w:sz w:val="20"/>
                <w:szCs w:val="20"/>
              </w:rPr>
              <w:t xml:space="preserve">Temps réel</w:t>
            </w:r>
          </w:p>
        </w:tc>
        <w:tc>
          <w:tcPr>
            <w:tcW w:type="dxa" w:w="4200"/>
          </w:tcPr>
          <w:p>
            <w:r>
              <w:rPr>
                <w:b w:val="false"/>
                <w:bCs w:val="false"/>
                <w:sz w:val="20"/>
                <w:szCs w:val="20"/>
              </w:rPr>
              <w:t xml:space="preserve">WebSocket /realtime (canal par home_id)</w:t>
            </w:r>
          </w:p>
        </w:tc>
        <w:tc>
          <w:tcPr>
            <w:tcW w:type="dxa" w:w="3000"/>
          </w:tcPr>
          <w:p>
            <w:r>
              <w:rPr>
                <w:b w:val="false"/>
                <w:bCs w:val="false"/>
                <w:sz w:val="20"/>
                <w:szCs w:val="20"/>
              </w:rPr>
              <w:t xml:space="preserve">Diffusion des changements d'état ; chaque événement porte un event_id croissant</w:t>
            </w:r>
          </w:p>
        </w:tc>
      </w:tr>
      <w:tr>
        <w:tc>
          <w:tcPr>
            <w:tcW w:type="dxa" w:w="1800"/>
          </w:tcPr>
          <w:p>
            <w:r>
              <w:rPr>
                <w:b w:val="false"/>
                <w:bCs w:val="false"/>
                <w:sz w:val="20"/>
                <w:szCs w:val="20"/>
              </w:rPr>
              <w:t xml:space="preserve">Resynchronisation</w:t>
            </w:r>
          </w:p>
        </w:tc>
        <w:tc>
          <w:tcPr>
            <w:tcW w:type="dxa" w:w="4200"/>
          </w:tcPr>
          <w:p>
            <w:r>
              <w:rPr>
                <w:b w:val="false"/>
                <w:bCs w:val="false"/>
                <w:sz w:val="20"/>
                <w:szCs w:val="20"/>
              </w:rPr>
              <w:t xml:space="preserve">GET /homes/:id/state</w:t>
            </w:r>
          </w:p>
        </w:tc>
        <w:tc>
          <w:tcPr>
            <w:tcW w:type="dxa" w:w="3000"/>
          </w:tcPr>
          <w:p>
            <w:r>
              <w:rPr>
                <w:b w:val="false"/>
                <w:bCs w:val="false"/>
                <w:sz w:val="20"/>
                <w:szCs w:val="20"/>
              </w:rPr>
              <w:t xml:space="preserve">Repli après coupure : l'app fournit son dernier last_event_id à la reconnexion ; si le backend ne peut pas rejouer le delta (fenêtre expirée), l'app rappelle cet endpoint pour un instantané complet</w:t>
            </w:r>
          </w:p>
        </w:tc>
      </w:tr>
    </w:tbl>
    <w:p>
      <w:pPr>
        <w:spacing w:after="120"/>
      </w:pPr>
      <w:r>
        <w:rPr>
          <w:i/>
          <w:iCs/>
        </w:rPr>
        <w:t xml:space="preserve">Cycle de vie du JWT sur la socket : à l'expiration de l'access token, le backend envoie un message auth_expiring avant coupure ; l'app répond par un message auth_refresh avec le nouveau token. Sans réponse dans un délai court, le backend ferme la socket avec un code dédié et l'app reconnecte normalement via /auth/refresh.</w:t>
      </w:r>
    </w:p>
    <w:p>
      <w:pPr>
        <w:pStyle w:val="Heading1"/>
        <w:spacing w:after="200" w:before="400"/>
      </w:pPr>
      <w:r>
        <w:t xml:space="preserve">6. Device Service — abstraction et connecteurs</w:t>
      </w:r>
    </w:p>
    <w:p>
      <w:pPr>
        <w:spacing w:after="120"/>
      </w:pPr>
      <w:r>
        <w:t xml:space="preserve">Reprend le modèle défini précédemment : une interface commune DeviceConnector (discoverDevices, sendCommand, getState, onStateChange), implémentée par un connecteur par protocole/écosystème. Le routeur central (DeviceService) est le seul point d'entrée utilisé par l'API — jamais un connecteur appelé directement depuis un contrôleur.</w:t>
      </w:r>
    </w:p>
    <w:p>
      <w:pPr>
        <w:pStyle w:val="Heading2"/>
        <w:spacing w:after="150" w:before="300"/>
      </w:pPr>
      <w:r>
        <w:t xml:space="preserve">6.1 Connecteur Zigbee</w:t>
      </w:r>
    </w:p>
    <w:p>
      <w:pPr>
        <w:pStyle w:val="ListParagraph"/>
        <w:numPr>
          <w:ilvl w:val="0"/>
          <w:numId w:val="2"/>
        </w:numPr>
        <w:spacing w:after="60"/>
      </w:pPr>
      <w:r>
        <w:t xml:space="preserve">Communique avec l'agent embarqué sur chaque boîtier exclusivement via MQTT/TLS vers le broker cloud EMQX (aucune connexion directe backend ↔ boîtier) — voir §7 pour l'authentification par certificat</w:t>
      </w:r>
    </w:p>
    <w:p>
      <w:pPr>
        <w:pStyle w:val="ListParagraph"/>
        <w:numPr>
          <w:ilvl w:val="0"/>
          <w:numId w:val="2"/>
        </w:numPr>
        <w:spacing w:after="60"/>
      </w:pPr>
      <w:r>
        <w:t xml:space="preserve">Relaie les commandes vers Zigbee2MQTT (topics MQTT locaux au boîtier) et remonte les événements bridge (device_joined, changements d'état) via le topic cloud de l'unité</w:t>
      </w:r>
    </w:p>
    <w:p>
      <w:pPr>
        <w:pStyle w:val="ListParagraph"/>
        <w:numPr>
          <w:ilvl w:val="0"/>
          <w:numId w:val="2"/>
        </w:numPr>
        <w:spacing w:after="60"/>
      </w:pPr>
      <w:r>
        <w:t xml:space="preserve">Gère le mode association (permit_join) à la demande, avec expiration automatique</w:t>
      </w:r>
    </w:p>
    <w:p>
      <w:pPr>
        <w:pStyle w:val="Heading2"/>
        <w:spacing w:after="150" w:before="300"/>
      </w:pPr>
      <w:r>
        <w:t xml:space="preserve">6.2 Connecteur Tuya</w:t>
      </w:r>
    </w:p>
    <w:p>
      <w:pPr>
        <w:pStyle w:val="ListParagraph"/>
        <w:numPr>
          <w:ilvl w:val="0"/>
          <w:numId w:val="2"/>
        </w:numPr>
        <w:spacing w:after="60"/>
      </w:pPr>
      <w:r>
        <w:t xml:space="preserve">Utilise le SDK officiel @tuya/tuya-connector-nodejs, configuré avec l'Access ID / Access Secret du projet cloud créé sur iot.tuya.com (Data Center Western Europe)</w:t>
      </w:r>
    </w:p>
    <w:p>
      <w:pPr>
        <w:pStyle w:val="ListParagraph"/>
        <w:numPr>
          <w:ilvl w:val="0"/>
          <w:numId w:val="2"/>
        </w:numPr>
        <w:spacing w:after="60"/>
      </w:pPr>
      <w:r>
        <w:t xml:space="preserve">Gère le flux OAuth de liaison de compte (génération de l'URL d'autorisation, échange du code contre les tokens, stockage chiffré, rafraîchissement automatique)</w:t>
      </w:r>
    </w:p>
    <w:p>
      <w:pPr>
        <w:pStyle w:val="ListParagraph"/>
        <w:numPr>
          <w:ilvl w:val="0"/>
          <w:numId w:val="2"/>
        </w:numPr>
        <w:spacing w:after="60"/>
      </w:pPr>
      <w:r>
        <w:t xml:space="preserve">Traduit les capacités génériques vers le format Data Point (DP) propre à Tuya, avec gestion des échelles de valeurs spécifiques (ex. luminosité 0-1000)</w:t>
      </w:r>
    </w:p>
    <w:p>
      <w:pPr>
        <w:pStyle w:val="ListParagraph"/>
        <w:numPr>
          <w:ilvl w:val="0"/>
          <w:numId w:val="2"/>
        </w:numPr>
        <w:spacing w:after="60"/>
      </w:pPr>
      <w:r>
        <w:t xml:space="preserve">S'abonne au service de notification de statut Tuya (Device Status Notification) pour recevoir les changements d'état en temps réel plutôt que de sonder l'API</w:t>
      </w:r>
    </w:p>
    <w:p>
      <w:pPr>
        <w:pStyle w:val="ListParagraph"/>
        <w:numPr>
          <w:ilvl w:val="0"/>
          <w:numId w:val="2"/>
        </w:numPr>
        <w:spacing w:after="60"/>
      </w:pPr>
      <w:r>
        <w:t xml:space="preserve">Le compte Tuya du client final doit être enregistré dans la même région que le projet cloud (Western Europe) : en cas de mismatch, retourner un message d'erreur explicite (« compte Tuya enregistré dans une autre région ») plutôt qu'un échec générique</w:t>
      </w:r>
    </w:p>
    <w:p>
      <w:pPr>
        <w:pStyle w:val="Heading2"/>
        <w:spacing w:after="150" w:before="300"/>
      </w:pPr>
      <w:r>
        <w:t xml:space="preserve">6.3 Connecteurs futurs (V2)</w:t>
      </w:r>
    </w:p>
    <w:p>
      <w:pPr>
        <w:pStyle w:val="ListParagraph"/>
        <w:numPr>
          <w:ilvl w:val="0"/>
          <w:numId w:val="2"/>
        </w:numPr>
        <w:spacing w:after="60"/>
      </w:pPr>
      <w:r>
        <w:t xml:space="preserve">Hue Cloud (CLIP API v2, OAuth2), TP-Link Tapo/Kasa — ajoutés sans modification de l'API exposée à l'app, ni du modèle Device</w:t>
      </w:r>
    </w:p>
    <w:p>
      <w:pPr>
        <w:pStyle w:val="Heading2"/>
        <w:spacing w:after="150" w:before="300"/>
      </w:pPr>
      <w:r>
        <w:t xml:space="preserve">6.4 Gestion de l'état chaud</w:t>
      </w:r>
    </w:p>
    <w:p>
      <w:pPr>
        <w:pStyle w:val="ListParagraph"/>
        <w:numPr>
          <w:ilvl w:val="0"/>
          <w:numId w:val="2"/>
        </w:numPr>
        <w:spacing w:after="60"/>
      </w:pPr>
      <w:r>
        <w:t xml:space="preserve">La valeur courante d'une capacité vit en Redis (clé par device_id, TTL), jamais en écriture directe sur une ligne PostgreSQL à chaque changement — évite de saturer la base sous charge de capteurs</w:t>
      </w:r>
    </w:p>
    <w:p>
      <w:pPr>
        <w:pStyle w:val="ListParagraph"/>
        <w:numPr>
          <w:ilvl w:val="0"/>
          <w:numId w:val="2"/>
        </w:numPr>
        <w:spacing w:after="60"/>
      </w:pPr>
      <w:r>
        <w:t xml:space="preserve">PostgreSQL ne reçoit qu'un instantané périodique de l'état, pour permettre une reprise après redémarrage de Redis</w:t>
      </w:r>
    </w:p>
    <w:p>
      <w:pPr>
        <w:pStyle w:val="ListParagraph"/>
        <w:numPr>
          <w:ilvl w:val="0"/>
          <w:numId w:val="2"/>
        </w:numPr>
        <w:spacing w:after="60"/>
      </w:pPr>
      <w:r>
        <w:t xml:space="preserve">L'historique détaillé (relevés, journal d'exécution) est conservé dans une table partitionnée dédiée, avec une politique de rétention (ex. 90 jours), distincte de l'état courant</w:t>
      </w:r>
    </w:p>
    <w:p>
      <w:pPr>
        <w:pStyle w:val="Heading2"/>
        <w:spacing w:after="150" w:before="300"/>
      </w:pPr>
      <w:r>
        <w:t xml:space="preserve">6.5 Budget d'appels Tuya</w:t>
      </w:r>
    </w:p>
    <w:p>
      <w:pPr>
        <w:pStyle w:val="ListParagraph"/>
        <w:numPr>
          <w:ilvl w:val="0"/>
          <w:numId w:val="2"/>
        </w:numPr>
        <w:spacing w:after="60"/>
      </w:pPr>
      <w:r>
        <w:t xml:space="preserve">Le quota d'appels du projet cloud Tuya est global à tous les foyers de la plateforme, pas seulement par utilisateur : prévoir un budget hiérarchique (token bucket par ThirdPartyAccount, plus un plafond global par connecteur)</w:t>
      </w:r>
    </w:p>
    <w:p>
      <w:pPr>
        <w:pStyle w:val="ListParagraph"/>
        <w:numPr>
          <w:ilvl w:val="0"/>
          <w:numId w:val="2"/>
        </w:numPr>
        <w:spacing w:after="60"/>
      </w:pPr>
      <w:r>
        <w:t xml:space="preserve">À l'approche du plafond, dégrader explicitement (mise en file d'attente des commandes) plutôt que de renvoyer une erreur à l'utilisateur</w:t>
      </w:r>
    </w:p>
    <w:p>
      <w:pPr>
        <w:pStyle w:val="ListParagraph"/>
        <w:numPr>
          <w:ilvl w:val="0"/>
          <w:numId w:val="2"/>
        </w:numPr>
        <w:spacing w:after="60"/>
      </w:pPr>
      <w:r>
        <w:t xml:space="preserve">Exposer dès le V1 une métrique d'appels consommés/restants par connecteur (cf. §9)</w:t>
      </w:r>
    </w:p>
    <w:p>
      <w:pPr>
        <w:pStyle w:val="Heading1"/>
        <w:spacing w:after="200" w:before="400"/>
      </w:pPr>
      <w:r>
        <w:t xml:space="preserve">7. Sécurité et isolation multi-tenant</w:t>
      </w:r>
    </w:p>
    <w:p>
      <w:pPr>
        <w:pStyle w:val="ListParagraph"/>
        <w:numPr>
          <w:ilvl w:val="0"/>
          <w:numId w:val="2"/>
        </w:numPr>
        <w:spacing w:after="60"/>
      </w:pPr>
      <w:r>
        <w:t xml:space="preserve">Chaque requête entrante est associée à un user_id (JWT) et chaque enregistrement en base est scopé par home_id/user_id — vérification systématique côté service, jamais uniquement côté requête SQL</w:t>
      </w:r>
    </w:p>
    <w:p>
      <w:pPr>
        <w:pStyle w:val="ListParagraph"/>
        <w:numPr>
          <w:ilvl w:val="0"/>
          <w:numId w:val="2"/>
        </w:numPr>
        <w:spacing w:after="60"/>
      </w:pPr>
      <w:r>
        <w:t xml:space="preserve">Authentification des boîtiers par certificat mTLS X.509, provisionné en usine — révocation par CRL côté broker EMQX en cas de compromission, sans avoir à redéployer quoi que ce soit sur le boîtier</w:t>
      </w:r>
    </w:p>
    <w:p>
      <w:pPr>
        <w:pStyle w:val="ListParagraph"/>
        <w:numPr>
          <w:ilvl w:val="0"/>
          <w:numId w:val="2"/>
        </w:numPr>
        <w:spacing w:after="60"/>
      </w:pPr>
      <w:r>
        <w:t xml:space="preserve">Le couple device_id + secret n'est utilisé que pour le claim initial (POST /devices/claim, cf. §8), à usage unique et durée limitée — jamais comme mécanisme d'authentification permanent</w:t>
      </w:r>
    </w:p>
    <w:p>
      <w:pPr>
        <w:pStyle w:val="ListParagraph"/>
        <w:numPr>
          <w:ilvl w:val="0"/>
          <w:numId w:val="2"/>
        </w:numPr>
        <w:spacing w:after="60"/>
      </w:pPr>
      <w:r>
        <w:t xml:space="preserve">ACL au niveau du broker MQTT cloud : un boîtier n'a accès qu'à ses propres topics (homes/&lt;home_id&gt;/units/&lt;unit_id&gt;/#)</w:t>
      </w:r>
    </w:p>
    <w:p>
      <w:pPr>
        <w:pStyle w:val="ListParagraph"/>
        <w:numPr>
          <w:ilvl w:val="0"/>
          <w:numId w:val="2"/>
        </w:numPr>
        <w:spacing w:after="60"/>
      </w:pPr>
      <w:r>
        <w:t xml:space="preserve">Tokens OAuth des comptes tiers (Tuya…) chiffrés au repos, jamais transmis à l'app cliente</w:t>
      </w:r>
    </w:p>
    <w:p>
      <w:pPr>
        <w:pStyle w:val="ListParagraph"/>
        <w:numPr>
          <w:ilvl w:val="0"/>
          <w:numId w:val="2"/>
        </w:numPr>
        <w:spacing w:after="60"/>
      </w:pPr>
      <w:r>
        <w:t xml:space="preserve">TLS obligatoire sur toutes les connexions (app ↔ backend, boîtier ↔ broker, backend ↔ API tierces)</w:t>
      </w:r>
    </w:p>
    <w:p>
      <w:pPr>
        <w:pStyle w:val="ListParagraph"/>
        <w:numPr>
          <w:ilvl w:val="0"/>
          <w:numId w:val="2"/>
        </w:numPr>
        <w:spacing w:after="60"/>
      </w:pPr>
      <w:r>
        <w:t xml:space="preserve">Rate limiting par utilisateur et par device pour limiter l'impact d'un compte ou d'un boîtier compromis, en complément du budget hiérarchique par connecteur (§6.5)</w:t>
      </w:r>
    </w:p>
    <w:p>
      <w:pPr>
        <w:pStyle w:val="ListParagraph"/>
        <w:numPr>
          <w:ilvl w:val="0"/>
          <w:numId w:val="2"/>
        </w:numPr>
        <w:spacing w:after="60"/>
      </w:pPr>
      <w:r>
        <w:t xml:space="preserve">Variables sensibles (TUYA_ACCESS_SECRET, JWT_SECRET, DATABASE_URL…) exclusivement côté backend — jamais dans le projet React Native : toute variable préfixée EXPO_PUBLIC_ est inlinée en clair dans le bundle et lisible par quiconque décompresse l'app. Seule EXPO_PUBLIC_API_URL a sa place côté client.</w:t>
      </w:r>
    </w:p>
    <w:p>
      <w:pPr>
        <w:pStyle w:val="Heading1"/>
        <w:spacing w:after="200" w:before="400"/>
      </w:pPr>
      <w:r>
        <w:t xml:space="preserve">8. Provisioning (rappel des flux déjà validés)</w:t>
      </w:r>
    </w:p>
    <w:p>
      <w:pPr>
        <w:pStyle w:val="ListParagraph"/>
        <w:numPr>
          <w:ilvl w:val="0"/>
          <w:numId w:val="2"/>
        </w:numPr>
        <w:spacing w:after="60"/>
      </w:pPr>
      <w:r>
        <w:t xml:space="preserve">Connexion réseau du boîtier : hotspot Wi-Fi temporaire + portail captif pour le MVP (migration BLE prévue en V2)</w:t>
      </w:r>
    </w:p>
    <w:p>
      <w:pPr>
        <w:pStyle w:val="ListParagraph"/>
        <w:numPr>
          <w:ilvl w:val="0"/>
          <w:numId w:val="2"/>
        </w:numPr>
        <w:spacing w:after="60"/>
      </w:pPr>
      <w:r>
        <w:t xml:space="preserve">Association boîtier ↔ compte : QR code (device_id + code d'appairage à usage unique) scanné depuis l'app, endpoint POST /devices/claim</w:t>
      </w:r>
    </w:p>
    <w:p>
      <w:pPr>
        <w:pStyle w:val="ListParagraph"/>
        <w:numPr>
          <w:ilvl w:val="0"/>
          <w:numId w:val="2"/>
        </w:numPr>
        <w:spacing w:after="60"/>
      </w:pPr>
      <w:r>
        <w:t xml:space="preserve">Ajout d'un appareil Zigbee : activation du permit_join depuis l'app, détection et nommage</w:t>
      </w:r>
    </w:p>
    <w:p>
      <w:pPr>
        <w:pStyle w:val="ListParagraph"/>
        <w:numPr>
          <w:ilvl w:val="0"/>
          <w:numId w:val="2"/>
        </w:numPr>
        <w:spacing w:after="60"/>
      </w:pPr>
      <w:r>
        <w:t xml:space="preserve">Ajout d'un appareil cloud tiers : liaison de compte OAuth (WebView React Native), sélection des appareils à importer</w:t>
      </w:r>
    </w:p>
    <w:p>
      <w:pPr>
        <w:pStyle w:val="Heading1"/>
        <w:spacing w:after="200" w:before="400"/>
      </w:pPr>
      <w:r>
        <w:t xml:space="preserve">9. Scalabilité et infrastructure</w:t>
      </w:r>
    </w:p>
    <w:p>
      <w:pPr>
        <w:pStyle w:val="ListParagraph"/>
        <w:numPr>
          <w:ilvl w:val="0"/>
          <w:numId w:val="2"/>
        </w:numPr>
        <w:spacing w:after="60"/>
      </w:pPr>
      <w:r>
        <w:t xml:space="preserve">Backend réellement stateless derrière un load balancer : les connexions persistantes des boîtiers sont tenues par le broker EMQX, pas par les instances applicatives, qui peuvent donc être redéployées sans déconnecter la flotte</w:t>
      </w:r>
    </w:p>
    <w:p>
      <w:pPr>
        <w:pStyle w:val="ListParagraph"/>
        <w:numPr>
          <w:ilvl w:val="0"/>
          <w:numId w:val="2"/>
        </w:numPr>
        <w:spacing w:after="60"/>
      </w:pPr>
      <w:r>
        <w:t xml:space="preserve">Broker MQTT cloud dimensionné pour les connexions persistantes des boîtiers (EMQX/AWS IoT Core — Mosquitto reste réservé au réseau local de chaque boîtier)</w:t>
      </w:r>
    </w:p>
    <w:p>
      <w:pPr>
        <w:pStyle w:val="ListParagraph"/>
        <w:numPr>
          <w:ilvl w:val="0"/>
          <w:numId w:val="2"/>
        </w:numPr>
        <w:spacing w:after="60"/>
      </w:pPr>
      <w:r>
        <w:t xml:space="preserve">Redis pour l'état chaud des capacités (§6.4) et pour la diffusion des événements temps réel entre instances backend (pub/sub) avant re-diffusion aux WebSockets clients</w:t>
      </w:r>
    </w:p>
    <w:p>
      <w:pPr>
        <w:pStyle w:val="ListParagraph"/>
        <w:numPr>
          <w:ilvl w:val="0"/>
          <w:numId w:val="2"/>
        </w:numPr>
        <w:spacing w:after="60"/>
      </w:pPr>
      <w:r>
        <w:t xml:space="preserve">Sauvegardes régulières de PostgreSQL, migration de schéma versionnée (Prisma Migrate avec DIRECT_URL distincte du pool applicatif si la base est derrière un pooler)</w:t>
      </w:r>
    </w:p>
    <w:p>
      <w:pPr>
        <w:pStyle w:val="ListParagraph"/>
        <w:numPr>
          <w:ilvl w:val="0"/>
          <w:numId w:val="2"/>
        </w:numPr>
        <w:spacing w:after="60"/>
      </w:pPr>
      <w:r>
        <w:t xml:space="preserve">Observabilité : logs structurés, métriques par connecteur (latence, taux d'erreur, quota consommé/restant — cf. §6.5), alerting sur les boîtiers hors ligne de manière prolongée (basé sur last_heartbeat)</w:t>
      </w:r>
    </w:p>
    <w:p>
      <w:pPr>
        <w:pStyle w:val="Heading1"/>
        <w:spacing w:after="200" w:before="400"/>
      </w:pPr>
      <w:r>
        <w:t xml:space="preserve">10. Gestion des secrets et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5F" w:color="auto" w:val="clear"/>
          </w:tcPr>
          <w:p>
            <w:r>
              <w:rPr>
                <w:b/>
                <w:bCs/>
                <w:color w:val="FFFFFF"/>
                <w:sz w:val="20"/>
                <w:szCs w:val="20"/>
              </w:rPr>
              <w:t xml:space="preserve">Variable</w:t>
            </w:r>
          </w:p>
        </w:tc>
        <w:tc>
          <w:tcPr>
            <w:tcW w:type="dxa" w:w="6000"/>
            <w:shd w:fill="1F4E5F" w:color="auto" w:val="clear"/>
          </w:tcPr>
          <w:p>
            <w:r>
              <w:rPr>
                <w:b/>
                <w:bCs/>
                <w:color w:val="FFFFFF"/>
                <w:sz w:val="20"/>
                <w:szCs w:val="20"/>
              </w:rPr>
              <w:t xml:space="preserve">Description</w:t>
            </w:r>
          </w:p>
        </w:tc>
      </w:tr>
      <w:tr>
        <w:tc>
          <w:tcPr>
            <w:tcW w:type="dxa" w:w="3000"/>
          </w:tcPr>
          <w:p>
            <w:r>
              <w:rPr>
                <w:b w:val="false"/>
                <w:bCs w:val="false"/>
                <w:sz w:val="20"/>
                <w:szCs w:val="20"/>
              </w:rPr>
              <w:t xml:space="preserve">TUYA_ACCESS_ID / TUYA_ACCESS_SECRET</w:t>
            </w:r>
          </w:p>
        </w:tc>
        <w:tc>
          <w:tcPr>
            <w:tcW w:type="dxa" w:w="6000"/>
          </w:tcPr>
          <w:p>
            <w:r>
              <w:rPr>
                <w:b w:val="false"/>
                <w:bCs w:val="false"/>
                <w:sz w:val="20"/>
                <w:szCs w:val="20"/>
              </w:rPr>
              <w:t xml:space="preserve">Identifiants du projet cloud Tuya (jamais exposés côté client)</w:t>
            </w:r>
          </w:p>
        </w:tc>
      </w:tr>
      <w:tr>
        <w:tc>
          <w:tcPr>
            <w:tcW w:type="dxa" w:w="3000"/>
          </w:tcPr>
          <w:p>
            <w:r>
              <w:rPr>
                <w:b w:val="false"/>
                <w:bCs w:val="false"/>
                <w:sz w:val="20"/>
                <w:szCs w:val="20"/>
              </w:rPr>
              <w:t xml:space="preserve">TUYA_DATA_CENTER</w:t>
            </w:r>
          </w:p>
        </w:tc>
        <w:tc>
          <w:tcPr>
            <w:tcW w:type="dxa" w:w="6000"/>
          </w:tcPr>
          <w:p>
            <w:r>
              <w:rPr>
                <w:b w:val="false"/>
                <w:bCs w:val="false"/>
                <w:sz w:val="20"/>
                <w:szCs w:val="20"/>
              </w:rPr>
              <w:t xml:space="preserve">Endpoint régional Tuya (Western Europe)</w:t>
            </w:r>
          </w:p>
        </w:tc>
      </w:tr>
      <w:tr>
        <w:tc>
          <w:tcPr>
            <w:tcW w:type="dxa" w:w="3000"/>
          </w:tcPr>
          <w:p>
            <w:r>
              <w:rPr>
                <w:b w:val="false"/>
                <w:bCs w:val="false"/>
                <w:sz w:val="20"/>
                <w:szCs w:val="20"/>
              </w:rPr>
              <w:t xml:space="preserve">JWT_SECRET / JWT_REFRESH_SECRET</w:t>
            </w:r>
          </w:p>
        </w:tc>
        <w:tc>
          <w:tcPr>
            <w:tcW w:type="dxa" w:w="6000"/>
          </w:tcPr>
          <w:p>
            <w:r>
              <w:rPr>
                <w:b w:val="false"/>
                <w:bCs w:val="false"/>
                <w:sz w:val="20"/>
                <w:szCs w:val="20"/>
              </w:rPr>
              <w:t xml:space="preserve">Signature des tokens d'authentification applicative</w:t>
            </w:r>
          </w:p>
        </w:tc>
      </w:tr>
      <w:tr>
        <w:tc>
          <w:tcPr>
            <w:tcW w:type="dxa" w:w="3000"/>
          </w:tcPr>
          <w:p>
            <w:r>
              <w:rPr>
                <w:b w:val="false"/>
                <w:bCs w:val="false"/>
                <w:sz w:val="20"/>
                <w:szCs w:val="20"/>
              </w:rPr>
              <w:t xml:space="preserve">MQTT_BROKER_URL + certificats</w:t>
            </w:r>
          </w:p>
        </w:tc>
        <w:tc>
          <w:tcPr>
            <w:tcW w:type="dxa" w:w="6000"/>
          </w:tcPr>
          <w:p>
            <w:r>
              <w:rPr>
                <w:b w:val="false"/>
                <w:bCs w:val="false"/>
                <w:sz w:val="20"/>
                <w:szCs w:val="20"/>
              </w:rPr>
              <w:t xml:space="preserve">Connexion sécurisée du broker cloud pour les boîtiers</w:t>
            </w:r>
          </w:p>
        </w:tc>
      </w:tr>
      <w:tr>
        <w:tc>
          <w:tcPr>
            <w:tcW w:type="dxa" w:w="3000"/>
          </w:tcPr>
          <w:p>
            <w:r>
              <w:rPr>
                <w:b w:val="false"/>
                <w:bCs w:val="false"/>
                <w:sz w:val="20"/>
                <w:szCs w:val="20"/>
              </w:rPr>
              <w:t xml:space="preserve">DATABASE_URL</w:t>
            </w:r>
          </w:p>
        </w:tc>
        <w:tc>
          <w:tcPr>
            <w:tcW w:type="dxa" w:w="6000"/>
          </w:tcPr>
          <w:p>
            <w:r>
              <w:rPr>
                <w:b w:val="false"/>
                <w:bCs w:val="false"/>
                <w:sz w:val="20"/>
                <w:szCs w:val="20"/>
              </w:rPr>
              <w:t xml:space="preserve">Chaîne de connexion PostgreSQL</w:t>
            </w:r>
          </w:p>
        </w:tc>
      </w:tr>
      <w:tr>
        <w:tc>
          <w:tcPr>
            <w:tcW w:type="dxa" w:w="3000"/>
          </w:tcPr>
          <w:p>
            <w:r>
              <w:rPr>
                <w:b w:val="false"/>
                <w:bCs w:val="false"/>
                <w:sz w:val="20"/>
                <w:szCs w:val="20"/>
              </w:rPr>
              <w:t xml:space="preserve">REDIS_URL</w:t>
            </w:r>
          </w:p>
        </w:tc>
        <w:tc>
          <w:tcPr>
            <w:tcW w:type="dxa" w:w="6000"/>
          </w:tcPr>
          <w:p>
            <w:r>
              <w:rPr>
                <w:b w:val="false"/>
                <w:bCs w:val="false"/>
                <w:sz w:val="20"/>
                <w:szCs w:val="20"/>
              </w:rPr>
              <w:t xml:space="preserve">Connexion au cache/pub-sub</w:t>
            </w:r>
          </w:p>
        </w:tc>
      </w:tr>
    </w:tbl>
    <w:p>
      <w:pPr>
        <w:spacing w:after="120"/>
      </w:pPr>
      <w:r>
        <w:rPr>
          <w:b/>
          <w:bCs/>
        </w:rPr>
        <w:t xml:space="preserve">Ces valeurs sont gérées via un coffre-fort de secrets (ex. variables d'environnement chiffrées du fournisseur cloud, ou solution dédiée type Vault) — jamais committées dans le code source, et jamais placées dans le projet React Native : toute variable qui doit y être lue par l'app (préfixe EXPO_PUBLIC_) est inlinée en clair dans le bundle final. Seule EXPO_PUBLIC_API_URL doit exister côté app.</w:t>
      </w:r>
    </w:p>
    <w:p>
      <w:pPr>
        <w:pStyle w:val="Heading1"/>
        <w:spacing w:after="200" w:before="400"/>
      </w:pPr>
      <w:r>
        <w:t xml:space="preserve">11. Roadmap de développement du backend</w:t>
      </w:r>
    </w:p>
    <w:p>
      <w:pPr>
        <w:spacing w:after="120"/>
      </w:pPr>
      <w:r>
        <w:rPr>
          <w:i/>
          <w:iCs/>
        </w:rPr>
        <w:t xml:space="preserve">Corrigé : les automatisations et le heartbeat/OTA remontent en V1 — le contrat client (§5) expose déjà /automations et l'écran 2.9 du design system affiche une « dernière synchronisation » ; les repousser en V2/V3 rendrait ces écrans non fonctionnels au lancement, et l'absence de mécanisme de mise à jour des boîtiers est un risque de sécurité, pas un simple arbitrage de confort.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1F4E5F" w:color="auto" w:val="clear"/>
          </w:tcPr>
          <w:p>
            <w:r>
              <w:rPr>
                <w:b/>
                <w:bCs/>
                <w:color w:val="FFFFFF"/>
                <w:sz w:val="20"/>
                <w:szCs w:val="20"/>
              </w:rPr>
              <w:t xml:space="preserve">Phase</w:t>
            </w:r>
          </w:p>
        </w:tc>
        <w:tc>
          <w:tcPr>
            <w:tcW w:type="dxa" w:w="7200"/>
            <w:shd w:fill="1F4E5F" w:color="auto" w:val="clear"/>
          </w:tcPr>
          <w:p>
            <w:r>
              <w:rPr>
                <w:b/>
                <w:bCs/>
                <w:color w:val="FFFFFF"/>
                <w:sz w:val="20"/>
                <w:szCs w:val="20"/>
              </w:rPr>
              <w:t xml:space="preserve">Contenu</w:t>
            </w:r>
          </w:p>
        </w:tc>
      </w:tr>
      <w:tr>
        <w:tc>
          <w:tcPr>
            <w:tcW w:type="dxa" w:w="1800"/>
          </w:tcPr>
          <w:p>
            <w:r>
              <w:rPr>
                <w:b w:val="false"/>
                <w:bCs w:val="false"/>
                <w:sz w:val="20"/>
                <w:szCs w:val="20"/>
              </w:rPr>
              <w:t xml:space="preserve">V1 — MVP</w:t>
            </w:r>
          </w:p>
        </w:tc>
        <w:tc>
          <w:tcPr>
            <w:tcW w:type="dxa" w:w="7200"/>
          </w:tcPr>
          <w:p>
            <w:r>
              <w:rPr>
                <w:b w:val="false"/>
                <w:bCs w:val="false"/>
                <w:sz w:val="20"/>
                <w:szCs w:val="20"/>
              </w:rPr>
              <w:t xml:space="preserve">Auth, modèle de données complet (y compris Room, HomeMember, Command, AutomationRun, PushToken), Device Service + connecteur Tuya (OAuth), connecteur Zigbee via MQTT/mTLS (un boîtier par foyer), provisioning hotspot + QR code, automatisations/scènes de base, heartbeat des boîtiers, API REST + WebSocket temps réel avec resynchronisation</w:t>
            </w:r>
          </w:p>
        </w:tc>
      </w:tr>
      <w:tr>
        <w:tc>
          <w:tcPr>
            <w:tcW w:type="dxa" w:w="1800"/>
          </w:tcPr>
          <w:p>
            <w:r>
              <w:rPr>
                <w:b w:val="false"/>
                <w:bCs w:val="false"/>
                <w:sz w:val="20"/>
                <w:szCs w:val="20"/>
              </w:rPr>
              <w:t xml:space="preserve">V2</w:t>
            </w:r>
          </w:p>
        </w:tc>
        <w:tc>
          <w:tcPr>
            <w:tcW w:type="dxa" w:w="7200"/>
          </w:tcPr>
          <w:p>
            <w:r>
              <w:rPr>
                <w:b w:val="false"/>
                <w:bCs w:val="false"/>
                <w:sz w:val="20"/>
                <w:szCs w:val="20"/>
              </w:rPr>
              <w:t xml:space="preserve">Connecteurs Hue/Tapo, migration provisioning vers BLE, multi-boîtiers par foyer, notifications push, mises à jour OTA des boîtiers</w:t>
            </w:r>
          </w:p>
        </w:tc>
      </w:tr>
      <w:tr>
        <w:tc>
          <w:tcPr>
            <w:tcW w:type="dxa" w:w="1800"/>
          </w:tcPr>
          <w:p>
            <w:r>
              <w:rPr>
                <w:b w:val="false"/>
                <w:bCs w:val="false"/>
                <w:sz w:val="20"/>
                <w:szCs w:val="20"/>
              </w:rPr>
              <w:t xml:space="preserve">V3</w:t>
            </w:r>
          </w:p>
        </w:tc>
        <w:tc>
          <w:tcPr>
            <w:tcW w:type="dxa" w:w="7200"/>
          </w:tcPr>
          <w:p>
            <w:r>
              <w:rPr>
                <w:b w:val="false"/>
                <w:bCs w:val="false"/>
                <w:sz w:val="20"/>
                <w:szCs w:val="20"/>
              </w:rPr>
              <w:t xml:space="preserve">Automatisations locales tolérantes aux coupures Internet, monitoring de flotte avancé, observabilité étendue</w:t>
            </w:r>
          </w:p>
        </w:tc>
      </w:tr>
    </w:tbl>
    <w:p>
      <w:pPr>
        <w:pStyle w:val="Heading1"/>
        <w:spacing w:after="200" w:before="400"/>
      </w:pPr>
      <w:r>
        <w:t xml:space="preserve">12. Paquet de contrat partagé (monorepo)</w:t>
      </w:r>
    </w:p>
    <w:p>
      <w:pPr>
        <w:spacing w:after="120"/>
      </w:pPr>
      <w:r>
        <w:t xml:space="preserve">Pour que le principe « client léger » (§1) soit vérifiable et non simplement documentaire, le contrat entre le backend et l'app est porté par un paquet partagé dans un monorepo :</w:t>
      </w:r>
    </w:p>
    <w:p>
      <w:pPr>
        <w:pStyle w:val="ListParagraph"/>
        <w:numPr>
          <w:ilvl w:val="0"/>
          <w:numId w:val="2"/>
        </w:numPr>
        <w:spacing w:after="60"/>
      </w:pPr>
      <w:r>
        <w:t xml:space="preserve">packages/contract contient les schémas Zod de chaque endpoint REST et de chaque événement WebSocket (device_state_changed, alert_created, auth_expiring…)</w:t>
      </w:r>
    </w:p>
    <w:p>
      <w:pPr>
        <w:pStyle w:val="ListParagraph"/>
        <w:numPr>
          <w:ilvl w:val="0"/>
          <w:numId w:val="2"/>
        </w:numPr>
        <w:spacing w:after="60"/>
      </w:pPr>
      <w:r>
        <w:t xml:space="preserve">Le backend valide ses entrées/sorties avec ces mêmes schémas ; l'app React Native dérive ses types TypeScript directement de ce paquet</w:t>
      </w:r>
    </w:p>
    <w:p>
      <w:pPr>
        <w:pStyle w:val="ListParagraph"/>
        <w:numPr>
          <w:ilvl w:val="0"/>
          <w:numId w:val="2"/>
        </w:numPr>
        <w:spacing w:after="60"/>
      </w:pPr>
      <w:r>
        <w:t xml:space="preserve">Conséquence recherchée : si un connecteur venait à laisser fuiter un champ brut spécifique à Tuya dans une réponse API, la validation Zod ou la compilation TypeScript le signale avant la mise en production, au lieu de dépendre d'une relecture manuelle</w:t>
      </w:r>
    </w:p>
    <w:p>
      <w:pPr>
        <w:pStyle w:val="Heading1"/>
        <w:spacing w:after="200" w:before="400"/>
      </w:pPr>
      <w:r>
        <w:t xml:space="preserve">13. Annexes —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5F" w:color="auto" w:val="clear"/>
          </w:tcPr>
          <w:p>
            <w:r>
              <w:rPr>
                <w:b/>
                <w:bCs/>
                <w:color w:val="FFFFFF"/>
                <w:sz w:val="20"/>
                <w:szCs w:val="20"/>
              </w:rPr>
              <w:t xml:space="preserve">Terme</w:t>
            </w:r>
          </w:p>
        </w:tc>
        <w:tc>
          <w:tcPr>
            <w:tcW w:type="dxa" w:w="6800"/>
            <w:shd w:fill="1F4E5F" w:color="auto" w:val="clear"/>
          </w:tcPr>
          <w:p>
            <w:r>
              <w:rPr>
                <w:b/>
                <w:bCs/>
                <w:color w:val="FFFFFF"/>
                <w:sz w:val="20"/>
                <w:szCs w:val="20"/>
              </w:rPr>
              <w:t xml:space="preserve">Définition</w:t>
            </w:r>
          </w:p>
        </w:tc>
      </w:tr>
      <w:tr>
        <w:tc>
          <w:tcPr>
            <w:tcW w:type="dxa" w:w="2200"/>
          </w:tcPr>
          <w:p>
            <w:r>
              <w:rPr>
                <w:b w:val="false"/>
                <w:bCs w:val="false"/>
                <w:sz w:val="20"/>
                <w:szCs w:val="20"/>
              </w:rPr>
              <w:t xml:space="preserve">DeviceConnector</w:t>
            </w:r>
          </w:p>
        </w:tc>
        <w:tc>
          <w:tcPr>
            <w:tcW w:type="dxa" w:w="6800"/>
          </w:tcPr>
          <w:p>
            <w:r>
              <w:rPr>
                <w:b w:val="false"/>
                <w:bCs w:val="false"/>
                <w:sz w:val="20"/>
                <w:szCs w:val="20"/>
              </w:rPr>
              <w:t xml:space="preserve">Interface commune implémentée par chaque intégration (Zigbee, Tuya…) pour uniformiser le pilotage des appareils</w:t>
            </w:r>
          </w:p>
        </w:tc>
      </w:tr>
      <w:tr>
        <w:tc>
          <w:tcPr>
            <w:tcW w:type="dxa" w:w="2200"/>
          </w:tcPr>
          <w:p>
            <w:r>
              <w:rPr>
                <w:b w:val="false"/>
                <w:bCs w:val="false"/>
                <w:sz w:val="20"/>
                <w:szCs w:val="20"/>
              </w:rPr>
              <w:t xml:space="preserve">Device Unit</w:t>
            </w:r>
          </w:p>
        </w:tc>
        <w:tc>
          <w:tcPr>
            <w:tcW w:type="dxa" w:w="6800"/>
          </w:tcPr>
          <w:p>
            <w:r>
              <w:rPr>
                <w:b w:val="false"/>
                <w:bCs w:val="false"/>
                <w:sz w:val="20"/>
                <w:szCs w:val="20"/>
              </w:rPr>
              <w:t xml:space="preserve">Représentation en base d'un boîtier physique déployé chez un client</w:t>
            </w:r>
          </w:p>
        </w:tc>
      </w:tr>
      <w:tr>
        <w:tc>
          <w:tcPr>
            <w:tcW w:type="dxa" w:w="2200"/>
          </w:tcPr>
          <w:p>
            <w:r>
              <w:rPr>
                <w:b w:val="false"/>
                <w:bCs w:val="false"/>
                <w:sz w:val="20"/>
                <w:szCs w:val="20"/>
              </w:rPr>
              <w:t xml:space="preserve">Data Point (DP)</w:t>
            </w:r>
          </w:p>
        </w:tc>
        <w:tc>
          <w:tcPr>
            <w:tcW w:type="dxa" w:w="6800"/>
          </w:tcPr>
          <w:p>
            <w:r>
              <w:rPr>
                <w:b w:val="false"/>
                <w:bCs w:val="false"/>
                <w:sz w:val="20"/>
                <w:szCs w:val="20"/>
              </w:rPr>
              <w:t xml:space="preserve">Format propriétaire Tuya représentant une capacité d'appareil (ex. on/off, luminosité)</w:t>
            </w:r>
          </w:p>
        </w:tc>
      </w:tr>
      <w:tr>
        <w:tc>
          <w:tcPr>
            <w:tcW w:type="dxa" w:w="2200"/>
          </w:tcPr>
          <w:p>
            <w:r>
              <w:rPr>
                <w:b w:val="false"/>
                <w:bCs w:val="false"/>
                <w:sz w:val="20"/>
                <w:szCs w:val="20"/>
              </w:rPr>
              <w:t xml:space="preserve">Permit join</w:t>
            </w:r>
          </w:p>
        </w:tc>
        <w:tc>
          <w:tcPr>
            <w:tcW w:type="dxa" w:w="6800"/>
          </w:tcPr>
          <w:p>
            <w:r>
              <w:rPr>
                <w:b w:val="false"/>
                <w:bCs w:val="false"/>
                <w:sz w:val="20"/>
                <w:szCs w:val="20"/>
              </w:rPr>
              <w:t xml:space="preserve">Fenêtre temporaire d'ouverture du réseau Zigbee pour associer un nouvel appareil</w:t>
            </w:r>
          </w:p>
        </w:tc>
      </w:tr>
      <w:tr>
        <w:tc>
          <w:tcPr>
            <w:tcW w:type="dxa" w:w="2200"/>
          </w:tcPr>
          <w:p>
            <w:r>
              <w:rPr>
                <w:b w:val="false"/>
                <w:bCs w:val="false"/>
                <w:sz w:val="20"/>
                <w:szCs w:val="20"/>
              </w:rPr>
              <w:t xml:space="preserve">Client léger</w:t>
            </w:r>
          </w:p>
        </w:tc>
        <w:tc>
          <w:tcPr>
            <w:tcW w:type="dxa" w:w="6800"/>
          </w:tcPr>
          <w:p>
            <w:r>
              <w:rPr>
                <w:b w:val="false"/>
                <w:bCs w:val="false"/>
                <w:sz w:val="20"/>
                <w:szCs w:val="20"/>
              </w:rPr>
              <w:t xml:space="preserve">Ici, l'app React Native, qui ne contient aucune logique d'intégration tierce</w:t>
            </w:r>
          </w:p>
        </w:tc>
      </w:tr>
      <w:tr>
        <w:tc>
          <w:tcPr>
            <w:tcW w:type="dxa" w:w="2200"/>
          </w:tcPr>
          <w:p>
            <w:r>
              <w:rPr>
                <w:b w:val="false"/>
                <w:bCs w:val="false"/>
                <w:sz w:val="20"/>
                <w:szCs w:val="20"/>
              </w:rPr>
              <w:t xml:space="preserve">mTLS</w:t>
            </w:r>
          </w:p>
        </w:tc>
        <w:tc>
          <w:tcPr>
            <w:tcW w:type="dxa" w:w="6800"/>
          </w:tcPr>
          <w:p>
            <w:r>
              <w:rPr>
                <w:b w:val="false"/>
                <w:bCs w:val="false"/>
                <w:sz w:val="20"/>
                <w:szCs w:val="20"/>
              </w:rPr>
              <w:t xml:space="preserve">Authentification mutuelle par certificat (le client et le serveur se prouvent chacun leur identité), utilisée pour l'auth boîtier ↔ broker</w:t>
            </w:r>
          </w:p>
        </w:tc>
      </w:tr>
      <w:tr>
        <w:tc>
          <w:tcPr>
            <w:tcW w:type="dxa" w:w="2200"/>
          </w:tcPr>
          <w:p>
            <w:r>
              <w:rPr>
                <w:b w:val="false"/>
                <w:bCs w:val="false"/>
                <w:sz w:val="20"/>
                <w:szCs w:val="20"/>
              </w:rPr>
              <w:t xml:space="preserve">Token bucket</w:t>
            </w:r>
          </w:p>
        </w:tc>
        <w:tc>
          <w:tcPr>
            <w:tcW w:type="dxa" w:w="6800"/>
          </w:tcPr>
          <w:p>
            <w:r>
              <w:rPr>
                <w:b w:val="false"/>
                <w:bCs w:val="false"/>
                <w:sz w:val="20"/>
                <w:szCs w:val="20"/>
              </w:rPr>
              <w:t xml:space="preserve">Mécanisme de limitation de débit qui autorise un volume d'appels par intervalle, avec une réserve (« bucket ») consommée progressivement</w:t>
            </w:r>
          </w:p>
        </w:tc>
      </w:tr>
      <w:tr>
        <w:tc>
          <w:tcPr>
            <w:tcW w:type="dxa" w:w="2200"/>
          </w:tcPr>
          <w:p>
            <w:r>
              <w:rPr>
                <w:b w:val="false"/>
                <w:bCs w:val="false"/>
                <w:sz w:val="20"/>
                <w:szCs w:val="20"/>
              </w:rPr>
              <w:t xml:space="preserve">Contrat partagé (Zod)</w:t>
            </w:r>
          </w:p>
        </w:tc>
        <w:tc>
          <w:tcPr>
            <w:tcW w:type="dxa" w:w="6800"/>
          </w:tcPr>
          <w:p>
            <w:r>
              <w:rPr>
                <w:b w:val="false"/>
                <w:bCs w:val="false"/>
                <w:sz w:val="20"/>
                <w:szCs w:val="20"/>
              </w:rPr>
              <w:t xml:space="preserve">Paquet de schémas de validation partagé entre backend et app, garantissant que les deux respectent la même interface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Cahier des charges — Backend plateforme domotique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2026-08-08T19:10:28.816Z</dcterms:created>
  <dcterms:modified xsi:type="dcterms:W3CDTF">2026-08-08T19:10:28.831Z</dcterms:modified>
</cp:coreProperties>
</file>

<file path=docProps/custom.xml><?xml version="1.0" encoding="utf-8"?>
<Properties xmlns="http://schemas.openxmlformats.org/officeDocument/2006/custom-properties" xmlns:vt="http://schemas.openxmlformats.org/officeDocument/2006/docPropsVTypes"/>
</file>